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6FD291">
      <w:pPr>
        <w:shd w:val="clear"/>
        <w:jc w:val="center"/>
        <w:rPr>
          <w:rFonts w:hint="eastAsia" w:ascii="楷体" w:hAnsi="楷体" w:eastAsia="楷体" w:cs="楷体"/>
          <w:b/>
          <w:bCs/>
          <w:color w:val="auto"/>
          <w:sz w:val="48"/>
          <w:szCs w:val="48"/>
          <w:highlight w:val="none"/>
          <w:lang w:eastAsia="zh-CN"/>
        </w:rPr>
      </w:pPr>
    </w:p>
    <w:p w14:paraId="76472D8B">
      <w:pPr>
        <w:shd w:val="clear"/>
        <w:jc w:val="center"/>
        <w:rPr>
          <w:rFonts w:hint="eastAsia" w:ascii="楷体" w:hAnsi="楷体" w:eastAsia="楷体" w:cs="楷体"/>
          <w:b/>
          <w:color w:val="auto"/>
          <w:sz w:val="72"/>
          <w:szCs w:val="72"/>
          <w:highlight w:val="none"/>
          <w:lang w:eastAsia="zh-CN"/>
        </w:rPr>
      </w:pPr>
      <w:r>
        <w:rPr>
          <w:rFonts w:hint="eastAsia" w:ascii="楷体" w:hAnsi="楷体" w:eastAsia="楷体" w:cs="楷体"/>
          <w:b/>
          <w:bCs/>
          <w:color w:val="auto"/>
          <w:sz w:val="44"/>
          <w:szCs w:val="44"/>
          <w:highlight w:val="none"/>
          <w:lang w:eastAsia="zh-CN"/>
        </w:rPr>
        <w:t>昆明市官渡区人民法院2024年警用耗材采购项目</w:t>
      </w:r>
    </w:p>
    <w:p w14:paraId="6F3B6004">
      <w:pPr>
        <w:shd w:val="clear"/>
        <w:tabs>
          <w:tab w:val="left" w:pos="4775"/>
        </w:tabs>
        <w:jc w:val="left"/>
        <w:rPr>
          <w:rFonts w:hint="eastAsia" w:ascii="楷体" w:hAnsi="楷体" w:eastAsia="楷体" w:cs="楷体"/>
          <w:b/>
          <w:color w:val="auto"/>
          <w:sz w:val="36"/>
          <w:szCs w:val="36"/>
          <w:highlight w:val="none"/>
        </w:rPr>
      </w:pPr>
    </w:p>
    <w:p w14:paraId="379BC8DD">
      <w:pPr>
        <w:shd w:val="clear"/>
        <w:tabs>
          <w:tab w:val="left" w:pos="4775"/>
        </w:tabs>
        <w:jc w:val="left"/>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tab/>
      </w:r>
    </w:p>
    <w:p w14:paraId="61C038D2">
      <w:pPr>
        <w:shd w:val="clear"/>
        <w:tabs>
          <w:tab w:val="left" w:pos="4775"/>
        </w:tabs>
        <w:jc w:val="left"/>
        <w:rPr>
          <w:rFonts w:hint="eastAsia" w:ascii="楷体" w:hAnsi="楷体" w:eastAsia="楷体" w:cs="楷体"/>
          <w:b/>
          <w:color w:val="auto"/>
          <w:sz w:val="36"/>
          <w:szCs w:val="36"/>
          <w:highlight w:val="none"/>
        </w:rPr>
      </w:pPr>
    </w:p>
    <w:p w14:paraId="4915D682">
      <w:pPr>
        <w:shd w:val="clear"/>
        <w:tabs>
          <w:tab w:val="left" w:pos="4775"/>
        </w:tabs>
        <w:jc w:val="left"/>
        <w:rPr>
          <w:rFonts w:hint="eastAsia" w:ascii="楷体" w:hAnsi="楷体" w:eastAsia="楷体" w:cs="楷体"/>
          <w:b/>
          <w:color w:val="auto"/>
          <w:sz w:val="36"/>
          <w:szCs w:val="36"/>
          <w:highlight w:val="none"/>
        </w:rPr>
      </w:pPr>
    </w:p>
    <w:p w14:paraId="52B7AF2C">
      <w:pPr>
        <w:pStyle w:val="2"/>
        <w:shd w:val="clear"/>
        <w:rPr>
          <w:rFonts w:hint="eastAsia" w:ascii="楷体" w:hAnsi="楷体" w:eastAsia="楷体" w:cs="楷体"/>
          <w:b/>
          <w:color w:val="auto"/>
          <w:sz w:val="36"/>
          <w:szCs w:val="36"/>
          <w:highlight w:val="none"/>
        </w:rPr>
      </w:pPr>
    </w:p>
    <w:p w14:paraId="01AF5E1A">
      <w:pPr>
        <w:shd w:val="clear"/>
        <w:tabs>
          <w:tab w:val="left" w:pos="4775"/>
        </w:tabs>
        <w:jc w:val="left"/>
        <w:rPr>
          <w:rFonts w:hint="eastAsia" w:ascii="楷体" w:hAnsi="楷体" w:eastAsia="楷体" w:cs="楷体"/>
          <w:b/>
          <w:color w:val="auto"/>
          <w:sz w:val="36"/>
          <w:szCs w:val="36"/>
          <w:highlight w:val="none"/>
        </w:rPr>
      </w:pPr>
    </w:p>
    <w:p w14:paraId="262451ED">
      <w:pPr>
        <w:shd w:val="clear"/>
        <w:tabs>
          <w:tab w:val="left" w:pos="4775"/>
        </w:tabs>
        <w:jc w:val="left"/>
        <w:rPr>
          <w:rFonts w:hint="eastAsia" w:ascii="楷体" w:hAnsi="楷体" w:eastAsia="楷体" w:cs="楷体"/>
          <w:b/>
          <w:color w:val="auto"/>
          <w:sz w:val="36"/>
          <w:szCs w:val="36"/>
          <w:highlight w:val="none"/>
        </w:rPr>
      </w:pPr>
    </w:p>
    <w:p w14:paraId="15C8030E">
      <w:pPr>
        <w:shd w:val="clear"/>
        <w:spacing w:line="360" w:lineRule="auto"/>
        <w:jc w:val="center"/>
        <w:rPr>
          <w:rFonts w:hint="eastAsia" w:ascii="楷体" w:hAnsi="楷体" w:eastAsia="楷体" w:cs="楷体"/>
          <w:color w:val="auto"/>
          <w:sz w:val="22"/>
          <w:szCs w:val="28"/>
          <w:highlight w:val="none"/>
          <w:lang w:eastAsia="zh-CN"/>
        </w:rPr>
      </w:pPr>
      <w:r>
        <w:rPr>
          <w:rFonts w:hint="eastAsia" w:ascii="楷体" w:hAnsi="楷体" w:eastAsia="楷体" w:cs="楷体"/>
          <w:color w:val="auto"/>
          <w:sz w:val="96"/>
          <w:szCs w:val="96"/>
          <w:highlight w:val="none"/>
          <w:lang w:eastAsia="zh-CN"/>
        </w:rPr>
        <w:t>招标文件</w:t>
      </w:r>
    </w:p>
    <w:p w14:paraId="074D8C33">
      <w:pPr>
        <w:shd w:val="clear"/>
        <w:spacing w:line="360" w:lineRule="auto"/>
        <w:jc w:val="center"/>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val="en-US" w:eastAsia="zh-CN"/>
        </w:rPr>
        <w:t xml:space="preserve"> YNZC2024-G1-04913-YNJX-0023</w:t>
      </w:r>
    </w:p>
    <w:p w14:paraId="098C7F28">
      <w:pPr>
        <w:shd w:val="clear"/>
        <w:spacing w:line="360" w:lineRule="auto"/>
        <w:jc w:val="center"/>
        <w:rPr>
          <w:rFonts w:hint="eastAsia" w:ascii="楷体" w:hAnsi="楷体" w:eastAsia="楷体" w:cs="楷体"/>
          <w:color w:val="auto"/>
          <w:sz w:val="30"/>
          <w:szCs w:val="30"/>
          <w:highlight w:val="none"/>
        </w:rPr>
      </w:pPr>
    </w:p>
    <w:p w14:paraId="7FFA3CA6">
      <w:pPr>
        <w:shd w:val="clear"/>
        <w:spacing w:line="360" w:lineRule="auto"/>
        <w:rPr>
          <w:rFonts w:hint="eastAsia" w:ascii="楷体" w:hAnsi="楷体" w:eastAsia="楷体" w:cs="楷体"/>
          <w:b/>
          <w:bCs/>
          <w:color w:val="auto"/>
          <w:sz w:val="32"/>
          <w:szCs w:val="32"/>
          <w:highlight w:val="none"/>
        </w:rPr>
      </w:pPr>
    </w:p>
    <w:p w14:paraId="642B285C">
      <w:pPr>
        <w:shd w:val="clear"/>
        <w:spacing w:line="360" w:lineRule="auto"/>
        <w:rPr>
          <w:rFonts w:hint="eastAsia" w:ascii="楷体" w:hAnsi="楷体" w:eastAsia="楷体" w:cs="楷体"/>
          <w:b/>
          <w:bCs/>
          <w:color w:val="auto"/>
          <w:sz w:val="32"/>
          <w:szCs w:val="32"/>
          <w:highlight w:val="none"/>
        </w:rPr>
      </w:pPr>
    </w:p>
    <w:p w14:paraId="0559F0FF">
      <w:pPr>
        <w:shd w:val="clear"/>
        <w:spacing w:line="360" w:lineRule="auto"/>
        <w:rPr>
          <w:rFonts w:hint="eastAsia" w:ascii="楷体" w:hAnsi="楷体" w:eastAsia="楷体" w:cs="楷体"/>
          <w:b/>
          <w:bCs/>
          <w:color w:val="auto"/>
          <w:sz w:val="32"/>
          <w:szCs w:val="32"/>
          <w:highlight w:val="none"/>
        </w:rPr>
      </w:pPr>
    </w:p>
    <w:p w14:paraId="3BABD4BF">
      <w:pPr>
        <w:shd w:val="clear"/>
        <w:spacing w:line="360" w:lineRule="auto"/>
        <w:rPr>
          <w:rFonts w:hint="eastAsia" w:ascii="楷体" w:hAnsi="楷体" w:eastAsia="楷体" w:cs="楷体"/>
          <w:b/>
          <w:bCs/>
          <w:color w:val="auto"/>
          <w:sz w:val="32"/>
          <w:szCs w:val="32"/>
          <w:highlight w:val="none"/>
        </w:rPr>
      </w:pPr>
    </w:p>
    <w:p w14:paraId="0C570B24">
      <w:pPr>
        <w:shd w:val="clear"/>
        <w:spacing w:line="700" w:lineRule="exact"/>
        <w:ind w:firstLine="1687" w:firstLineChars="600"/>
        <w:jc w:val="both"/>
        <w:rPr>
          <w:rFonts w:hint="eastAsia" w:ascii="楷体" w:hAnsi="楷体" w:eastAsia="楷体" w:cs="楷体"/>
          <w:b/>
          <w:bCs/>
          <w:color w:val="auto"/>
          <w:sz w:val="28"/>
          <w:szCs w:val="28"/>
          <w:highlight w:val="none"/>
        </w:rPr>
      </w:pPr>
    </w:p>
    <w:p w14:paraId="705825C7">
      <w:pPr>
        <w:shd w:val="clear"/>
        <w:spacing w:line="700" w:lineRule="exact"/>
        <w:ind w:firstLine="1687" w:firstLineChars="600"/>
        <w:jc w:val="both"/>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rPr>
        <w:t>采   购   人：</w:t>
      </w:r>
      <w:r>
        <w:rPr>
          <w:rFonts w:hint="eastAsia" w:ascii="楷体" w:hAnsi="楷体" w:eastAsia="楷体" w:cs="楷体"/>
          <w:b/>
          <w:bCs/>
          <w:color w:val="auto"/>
          <w:sz w:val="28"/>
          <w:szCs w:val="28"/>
          <w:highlight w:val="none"/>
          <w:lang w:eastAsia="zh-CN"/>
        </w:rPr>
        <w:t>昆明市官渡区人民法院</w:t>
      </w:r>
    </w:p>
    <w:p w14:paraId="0ED8CE24">
      <w:pPr>
        <w:shd w:val="clear"/>
        <w:spacing w:line="700" w:lineRule="exact"/>
        <w:ind w:firstLine="1687" w:firstLineChars="600"/>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rPr>
        <w:t>采购代理机构：</w:t>
      </w:r>
      <w:r>
        <w:rPr>
          <w:rFonts w:hint="eastAsia" w:ascii="楷体" w:hAnsi="楷体" w:eastAsia="楷体" w:cs="楷体"/>
          <w:b/>
          <w:bCs/>
          <w:color w:val="auto"/>
          <w:sz w:val="28"/>
          <w:szCs w:val="28"/>
          <w:highlight w:val="none"/>
          <w:lang w:eastAsia="zh-CN"/>
        </w:rPr>
        <w:t>云南建协招标有限责任公司</w:t>
      </w:r>
    </w:p>
    <w:p w14:paraId="1599BD52">
      <w:pPr>
        <w:shd w:val="clear"/>
        <w:spacing w:line="700" w:lineRule="exact"/>
        <w:ind w:firstLine="1687" w:firstLineChars="600"/>
        <w:rPr>
          <w:rFonts w:hint="eastAsia" w:ascii="楷体" w:hAnsi="楷体" w:eastAsia="楷体" w:cs="楷体"/>
          <w:b/>
          <w:color w:val="auto"/>
          <w:sz w:val="40"/>
          <w:szCs w:val="36"/>
          <w:highlight w:val="none"/>
        </w:rPr>
        <w:sectPr>
          <w:footerReference r:id="rId3" w:type="even"/>
          <w:pgSz w:w="11906" w:h="16838"/>
          <w:pgMar w:top="1134" w:right="1134" w:bottom="1134" w:left="1134" w:header="680" w:footer="680" w:gutter="0"/>
          <w:pgNumType w:fmt="decimal"/>
          <w:cols w:space="0" w:num="1"/>
          <w:rtlGutter w:val="0"/>
          <w:docGrid w:linePitch="331" w:charSpace="0"/>
        </w:sectPr>
      </w:pPr>
      <w:r>
        <w:rPr>
          <w:rFonts w:hint="eastAsia" w:ascii="楷体" w:hAnsi="楷体" w:eastAsia="楷体" w:cs="楷体"/>
          <w:b/>
          <w:bCs/>
          <w:color w:val="auto"/>
          <w:sz w:val="28"/>
          <w:szCs w:val="28"/>
          <w:highlight w:val="none"/>
        </w:rPr>
        <w:t>日        期：二〇二</w:t>
      </w:r>
      <w:r>
        <w:rPr>
          <w:rFonts w:hint="eastAsia" w:ascii="楷体" w:hAnsi="楷体" w:eastAsia="楷体" w:cs="楷体"/>
          <w:b/>
          <w:bCs/>
          <w:color w:val="auto"/>
          <w:sz w:val="28"/>
          <w:szCs w:val="28"/>
          <w:highlight w:val="none"/>
          <w:lang w:val="en-US" w:eastAsia="zh-CN"/>
        </w:rPr>
        <w:t>四</w:t>
      </w:r>
      <w:r>
        <w:rPr>
          <w:rFonts w:hint="eastAsia" w:ascii="楷体" w:hAnsi="楷体" w:eastAsia="楷体" w:cs="楷体"/>
          <w:b/>
          <w:bCs/>
          <w:color w:val="auto"/>
          <w:sz w:val="28"/>
          <w:szCs w:val="28"/>
          <w:highlight w:val="none"/>
        </w:rPr>
        <w:t>年</w:t>
      </w:r>
      <w:r>
        <w:rPr>
          <w:rFonts w:hint="eastAsia" w:ascii="楷体" w:hAnsi="楷体" w:eastAsia="楷体" w:cs="楷体"/>
          <w:b/>
          <w:bCs/>
          <w:color w:val="auto"/>
          <w:sz w:val="28"/>
          <w:szCs w:val="28"/>
          <w:highlight w:val="none"/>
          <w:lang w:val="en-US" w:eastAsia="zh-CN"/>
        </w:rPr>
        <w:t>九</w:t>
      </w:r>
      <w:r>
        <w:rPr>
          <w:rFonts w:hint="eastAsia" w:ascii="楷体" w:hAnsi="楷体" w:eastAsia="楷体" w:cs="楷体"/>
          <w:b/>
          <w:bCs/>
          <w:color w:val="auto"/>
          <w:sz w:val="28"/>
          <w:szCs w:val="28"/>
          <w:highlight w:val="none"/>
        </w:rPr>
        <w:t>月</w:t>
      </w:r>
    </w:p>
    <w:p w14:paraId="7EAF1106">
      <w:pPr>
        <w:pStyle w:val="11"/>
        <w:shd w:val="clear"/>
        <w:spacing w:line="360" w:lineRule="auto"/>
        <w:jc w:val="center"/>
        <w:rPr>
          <w:rFonts w:hint="eastAsia" w:ascii="楷体" w:hAnsi="楷体" w:eastAsia="楷体" w:cs="楷体"/>
          <w:b/>
          <w:color w:val="auto"/>
          <w:sz w:val="36"/>
          <w:szCs w:val="36"/>
          <w:highlight w:val="none"/>
        </w:rPr>
      </w:pPr>
      <w:r>
        <w:rPr>
          <w:rFonts w:hint="eastAsia" w:ascii="楷体" w:hAnsi="楷体" w:eastAsia="楷体" w:cs="楷体"/>
          <w:b/>
          <w:color w:val="auto"/>
          <w:sz w:val="40"/>
          <w:szCs w:val="36"/>
          <w:highlight w:val="none"/>
        </w:rPr>
        <w:t>目   录</w:t>
      </w:r>
    </w:p>
    <w:p w14:paraId="2D39297C">
      <w:pPr>
        <w:pStyle w:val="14"/>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ind w:left="0" w:leftChars="0"/>
        <w:textAlignment w:val="auto"/>
        <w:rPr>
          <w:color w:val="auto"/>
        </w:rPr>
      </w:pPr>
      <w:r>
        <w:rPr>
          <w:rFonts w:hint="eastAsia" w:ascii="楷体" w:hAnsi="楷体" w:eastAsia="楷体" w:cs="楷体"/>
          <w:b w:val="0"/>
          <w:color w:val="auto"/>
          <w:sz w:val="28"/>
          <w:szCs w:val="28"/>
          <w:highlight w:val="none"/>
        </w:rPr>
        <w:fldChar w:fldCharType="begin"/>
      </w:r>
      <w:r>
        <w:rPr>
          <w:rFonts w:hint="eastAsia" w:ascii="楷体" w:hAnsi="楷体" w:eastAsia="楷体" w:cs="楷体"/>
          <w:b w:val="0"/>
          <w:color w:val="auto"/>
          <w:sz w:val="28"/>
          <w:szCs w:val="28"/>
          <w:highlight w:val="none"/>
        </w:rPr>
        <w:instrText xml:space="preserve"> TOC \o "1-3" \h \z \u </w:instrText>
      </w:r>
      <w:r>
        <w:rPr>
          <w:rFonts w:hint="eastAsia" w:ascii="楷体" w:hAnsi="楷体" w:eastAsia="楷体" w:cs="楷体"/>
          <w:b w:val="0"/>
          <w:color w:val="auto"/>
          <w:sz w:val="28"/>
          <w:szCs w:val="28"/>
          <w:highlight w:val="none"/>
        </w:rPr>
        <w:fldChar w:fldCharType="separate"/>
      </w: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_Toc23237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highlight w:val="none"/>
        </w:rPr>
        <w:t xml:space="preserve">第一章  </w:t>
      </w:r>
      <w:r>
        <w:rPr>
          <w:rFonts w:hint="eastAsia" w:ascii="楷体" w:hAnsi="楷体" w:eastAsia="楷体" w:cs="楷体"/>
          <w:color w:val="auto"/>
          <w:highlight w:val="none"/>
          <w:lang w:eastAsia="zh-CN"/>
        </w:rPr>
        <w:t>招标公告</w:t>
      </w:r>
      <w:r>
        <w:rPr>
          <w:color w:val="auto"/>
        </w:rPr>
        <w:tab/>
      </w:r>
      <w:r>
        <w:rPr>
          <w:color w:val="auto"/>
        </w:rPr>
        <w:fldChar w:fldCharType="begin"/>
      </w:r>
      <w:r>
        <w:rPr>
          <w:color w:val="auto"/>
        </w:rPr>
        <w:instrText xml:space="preserve"> PAGEREF _Toc23237 \h </w:instrText>
      </w:r>
      <w:r>
        <w:rPr>
          <w:color w:val="auto"/>
        </w:rPr>
        <w:fldChar w:fldCharType="separate"/>
      </w:r>
      <w:r>
        <w:rPr>
          <w:color w:val="auto"/>
        </w:rPr>
        <w:t>1</w:t>
      </w:r>
      <w:r>
        <w:rPr>
          <w:color w:val="auto"/>
        </w:rPr>
        <w:fldChar w:fldCharType="end"/>
      </w:r>
      <w:r>
        <w:rPr>
          <w:rFonts w:hint="eastAsia" w:ascii="楷体" w:hAnsi="楷体" w:eastAsia="楷体" w:cs="楷体"/>
          <w:color w:val="auto"/>
          <w:szCs w:val="28"/>
          <w:highlight w:val="none"/>
        </w:rPr>
        <w:fldChar w:fldCharType="end"/>
      </w:r>
    </w:p>
    <w:p w14:paraId="4E7550C9">
      <w:pPr>
        <w:pStyle w:val="15"/>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_Toc2529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highlight w:val="none"/>
        </w:rPr>
        <w:t>1.</w:t>
      </w:r>
      <w:r>
        <w:rPr>
          <w:rFonts w:hint="eastAsia" w:ascii="楷体" w:hAnsi="楷体" w:eastAsia="楷体" w:cs="楷体"/>
          <w:bCs/>
          <w:color w:val="auto"/>
          <w:highlight w:val="none"/>
        </w:rPr>
        <w:t>项目概况</w:t>
      </w:r>
      <w:r>
        <w:rPr>
          <w:color w:val="auto"/>
        </w:rPr>
        <w:tab/>
      </w:r>
      <w:r>
        <w:rPr>
          <w:color w:val="auto"/>
        </w:rPr>
        <w:fldChar w:fldCharType="begin"/>
      </w:r>
      <w:r>
        <w:rPr>
          <w:color w:val="auto"/>
        </w:rPr>
        <w:instrText xml:space="preserve"> PAGEREF _Toc2529 \h </w:instrText>
      </w:r>
      <w:r>
        <w:rPr>
          <w:color w:val="auto"/>
        </w:rPr>
        <w:fldChar w:fldCharType="separate"/>
      </w:r>
      <w:r>
        <w:rPr>
          <w:color w:val="auto"/>
        </w:rPr>
        <w:t>1</w:t>
      </w:r>
      <w:r>
        <w:rPr>
          <w:color w:val="auto"/>
        </w:rPr>
        <w:fldChar w:fldCharType="end"/>
      </w:r>
      <w:r>
        <w:rPr>
          <w:rFonts w:hint="eastAsia" w:ascii="楷体" w:hAnsi="楷体" w:eastAsia="楷体" w:cs="楷体"/>
          <w:color w:val="auto"/>
          <w:szCs w:val="28"/>
          <w:highlight w:val="none"/>
        </w:rPr>
        <w:fldChar w:fldCharType="end"/>
      </w:r>
    </w:p>
    <w:p w14:paraId="277F7ADC">
      <w:pPr>
        <w:pStyle w:val="15"/>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_Toc3877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highlight w:val="none"/>
        </w:rPr>
        <w:t>2.供应商资格要求</w:t>
      </w:r>
      <w:r>
        <w:rPr>
          <w:color w:val="auto"/>
        </w:rPr>
        <w:tab/>
      </w:r>
      <w:r>
        <w:rPr>
          <w:color w:val="auto"/>
        </w:rPr>
        <w:fldChar w:fldCharType="begin"/>
      </w:r>
      <w:r>
        <w:rPr>
          <w:color w:val="auto"/>
        </w:rPr>
        <w:instrText xml:space="preserve"> PAGEREF _Toc3877 \h </w:instrText>
      </w:r>
      <w:r>
        <w:rPr>
          <w:color w:val="auto"/>
        </w:rPr>
        <w:fldChar w:fldCharType="separate"/>
      </w:r>
      <w:r>
        <w:rPr>
          <w:color w:val="auto"/>
        </w:rPr>
        <w:t>1</w:t>
      </w:r>
      <w:r>
        <w:rPr>
          <w:color w:val="auto"/>
        </w:rPr>
        <w:fldChar w:fldCharType="end"/>
      </w:r>
      <w:r>
        <w:rPr>
          <w:rFonts w:hint="eastAsia" w:ascii="楷体" w:hAnsi="楷体" w:eastAsia="楷体" w:cs="楷体"/>
          <w:color w:val="auto"/>
          <w:szCs w:val="28"/>
          <w:highlight w:val="none"/>
        </w:rPr>
        <w:fldChar w:fldCharType="end"/>
      </w:r>
    </w:p>
    <w:p w14:paraId="77FCB023">
      <w:pPr>
        <w:pStyle w:val="15"/>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_Toc125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highlight w:val="none"/>
        </w:rPr>
        <w:t>3.</w:t>
      </w:r>
      <w:r>
        <w:rPr>
          <w:rFonts w:hint="eastAsia" w:ascii="楷体" w:hAnsi="楷体" w:eastAsia="楷体" w:cs="楷体"/>
          <w:color w:val="auto"/>
          <w:highlight w:val="none"/>
          <w:lang w:eastAsia="zh-CN"/>
        </w:rPr>
        <w:t>招标文件</w:t>
      </w:r>
      <w:r>
        <w:rPr>
          <w:rFonts w:hint="eastAsia" w:ascii="楷体" w:hAnsi="楷体" w:eastAsia="楷体" w:cs="楷体"/>
          <w:color w:val="auto"/>
          <w:highlight w:val="none"/>
        </w:rPr>
        <w:t>的获取</w:t>
      </w:r>
      <w:r>
        <w:rPr>
          <w:color w:val="auto"/>
        </w:rPr>
        <w:tab/>
      </w:r>
      <w:r>
        <w:rPr>
          <w:color w:val="auto"/>
        </w:rPr>
        <w:fldChar w:fldCharType="begin"/>
      </w:r>
      <w:r>
        <w:rPr>
          <w:color w:val="auto"/>
        </w:rPr>
        <w:instrText xml:space="preserve"> PAGEREF _Toc125 \h </w:instrText>
      </w:r>
      <w:r>
        <w:rPr>
          <w:color w:val="auto"/>
        </w:rPr>
        <w:fldChar w:fldCharType="separate"/>
      </w:r>
      <w:r>
        <w:rPr>
          <w:color w:val="auto"/>
        </w:rPr>
        <w:t>2</w:t>
      </w:r>
      <w:r>
        <w:rPr>
          <w:color w:val="auto"/>
        </w:rPr>
        <w:fldChar w:fldCharType="end"/>
      </w:r>
      <w:r>
        <w:rPr>
          <w:rFonts w:hint="eastAsia" w:ascii="楷体" w:hAnsi="楷体" w:eastAsia="楷体" w:cs="楷体"/>
          <w:color w:val="auto"/>
          <w:szCs w:val="28"/>
          <w:highlight w:val="none"/>
        </w:rPr>
        <w:fldChar w:fldCharType="end"/>
      </w:r>
    </w:p>
    <w:p w14:paraId="6447F249">
      <w:pPr>
        <w:pStyle w:val="15"/>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_Toc15931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highlight w:val="none"/>
        </w:rPr>
        <w:t>4.投标文件的提交</w:t>
      </w:r>
      <w:r>
        <w:rPr>
          <w:rFonts w:hint="eastAsia" w:ascii="楷体" w:hAnsi="楷体" w:eastAsia="楷体" w:cs="楷体"/>
          <w:color w:val="auto"/>
          <w:highlight w:val="none"/>
          <w:lang w:val="en-US" w:eastAsia="zh-CN"/>
        </w:rPr>
        <w:t>截止时间</w:t>
      </w:r>
      <w:r>
        <w:rPr>
          <w:rFonts w:hint="eastAsia" w:ascii="楷体" w:hAnsi="楷体" w:eastAsia="楷体" w:cs="楷体"/>
          <w:bCs/>
          <w:color w:val="auto"/>
          <w:kern w:val="0"/>
          <w:szCs w:val="24"/>
          <w:highlight w:val="none"/>
        </w:rPr>
        <w:t>、开标时间和地点</w:t>
      </w:r>
      <w:r>
        <w:rPr>
          <w:color w:val="auto"/>
        </w:rPr>
        <w:tab/>
      </w:r>
      <w:r>
        <w:rPr>
          <w:color w:val="auto"/>
        </w:rPr>
        <w:fldChar w:fldCharType="begin"/>
      </w:r>
      <w:r>
        <w:rPr>
          <w:color w:val="auto"/>
        </w:rPr>
        <w:instrText xml:space="preserve"> PAGEREF _Toc15931 \h </w:instrText>
      </w:r>
      <w:r>
        <w:rPr>
          <w:color w:val="auto"/>
        </w:rPr>
        <w:fldChar w:fldCharType="separate"/>
      </w:r>
      <w:r>
        <w:rPr>
          <w:color w:val="auto"/>
        </w:rPr>
        <w:t>3</w:t>
      </w:r>
      <w:r>
        <w:rPr>
          <w:color w:val="auto"/>
        </w:rPr>
        <w:fldChar w:fldCharType="end"/>
      </w:r>
      <w:r>
        <w:rPr>
          <w:rFonts w:hint="eastAsia" w:ascii="楷体" w:hAnsi="楷体" w:eastAsia="楷体" w:cs="楷体"/>
          <w:color w:val="auto"/>
          <w:szCs w:val="28"/>
          <w:highlight w:val="none"/>
        </w:rPr>
        <w:fldChar w:fldCharType="end"/>
      </w:r>
    </w:p>
    <w:p w14:paraId="3C627A50">
      <w:pPr>
        <w:pStyle w:val="15"/>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_Toc20512 </w:instrText>
      </w:r>
      <w:r>
        <w:rPr>
          <w:rFonts w:hint="eastAsia" w:ascii="楷体" w:hAnsi="楷体" w:eastAsia="楷体" w:cs="楷体"/>
          <w:color w:val="auto"/>
          <w:szCs w:val="28"/>
          <w:highlight w:val="none"/>
        </w:rPr>
        <w:fldChar w:fldCharType="separate"/>
      </w:r>
      <w:r>
        <w:rPr>
          <w:rFonts w:hint="eastAsia" w:ascii="楷体" w:hAnsi="楷体" w:eastAsia="楷体" w:cs="楷体"/>
          <w:bCs/>
          <w:color w:val="auto"/>
          <w:kern w:val="0"/>
          <w:szCs w:val="24"/>
          <w:highlight w:val="none"/>
          <w:lang w:val="en-US" w:eastAsia="zh-CN"/>
        </w:rPr>
        <w:t>5</w:t>
      </w:r>
      <w:r>
        <w:rPr>
          <w:rFonts w:hint="eastAsia" w:ascii="楷体" w:hAnsi="楷体" w:eastAsia="楷体" w:cs="楷体"/>
          <w:bCs/>
          <w:color w:val="auto"/>
          <w:kern w:val="0"/>
          <w:szCs w:val="24"/>
          <w:highlight w:val="none"/>
        </w:rPr>
        <w:t>、公告期限</w:t>
      </w:r>
      <w:r>
        <w:rPr>
          <w:color w:val="auto"/>
        </w:rPr>
        <w:tab/>
      </w:r>
      <w:r>
        <w:rPr>
          <w:color w:val="auto"/>
        </w:rPr>
        <w:fldChar w:fldCharType="begin"/>
      </w:r>
      <w:r>
        <w:rPr>
          <w:color w:val="auto"/>
        </w:rPr>
        <w:instrText xml:space="preserve"> PAGEREF _Toc20512 \h </w:instrText>
      </w:r>
      <w:r>
        <w:rPr>
          <w:color w:val="auto"/>
        </w:rPr>
        <w:fldChar w:fldCharType="separate"/>
      </w:r>
      <w:r>
        <w:rPr>
          <w:color w:val="auto"/>
        </w:rPr>
        <w:t>3</w:t>
      </w:r>
      <w:r>
        <w:rPr>
          <w:color w:val="auto"/>
        </w:rPr>
        <w:fldChar w:fldCharType="end"/>
      </w:r>
      <w:r>
        <w:rPr>
          <w:rFonts w:hint="eastAsia" w:ascii="楷体" w:hAnsi="楷体" w:eastAsia="楷体" w:cs="楷体"/>
          <w:color w:val="auto"/>
          <w:szCs w:val="28"/>
          <w:highlight w:val="none"/>
        </w:rPr>
        <w:fldChar w:fldCharType="end"/>
      </w:r>
    </w:p>
    <w:p w14:paraId="6E402065">
      <w:pPr>
        <w:pStyle w:val="15"/>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_Toc30659 </w:instrText>
      </w:r>
      <w:r>
        <w:rPr>
          <w:rFonts w:hint="eastAsia" w:ascii="楷体" w:hAnsi="楷体" w:eastAsia="楷体" w:cs="楷体"/>
          <w:color w:val="auto"/>
          <w:szCs w:val="28"/>
          <w:highlight w:val="none"/>
        </w:rPr>
        <w:fldChar w:fldCharType="separate"/>
      </w:r>
      <w:r>
        <w:rPr>
          <w:rFonts w:hint="eastAsia" w:ascii="楷体" w:hAnsi="楷体" w:eastAsia="楷体" w:cs="楷体"/>
          <w:bCs/>
          <w:color w:val="auto"/>
          <w:kern w:val="0"/>
          <w:szCs w:val="24"/>
          <w:highlight w:val="none"/>
          <w:lang w:val="en-US" w:eastAsia="zh-CN"/>
        </w:rPr>
        <w:t>6、</w:t>
      </w:r>
      <w:r>
        <w:rPr>
          <w:rFonts w:hint="eastAsia" w:ascii="楷体" w:hAnsi="楷体" w:eastAsia="楷体" w:cs="楷体"/>
          <w:bCs/>
          <w:color w:val="auto"/>
          <w:kern w:val="0"/>
          <w:szCs w:val="24"/>
          <w:highlight w:val="none"/>
        </w:rPr>
        <w:t>其他补充事宜</w:t>
      </w:r>
      <w:r>
        <w:rPr>
          <w:color w:val="auto"/>
        </w:rPr>
        <w:tab/>
      </w:r>
      <w:r>
        <w:rPr>
          <w:color w:val="auto"/>
        </w:rPr>
        <w:fldChar w:fldCharType="begin"/>
      </w:r>
      <w:r>
        <w:rPr>
          <w:color w:val="auto"/>
        </w:rPr>
        <w:instrText xml:space="preserve"> PAGEREF _Toc30659 \h </w:instrText>
      </w:r>
      <w:r>
        <w:rPr>
          <w:color w:val="auto"/>
        </w:rPr>
        <w:fldChar w:fldCharType="separate"/>
      </w:r>
      <w:r>
        <w:rPr>
          <w:color w:val="auto"/>
        </w:rPr>
        <w:t>3</w:t>
      </w:r>
      <w:r>
        <w:rPr>
          <w:color w:val="auto"/>
        </w:rPr>
        <w:fldChar w:fldCharType="end"/>
      </w:r>
      <w:r>
        <w:rPr>
          <w:rFonts w:hint="eastAsia" w:ascii="楷体" w:hAnsi="楷体" w:eastAsia="楷体" w:cs="楷体"/>
          <w:color w:val="auto"/>
          <w:szCs w:val="28"/>
          <w:highlight w:val="none"/>
        </w:rPr>
        <w:fldChar w:fldCharType="end"/>
      </w:r>
    </w:p>
    <w:p w14:paraId="76890E9F">
      <w:pPr>
        <w:pStyle w:val="15"/>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_Toc27864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highlight w:val="none"/>
          <w:lang w:val="en-US" w:eastAsia="zh-CN"/>
        </w:rPr>
        <w:t>7</w:t>
      </w:r>
      <w:r>
        <w:rPr>
          <w:rFonts w:hint="eastAsia" w:ascii="楷体" w:hAnsi="楷体" w:eastAsia="楷体" w:cs="楷体"/>
          <w:color w:val="auto"/>
          <w:highlight w:val="none"/>
        </w:rPr>
        <w:t>.</w:t>
      </w:r>
      <w:r>
        <w:rPr>
          <w:rFonts w:hint="eastAsia" w:ascii="楷体" w:hAnsi="楷体" w:eastAsia="楷体" w:cs="楷体"/>
          <w:bCs/>
          <w:color w:val="auto"/>
          <w:kern w:val="0"/>
          <w:szCs w:val="24"/>
          <w:highlight w:val="none"/>
        </w:rPr>
        <w:t>对本次招标提出询问，请按以下方式联系</w:t>
      </w:r>
      <w:r>
        <w:rPr>
          <w:rFonts w:hint="eastAsia" w:ascii="楷体" w:hAnsi="楷体" w:eastAsia="楷体" w:cs="楷体"/>
          <w:bCs/>
          <w:color w:val="auto"/>
          <w:kern w:val="0"/>
          <w:szCs w:val="24"/>
          <w:highlight w:val="none"/>
          <w:lang w:eastAsia="zh-CN"/>
        </w:rPr>
        <w:t>：</w:t>
      </w:r>
      <w:r>
        <w:rPr>
          <w:color w:val="auto"/>
        </w:rPr>
        <w:tab/>
      </w:r>
      <w:r>
        <w:rPr>
          <w:color w:val="auto"/>
        </w:rPr>
        <w:fldChar w:fldCharType="begin"/>
      </w:r>
      <w:r>
        <w:rPr>
          <w:color w:val="auto"/>
        </w:rPr>
        <w:instrText xml:space="preserve"> PAGEREF _Toc27864 \h </w:instrText>
      </w:r>
      <w:r>
        <w:rPr>
          <w:color w:val="auto"/>
        </w:rPr>
        <w:fldChar w:fldCharType="separate"/>
      </w:r>
      <w:r>
        <w:rPr>
          <w:color w:val="auto"/>
        </w:rPr>
        <w:t>3</w:t>
      </w:r>
      <w:r>
        <w:rPr>
          <w:color w:val="auto"/>
        </w:rPr>
        <w:fldChar w:fldCharType="end"/>
      </w:r>
      <w:r>
        <w:rPr>
          <w:rFonts w:hint="eastAsia" w:ascii="楷体" w:hAnsi="楷体" w:eastAsia="楷体" w:cs="楷体"/>
          <w:color w:val="auto"/>
          <w:szCs w:val="28"/>
          <w:highlight w:val="none"/>
        </w:rPr>
        <w:fldChar w:fldCharType="end"/>
      </w:r>
    </w:p>
    <w:p w14:paraId="0FB1C51B">
      <w:pPr>
        <w:pStyle w:val="14"/>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_Toc32204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highlight w:val="none"/>
        </w:rPr>
        <w:t>第二章 供应商须知</w:t>
      </w:r>
      <w:r>
        <w:rPr>
          <w:color w:val="auto"/>
        </w:rPr>
        <w:tab/>
      </w:r>
      <w:r>
        <w:rPr>
          <w:color w:val="auto"/>
        </w:rPr>
        <w:fldChar w:fldCharType="begin"/>
      </w:r>
      <w:r>
        <w:rPr>
          <w:color w:val="auto"/>
        </w:rPr>
        <w:instrText xml:space="preserve"> PAGEREF _Toc32204 \h </w:instrText>
      </w:r>
      <w:r>
        <w:rPr>
          <w:color w:val="auto"/>
        </w:rPr>
        <w:fldChar w:fldCharType="separate"/>
      </w:r>
      <w:r>
        <w:rPr>
          <w:color w:val="auto"/>
        </w:rPr>
        <w:t>4</w:t>
      </w:r>
      <w:r>
        <w:rPr>
          <w:color w:val="auto"/>
        </w:rPr>
        <w:fldChar w:fldCharType="end"/>
      </w:r>
      <w:r>
        <w:rPr>
          <w:rFonts w:hint="eastAsia" w:ascii="楷体" w:hAnsi="楷体" w:eastAsia="楷体" w:cs="楷体"/>
          <w:color w:val="auto"/>
          <w:szCs w:val="28"/>
          <w:highlight w:val="none"/>
        </w:rPr>
        <w:fldChar w:fldCharType="end"/>
      </w:r>
    </w:p>
    <w:p w14:paraId="7C04FEB5">
      <w:pPr>
        <w:pStyle w:val="15"/>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_Toc7626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szCs w:val="32"/>
          <w:highlight w:val="none"/>
        </w:rPr>
        <w:t>供应商须知前附表</w:t>
      </w:r>
      <w:r>
        <w:rPr>
          <w:color w:val="auto"/>
        </w:rPr>
        <w:tab/>
      </w:r>
      <w:r>
        <w:rPr>
          <w:color w:val="auto"/>
        </w:rPr>
        <w:fldChar w:fldCharType="begin"/>
      </w:r>
      <w:r>
        <w:rPr>
          <w:color w:val="auto"/>
        </w:rPr>
        <w:instrText xml:space="preserve"> PAGEREF _Toc7626 \h </w:instrText>
      </w:r>
      <w:r>
        <w:rPr>
          <w:color w:val="auto"/>
        </w:rPr>
        <w:fldChar w:fldCharType="separate"/>
      </w:r>
      <w:r>
        <w:rPr>
          <w:color w:val="auto"/>
        </w:rPr>
        <w:t>4</w:t>
      </w:r>
      <w:r>
        <w:rPr>
          <w:color w:val="auto"/>
        </w:rPr>
        <w:fldChar w:fldCharType="end"/>
      </w:r>
      <w:r>
        <w:rPr>
          <w:rFonts w:hint="eastAsia" w:ascii="楷体" w:hAnsi="楷体" w:eastAsia="楷体" w:cs="楷体"/>
          <w:color w:val="auto"/>
          <w:szCs w:val="28"/>
          <w:highlight w:val="none"/>
        </w:rPr>
        <w:fldChar w:fldCharType="end"/>
      </w:r>
    </w:p>
    <w:p w14:paraId="56FA8CD5">
      <w:pPr>
        <w:pStyle w:val="15"/>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_Toc6897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szCs w:val="32"/>
          <w:highlight w:val="none"/>
        </w:rPr>
        <w:t>一、总  则</w:t>
      </w:r>
      <w:r>
        <w:rPr>
          <w:color w:val="auto"/>
        </w:rPr>
        <w:tab/>
      </w:r>
      <w:r>
        <w:rPr>
          <w:color w:val="auto"/>
        </w:rPr>
        <w:fldChar w:fldCharType="begin"/>
      </w:r>
      <w:r>
        <w:rPr>
          <w:color w:val="auto"/>
        </w:rPr>
        <w:instrText xml:space="preserve"> PAGEREF _Toc6897 \h </w:instrText>
      </w:r>
      <w:r>
        <w:rPr>
          <w:color w:val="auto"/>
        </w:rPr>
        <w:fldChar w:fldCharType="separate"/>
      </w:r>
      <w:r>
        <w:rPr>
          <w:color w:val="auto"/>
        </w:rPr>
        <w:t>7</w:t>
      </w:r>
      <w:r>
        <w:rPr>
          <w:color w:val="auto"/>
        </w:rPr>
        <w:fldChar w:fldCharType="end"/>
      </w:r>
      <w:r>
        <w:rPr>
          <w:rFonts w:hint="eastAsia" w:ascii="楷体" w:hAnsi="楷体" w:eastAsia="楷体" w:cs="楷体"/>
          <w:color w:val="auto"/>
          <w:szCs w:val="28"/>
          <w:highlight w:val="none"/>
        </w:rPr>
        <w:fldChar w:fldCharType="end"/>
      </w:r>
    </w:p>
    <w:p w14:paraId="48031BB3">
      <w:pPr>
        <w:pStyle w:val="15"/>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_Toc19203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szCs w:val="32"/>
          <w:highlight w:val="none"/>
        </w:rPr>
        <w:t>二、</w:t>
      </w:r>
      <w:r>
        <w:rPr>
          <w:rFonts w:hint="eastAsia" w:ascii="楷体" w:hAnsi="楷体" w:eastAsia="楷体" w:cs="楷体"/>
          <w:color w:val="auto"/>
          <w:szCs w:val="32"/>
          <w:highlight w:val="none"/>
          <w:lang w:eastAsia="zh-CN"/>
        </w:rPr>
        <w:t>招标文件</w:t>
      </w:r>
      <w:r>
        <w:rPr>
          <w:color w:val="auto"/>
        </w:rPr>
        <w:tab/>
      </w:r>
      <w:r>
        <w:rPr>
          <w:color w:val="auto"/>
        </w:rPr>
        <w:fldChar w:fldCharType="begin"/>
      </w:r>
      <w:r>
        <w:rPr>
          <w:color w:val="auto"/>
        </w:rPr>
        <w:instrText xml:space="preserve"> PAGEREF _Toc19203 \h </w:instrText>
      </w:r>
      <w:r>
        <w:rPr>
          <w:color w:val="auto"/>
        </w:rPr>
        <w:fldChar w:fldCharType="separate"/>
      </w:r>
      <w:r>
        <w:rPr>
          <w:color w:val="auto"/>
        </w:rPr>
        <w:t>8</w:t>
      </w:r>
      <w:r>
        <w:rPr>
          <w:color w:val="auto"/>
        </w:rPr>
        <w:fldChar w:fldCharType="end"/>
      </w:r>
      <w:r>
        <w:rPr>
          <w:rFonts w:hint="eastAsia" w:ascii="楷体" w:hAnsi="楷体" w:eastAsia="楷体" w:cs="楷体"/>
          <w:color w:val="auto"/>
          <w:szCs w:val="28"/>
          <w:highlight w:val="none"/>
        </w:rPr>
        <w:fldChar w:fldCharType="end"/>
      </w:r>
    </w:p>
    <w:p w14:paraId="2B20B065">
      <w:pPr>
        <w:pStyle w:val="15"/>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_Toc18282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szCs w:val="32"/>
          <w:highlight w:val="none"/>
          <w:lang w:eastAsia="zh-CN"/>
        </w:rPr>
        <w:t>三、投标文件</w:t>
      </w:r>
      <w:r>
        <w:rPr>
          <w:color w:val="auto"/>
        </w:rPr>
        <w:tab/>
      </w:r>
      <w:r>
        <w:rPr>
          <w:color w:val="auto"/>
        </w:rPr>
        <w:fldChar w:fldCharType="begin"/>
      </w:r>
      <w:r>
        <w:rPr>
          <w:color w:val="auto"/>
        </w:rPr>
        <w:instrText xml:space="preserve"> PAGEREF _Toc18282 \h </w:instrText>
      </w:r>
      <w:r>
        <w:rPr>
          <w:color w:val="auto"/>
        </w:rPr>
        <w:fldChar w:fldCharType="separate"/>
      </w:r>
      <w:r>
        <w:rPr>
          <w:color w:val="auto"/>
        </w:rPr>
        <w:t>9</w:t>
      </w:r>
      <w:r>
        <w:rPr>
          <w:color w:val="auto"/>
        </w:rPr>
        <w:fldChar w:fldCharType="end"/>
      </w:r>
      <w:r>
        <w:rPr>
          <w:rFonts w:hint="eastAsia" w:ascii="楷体" w:hAnsi="楷体" w:eastAsia="楷体" w:cs="楷体"/>
          <w:color w:val="auto"/>
          <w:szCs w:val="28"/>
          <w:highlight w:val="none"/>
        </w:rPr>
        <w:fldChar w:fldCharType="end"/>
      </w:r>
    </w:p>
    <w:p w14:paraId="13DA170D">
      <w:pPr>
        <w:pStyle w:val="15"/>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_Toc25300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szCs w:val="32"/>
          <w:highlight w:val="none"/>
        </w:rPr>
        <w:t>四、投标文件的提交</w:t>
      </w:r>
      <w:r>
        <w:rPr>
          <w:color w:val="auto"/>
        </w:rPr>
        <w:tab/>
      </w:r>
      <w:r>
        <w:rPr>
          <w:color w:val="auto"/>
        </w:rPr>
        <w:fldChar w:fldCharType="begin"/>
      </w:r>
      <w:r>
        <w:rPr>
          <w:color w:val="auto"/>
        </w:rPr>
        <w:instrText xml:space="preserve"> PAGEREF _Toc25300 \h </w:instrText>
      </w:r>
      <w:r>
        <w:rPr>
          <w:color w:val="auto"/>
        </w:rPr>
        <w:fldChar w:fldCharType="separate"/>
      </w:r>
      <w:r>
        <w:rPr>
          <w:color w:val="auto"/>
        </w:rPr>
        <w:t>11</w:t>
      </w:r>
      <w:r>
        <w:rPr>
          <w:color w:val="auto"/>
        </w:rPr>
        <w:fldChar w:fldCharType="end"/>
      </w:r>
      <w:r>
        <w:rPr>
          <w:rFonts w:hint="eastAsia" w:ascii="楷体" w:hAnsi="楷体" w:eastAsia="楷体" w:cs="楷体"/>
          <w:color w:val="auto"/>
          <w:szCs w:val="28"/>
          <w:highlight w:val="none"/>
        </w:rPr>
        <w:fldChar w:fldCharType="end"/>
      </w:r>
    </w:p>
    <w:p w14:paraId="6A4937E3">
      <w:pPr>
        <w:pStyle w:val="15"/>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_Toc31590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szCs w:val="32"/>
          <w:highlight w:val="none"/>
        </w:rPr>
        <w:t>五、开标与评标</w:t>
      </w:r>
      <w:r>
        <w:rPr>
          <w:color w:val="auto"/>
        </w:rPr>
        <w:tab/>
      </w:r>
      <w:r>
        <w:rPr>
          <w:color w:val="auto"/>
        </w:rPr>
        <w:fldChar w:fldCharType="begin"/>
      </w:r>
      <w:r>
        <w:rPr>
          <w:color w:val="auto"/>
        </w:rPr>
        <w:instrText xml:space="preserve"> PAGEREF _Toc31590 \h </w:instrText>
      </w:r>
      <w:r>
        <w:rPr>
          <w:color w:val="auto"/>
        </w:rPr>
        <w:fldChar w:fldCharType="separate"/>
      </w:r>
      <w:r>
        <w:rPr>
          <w:color w:val="auto"/>
        </w:rPr>
        <w:t>11</w:t>
      </w:r>
      <w:r>
        <w:rPr>
          <w:color w:val="auto"/>
        </w:rPr>
        <w:fldChar w:fldCharType="end"/>
      </w:r>
      <w:r>
        <w:rPr>
          <w:rFonts w:hint="eastAsia" w:ascii="楷体" w:hAnsi="楷体" w:eastAsia="楷体" w:cs="楷体"/>
          <w:color w:val="auto"/>
          <w:szCs w:val="28"/>
          <w:highlight w:val="none"/>
        </w:rPr>
        <w:fldChar w:fldCharType="end"/>
      </w:r>
    </w:p>
    <w:p w14:paraId="1BBB4E2C">
      <w:pPr>
        <w:pStyle w:val="15"/>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_Toc23340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szCs w:val="32"/>
          <w:highlight w:val="none"/>
        </w:rPr>
        <w:t>六、中标结果</w:t>
      </w:r>
      <w:r>
        <w:rPr>
          <w:color w:val="auto"/>
        </w:rPr>
        <w:tab/>
      </w:r>
      <w:r>
        <w:rPr>
          <w:color w:val="auto"/>
        </w:rPr>
        <w:fldChar w:fldCharType="begin"/>
      </w:r>
      <w:r>
        <w:rPr>
          <w:color w:val="auto"/>
        </w:rPr>
        <w:instrText xml:space="preserve"> PAGEREF _Toc23340 \h </w:instrText>
      </w:r>
      <w:r>
        <w:rPr>
          <w:color w:val="auto"/>
        </w:rPr>
        <w:fldChar w:fldCharType="separate"/>
      </w:r>
      <w:r>
        <w:rPr>
          <w:color w:val="auto"/>
        </w:rPr>
        <w:t>13</w:t>
      </w:r>
      <w:r>
        <w:rPr>
          <w:color w:val="auto"/>
        </w:rPr>
        <w:fldChar w:fldCharType="end"/>
      </w:r>
      <w:r>
        <w:rPr>
          <w:rFonts w:hint="eastAsia" w:ascii="楷体" w:hAnsi="楷体" w:eastAsia="楷体" w:cs="楷体"/>
          <w:color w:val="auto"/>
          <w:szCs w:val="28"/>
          <w:highlight w:val="none"/>
        </w:rPr>
        <w:fldChar w:fldCharType="end"/>
      </w:r>
    </w:p>
    <w:p w14:paraId="202EC451">
      <w:pPr>
        <w:pStyle w:val="15"/>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_Toc16794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szCs w:val="32"/>
          <w:highlight w:val="none"/>
        </w:rPr>
        <w:t>七、其他事项</w:t>
      </w:r>
      <w:r>
        <w:rPr>
          <w:color w:val="auto"/>
        </w:rPr>
        <w:tab/>
      </w:r>
      <w:r>
        <w:rPr>
          <w:color w:val="auto"/>
        </w:rPr>
        <w:fldChar w:fldCharType="begin"/>
      </w:r>
      <w:r>
        <w:rPr>
          <w:color w:val="auto"/>
        </w:rPr>
        <w:instrText xml:space="preserve"> PAGEREF _Toc16794 \h </w:instrText>
      </w:r>
      <w:r>
        <w:rPr>
          <w:color w:val="auto"/>
        </w:rPr>
        <w:fldChar w:fldCharType="separate"/>
      </w:r>
      <w:r>
        <w:rPr>
          <w:color w:val="auto"/>
        </w:rPr>
        <w:t>14</w:t>
      </w:r>
      <w:r>
        <w:rPr>
          <w:color w:val="auto"/>
        </w:rPr>
        <w:fldChar w:fldCharType="end"/>
      </w:r>
      <w:r>
        <w:rPr>
          <w:rFonts w:hint="eastAsia" w:ascii="楷体" w:hAnsi="楷体" w:eastAsia="楷体" w:cs="楷体"/>
          <w:color w:val="auto"/>
          <w:szCs w:val="28"/>
          <w:highlight w:val="none"/>
        </w:rPr>
        <w:fldChar w:fldCharType="end"/>
      </w:r>
    </w:p>
    <w:p w14:paraId="3BB9C546">
      <w:pPr>
        <w:pStyle w:val="14"/>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_Toc13953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highlight w:val="none"/>
        </w:rPr>
        <w:t>第三章 合同书样式及主要条款</w:t>
      </w:r>
      <w:r>
        <w:rPr>
          <w:color w:val="auto"/>
        </w:rPr>
        <w:tab/>
      </w:r>
      <w:r>
        <w:rPr>
          <w:color w:val="auto"/>
        </w:rPr>
        <w:fldChar w:fldCharType="begin"/>
      </w:r>
      <w:r>
        <w:rPr>
          <w:color w:val="auto"/>
        </w:rPr>
        <w:instrText xml:space="preserve"> PAGEREF _Toc13953 \h </w:instrText>
      </w:r>
      <w:r>
        <w:rPr>
          <w:color w:val="auto"/>
        </w:rPr>
        <w:fldChar w:fldCharType="separate"/>
      </w:r>
      <w:r>
        <w:rPr>
          <w:color w:val="auto"/>
        </w:rPr>
        <w:t>15</w:t>
      </w:r>
      <w:r>
        <w:rPr>
          <w:color w:val="auto"/>
        </w:rPr>
        <w:fldChar w:fldCharType="end"/>
      </w:r>
      <w:r>
        <w:rPr>
          <w:rFonts w:hint="eastAsia" w:ascii="楷体" w:hAnsi="楷体" w:eastAsia="楷体" w:cs="楷体"/>
          <w:color w:val="auto"/>
          <w:szCs w:val="28"/>
          <w:highlight w:val="none"/>
        </w:rPr>
        <w:fldChar w:fldCharType="end"/>
      </w:r>
    </w:p>
    <w:p w14:paraId="046C58FC">
      <w:pPr>
        <w:pStyle w:val="14"/>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_Toc29417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highlight w:val="none"/>
        </w:rPr>
        <w:t>第四章  投标文件格式</w:t>
      </w:r>
      <w:r>
        <w:rPr>
          <w:color w:val="auto"/>
        </w:rPr>
        <w:tab/>
      </w:r>
      <w:r>
        <w:rPr>
          <w:color w:val="auto"/>
        </w:rPr>
        <w:fldChar w:fldCharType="begin"/>
      </w:r>
      <w:r>
        <w:rPr>
          <w:color w:val="auto"/>
        </w:rPr>
        <w:instrText xml:space="preserve"> PAGEREF _Toc29417 \h </w:instrText>
      </w:r>
      <w:r>
        <w:rPr>
          <w:color w:val="auto"/>
        </w:rPr>
        <w:fldChar w:fldCharType="separate"/>
      </w:r>
      <w:r>
        <w:rPr>
          <w:color w:val="auto"/>
        </w:rPr>
        <w:t>20</w:t>
      </w:r>
      <w:r>
        <w:rPr>
          <w:color w:val="auto"/>
        </w:rPr>
        <w:fldChar w:fldCharType="end"/>
      </w:r>
      <w:r>
        <w:rPr>
          <w:rFonts w:hint="eastAsia" w:ascii="楷体" w:hAnsi="楷体" w:eastAsia="楷体" w:cs="楷体"/>
          <w:color w:val="auto"/>
          <w:szCs w:val="28"/>
          <w:highlight w:val="none"/>
        </w:rPr>
        <w:fldChar w:fldCharType="end"/>
      </w:r>
    </w:p>
    <w:p w14:paraId="15DA23E0">
      <w:pPr>
        <w:pStyle w:val="15"/>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_Toc29003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spacing w:val="-9"/>
          <w:szCs w:val="83"/>
          <w:highlight w:val="none"/>
          <w:lang w:val="en-US" w:eastAsia="zh-CN"/>
        </w:rPr>
        <w:t>投标</w:t>
      </w:r>
      <w:r>
        <w:rPr>
          <w:rFonts w:hint="eastAsia" w:ascii="楷体" w:hAnsi="楷体" w:eastAsia="楷体" w:cs="楷体"/>
          <w:color w:val="auto"/>
          <w:spacing w:val="-9"/>
          <w:szCs w:val="83"/>
          <w:highlight w:val="none"/>
        </w:rPr>
        <w:t>文件</w:t>
      </w:r>
      <w:r>
        <w:rPr>
          <w:color w:val="auto"/>
        </w:rPr>
        <w:tab/>
      </w:r>
      <w:r>
        <w:rPr>
          <w:color w:val="auto"/>
        </w:rPr>
        <w:fldChar w:fldCharType="begin"/>
      </w:r>
      <w:r>
        <w:rPr>
          <w:color w:val="auto"/>
        </w:rPr>
        <w:instrText xml:space="preserve"> PAGEREF _Toc29003 \h </w:instrText>
      </w:r>
      <w:r>
        <w:rPr>
          <w:color w:val="auto"/>
        </w:rPr>
        <w:fldChar w:fldCharType="separate"/>
      </w:r>
      <w:r>
        <w:rPr>
          <w:color w:val="auto"/>
        </w:rPr>
        <w:t>20</w:t>
      </w:r>
      <w:r>
        <w:rPr>
          <w:color w:val="auto"/>
        </w:rPr>
        <w:fldChar w:fldCharType="end"/>
      </w:r>
      <w:r>
        <w:rPr>
          <w:rFonts w:hint="eastAsia" w:ascii="楷体" w:hAnsi="楷体" w:eastAsia="楷体" w:cs="楷体"/>
          <w:color w:val="auto"/>
          <w:szCs w:val="28"/>
          <w:highlight w:val="none"/>
        </w:rPr>
        <w:fldChar w:fldCharType="end"/>
      </w:r>
    </w:p>
    <w:p w14:paraId="71A3A71D">
      <w:pPr>
        <w:pStyle w:val="14"/>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_Toc3205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szCs w:val="40"/>
          <w:highlight w:val="none"/>
        </w:rPr>
        <w:t>项目编号：</w:t>
      </w:r>
      <w:r>
        <w:rPr>
          <w:color w:val="auto"/>
        </w:rPr>
        <w:tab/>
      </w:r>
      <w:r>
        <w:rPr>
          <w:color w:val="auto"/>
        </w:rPr>
        <w:fldChar w:fldCharType="begin"/>
      </w:r>
      <w:r>
        <w:rPr>
          <w:color w:val="auto"/>
        </w:rPr>
        <w:instrText xml:space="preserve"> PAGEREF _Toc3205 \h </w:instrText>
      </w:r>
      <w:r>
        <w:rPr>
          <w:color w:val="auto"/>
        </w:rPr>
        <w:fldChar w:fldCharType="separate"/>
      </w:r>
      <w:r>
        <w:rPr>
          <w:color w:val="auto"/>
        </w:rPr>
        <w:t>20</w:t>
      </w:r>
      <w:r>
        <w:rPr>
          <w:color w:val="auto"/>
        </w:rPr>
        <w:fldChar w:fldCharType="end"/>
      </w:r>
      <w:r>
        <w:rPr>
          <w:rFonts w:hint="eastAsia" w:ascii="楷体" w:hAnsi="楷体" w:eastAsia="楷体" w:cs="楷体"/>
          <w:color w:val="auto"/>
          <w:szCs w:val="28"/>
          <w:highlight w:val="none"/>
        </w:rPr>
        <w:fldChar w:fldCharType="end"/>
      </w:r>
    </w:p>
    <w:p w14:paraId="690AFCA4">
      <w:pPr>
        <w:pStyle w:val="14"/>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_Toc9253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highlight w:val="none"/>
          <w:lang w:eastAsia="zh-CN"/>
        </w:rPr>
        <w:t>开标一览表</w:t>
      </w:r>
      <w:r>
        <w:rPr>
          <w:color w:val="auto"/>
        </w:rPr>
        <w:tab/>
      </w:r>
      <w:r>
        <w:rPr>
          <w:color w:val="auto"/>
        </w:rPr>
        <w:fldChar w:fldCharType="begin"/>
      </w:r>
      <w:r>
        <w:rPr>
          <w:color w:val="auto"/>
        </w:rPr>
        <w:instrText xml:space="preserve"> PAGEREF _Toc9253 \h </w:instrText>
      </w:r>
      <w:r>
        <w:rPr>
          <w:color w:val="auto"/>
        </w:rPr>
        <w:fldChar w:fldCharType="separate"/>
      </w:r>
      <w:r>
        <w:rPr>
          <w:color w:val="auto"/>
        </w:rPr>
        <w:t>22</w:t>
      </w:r>
      <w:r>
        <w:rPr>
          <w:color w:val="auto"/>
        </w:rPr>
        <w:fldChar w:fldCharType="end"/>
      </w:r>
      <w:r>
        <w:rPr>
          <w:rFonts w:hint="eastAsia" w:ascii="楷体" w:hAnsi="楷体" w:eastAsia="楷体" w:cs="楷体"/>
          <w:color w:val="auto"/>
          <w:szCs w:val="28"/>
          <w:highlight w:val="none"/>
        </w:rPr>
        <w:fldChar w:fldCharType="end"/>
      </w:r>
    </w:p>
    <w:p w14:paraId="57CE822D">
      <w:pPr>
        <w:pStyle w:val="14"/>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_Toc23560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highlight w:val="none"/>
          <w:lang w:eastAsia="zh-CN"/>
        </w:rPr>
        <w:t>资格审查部分</w:t>
      </w:r>
      <w:r>
        <w:rPr>
          <w:color w:val="auto"/>
        </w:rPr>
        <w:tab/>
      </w:r>
      <w:r>
        <w:rPr>
          <w:color w:val="auto"/>
        </w:rPr>
        <w:fldChar w:fldCharType="begin"/>
      </w:r>
      <w:r>
        <w:rPr>
          <w:color w:val="auto"/>
        </w:rPr>
        <w:instrText xml:space="preserve"> PAGEREF _Toc23560 \h </w:instrText>
      </w:r>
      <w:r>
        <w:rPr>
          <w:color w:val="auto"/>
        </w:rPr>
        <w:fldChar w:fldCharType="separate"/>
      </w:r>
      <w:r>
        <w:rPr>
          <w:color w:val="auto"/>
        </w:rPr>
        <w:t>23</w:t>
      </w:r>
      <w:r>
        <w:rPr>
          <w:color w:val="auto"/>
        </w:rPr>
        <w:fldChar w:fldCharType="end"/>
      </w:r>
      <w:r>
        <w:rPr>
          <w:rFonts w:hint="eastAsia" w:ascii="楷体" w:hAnsi="楷体" w:eastAsia="楷体" w:cs="楷体"/>
          <w:color w:val="auto"/>
          <w:szCs w:val="28"/>
          <w:highlight w:val="none"/>
        </w:rPr>
        <w:fldChar w:fldCharType="end"/>
      </w:r>
    </w:p>
    <w:p w14:paraId="1FD05B37">
      <w:pPr>
        <w:pStyle w:val="10"/>
        <w:keepNext w:val="0"/>
        <w:keepLines w:val="0"/>
        <w:pageBreakBefore w:val="0"/>
        <w:widowControl w:val="0"/>
        <w:tabs>
          <w:tab w:val="right" w:leader="dot" w:pos="963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_Toc18437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kern w:val="0"/>
          <w:szCs w:val="28"/>
          <w:highlight w:val="none"/>
          <w:lang w:eastAsia="zh-CN"/>
        </w:rPr>
        <w:t>一、</w:t>
      </w:r>
      <w:r>
        <w:rPr>
          <w:rFonts w:hint="eastAsia" w:ascii="楷体" w:hAnsi="楷体" w:eastAsia="楷体" w:cs="楷体"/>
          <w:color w:val="auto"/>
          <w:kern w:val="0"/>
          <w:szCs w:val="28"/>
          <w:highlight w:val="none"/>
        </w:rPr>
        <w:t>供应商基本情况表</w:t>
      </w:r>
      <w:r>
        <w:rPr>
          <w:color w:val="auto"/>
        </w:rPr>
        <w:tab/>
      </w:r>
      <w:r>
        <w:rPr>
          <w:color w:val="auto"/>
        </w:rPr>
        <w:fldChar w:fldCharType="begin"/>
      </w:r>
      <w:r>
        <w:rPr>
          <w:color w:val="auto"/>
        </w:rPr>
        <w:instrText xml:space="preserve"> PAGEREF _Toc18437 \h </w:instrText>
      </w:r>
      <w:r>
        <w:rPr>
          <w:color w:val="auto"/>
        </w:rPr>
        <w:fldChar w:fldCharType="separate"/>
      </w:r>
      <w:r>
        <w:rPr>
          <w:color w:val="auto"/>
        </w:rPr>
        <w:t>23</w:t>
      </w:r>
      <w:r>
        <w:rPr>
          <w:color w:val="auto"/>
        </w:rPr>
        <w:fldChar w:fldCharType="end"/>
      </w:r>
      <w:r>
        <w:rPr>
          <w:rFonts w:hint="eastAsia" w:ascii="楷体" w:hAnsi="楷体" w:eastAsia="楷体" w:cs="楷体"/>
          <w:color w:val="auto"/>
          <w:szCs w:val="28"/>
          <w:highlight w:val="none"/>
        </w:rPr>
        <w:fldChar w:fldCharType="end"/>
      </w:r>
    </w:p>
    <w:p w14:paraId="04B638F2">
      <w:pPr>
        <w:pStyle w:val="10"/>
        <w:keepNext w:val="0"/>
        <w:keepLines w:val="0"/>
        <w:pageBreakBefore w:val="0"/>
        <w:widowControl w:val="0"/>
        <w:tabs>
          <w:tab w:val="right" w:leader="dot" w:pos="963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_Toc22860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kern w:val="0"/>
          <w:szCs w:val="28"/>
          <w:highlight w:val="none"/>
          <w:lang w:eastAsia="zh-CN"/>
        </w:rPr>
        <w:t>二、资格证明文件</w:t>
      </w:r>
      <w:r>
        <w:rPr>
          <w:color w:val="auto"/>
        </w:rPr>
        <w:tab/>
      </w:r>
      <w:r>
        <w:rPr>
          <w:color w:val="auto"/>
        </w:rPr>
        <w:fldChar w:fldCharType="begin"/>
      </w:r>
      <w:r>
        <w:rPr>
          <w:color w:val="auto"/>
        </w:rPr>
        <w:instrText xml:space="preserve"> PAGEREF _Toc22860 \h </w:instrText>
      </w:r>
      <w:r>
        <w:rPr>
          <w:color w:val="auto"/>
        </w:rPr>
        <w:fldChar w:fldCharType="separate"/>
      </w:r>
      <w:r>
        <w:rPr>
          <w:color w:val="auto"/>
        </w:rPr>
        <w:t>24</w:t>
      </w:r>
      <w:r>
        <w:rPr>
          <w:color w:val="auto"/>
        </w:rPr>
        <w:fldChar w:fldCharType="end"/>
      </w:r>
      <w:r>
        <w:rPr>
          <w:rFonts w:hint="eastAsia" w:ascii="楷体" w:hAnsi="楷体" w:eastAsia="楷体" w:cs="楷体"/>
          <w:color w:val="auto"/>
          <w:szCs w:val="28"/>
          <w:highlight w:val="none"/>
        </w:rPr>
        <w:fldChar w:fldCharType="end"/>
      </w:r>
    </w:p>
    <w:p w14:paraId="31BF9DB6">
      <w:pPr>
        <w:pStyle w:val="10"/>
        <w:keepNext w:val="0"/>
        <w:keepLines w:val="0"/>
        <w:pageBreakBefore w:val="0"/>
        <w:widowControl w:val="0"/>
        <w:tabs>
          <w:tab w:val="right" w:leader="dot" w:pos="963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_Toc13615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kern w:val="0"/>
          <w:szCs w:val="28"/>
          <w:highlight w:val="none"/>
          <w:lang w:eastAsia="zh-CN"/>
        </w:rPr>
        <w:t>三、法定代表人身份证明书</w:t>
      </w:r>
      <w:r>
        <w:rPr>
          <w:color w:val="auto"/>
        </w:rPr>
        <w:tab/>
      </w:r>
      <w:r>
        <w:rPr>
          <w:color w:val="auto"/>
        </w:rPr>
        <w:fldChar w:fldCharType="begin"/>
      </w:r>
      <w:r>
        <w:rPr>
          <w:color w:val="auto"/>
        </w:rPr>
        <w:instrText xml:space="preserve"> PAGEREF _Toc13615 \h </w:instrText>
      </w:r>
      <w:r>
        <w:rPr>
          <w:color w:val="auto"/>
        </w:rPr>
        <w:fldChar w:fldCharType="separate"/>
      </w:r>
      <w:r>
        <w:rPr>
          <w:color w:val="auto"/>
        </w:rPr>
        <w:t>25</w:t>
      </w:r>
      <w:r>
        <w:rPr>
          <w:color w:val="auto"/>
        </w:rPr>
        <w:fldChar w:fldCharType="end"/>
      </w:r>
      <w:r>
        <w:rPr>
          <w:rFonts w:hint="eastAsia" w:ascii="楷体" w:hAnsi="楷体" w:eastAsia="楷体" w:cs="楷体"/>
          <w:color w:val="auto"/>
          <w:szCs w:val="28"/>
          <w:highlight w:val="none"/>
        </w:rPr>
        <w:fldChar w:fldCharType="end"/>
      </w:r>
    </w:p>
    <w:p w14:paraId="2C214B75">
      <w:pPr>
        <w:pStyle w:val="10"/>
        <w:keepNext w:val="0"/>
        <w:keepLines w:val="0"/>
        <w:pageBreakBefore w:val="0"/>
        <w:widowControl w:val="0"/>
        <w:tabs>
          <w:tab w:val="right" w:leader="dot" w:pos="963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_Toc1037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kern w:val="0"/>
          <w:szCs w:val="28"/>
          <w:highlight w:val="none"/>
          <w:lang w:eastAsia="zh-CN"/>
        </w:rPr>
        <w:t>四、法定代表人授权委托书</w:t>
      </w:r>
      <w:r>
        <w:rPr>
          <w:color w:val="auto"/>
        </w:rPr>
        <w:tab/>
      </w:r>
      <w:r>
        <w:rPr>
          <w:color w:val="auto"/>
        </w:rPr>
        <w:fldChar w:fldCharType="begin"/>
      </w:r>
      <w:r>
        <w:rPr>
          <w:color w:val="auto"/>
        </w:rPr>
        <w:instrText xml:space="preserve"> PAGEREF _Toc1037 \h </w:instrText>
      </w:r>
      <w:r>
        <w:rPr>
          <w:color w:val="auto"/>
        </w:rPr>
        <w:fldChar w:fldCharType="separate"/>
      </w:r>
      <w:r>
        <w:rPr>
          <w:color w:val="auto"/>
        </w:rPr>
        <w:t>26</w:t>
      </w:r>
      <w:r>
        <w:rPr>
          <w:color w:val="auto"/>
        </w:rPr>
        <w:fldChar w:fldCharType="end"/>
      </w:r>
      <w:r>
        <w:rPr>
          <w:rFonts w:hint="eastAsia" w:ascii="楷体" w:hAnsi="楷体" w:eastAsia="楷体" w:cs="楷体"/>
          <w:color w:val="auto"/>
          <w:szCs w:val="28"/>
          <w:highlight w:val="none"/>
        </w:rPr>
        <w:fldChar w:fldCharType="end"/>
      </w:r>
    </w:p>
    <w:p w14:paraId="479B5612">
      <w:pPr>
        <w:pStyle w:val="10"/>
        <w:keepNext w:val="0"/>
        <w:keepLines w:val="0"/>
        <w:pageBreakBefore w:val="0"/>
        <w:widowControl w:val="0"/>
        <w:tabs>
          <w:tab w:val="right" w:leader="dot" w:pos="963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_Toc31440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kern w:val="0"/>
          <w:szCs w:val="28"/>
          <w:highlight w:val="none"/>
          <w:lang w:val="en-US" w:eastAsia="zh-CN"/>
        </w:rPr>
        <w:t>五、</w:t>
      </w:r>
      <w:r>
        <w:rPr>
          <w:rFonts w:hint="eastAsia" w:ascii="楷体" w:hAnsi="楷体" w:eastAsia="楷体" w:cs="楷体"/>
          <w:color w:val="auto"/>
          <w:kern w:val="0"/>
          <w:szCs w:val="28"/>
          <w:highlight w:val="none"/>
          <w:lang w:eastAsia="zh-CN"/>
        </w:rPr>
        <w:t>类似业绩表</w:t>
      </w:r>
      <w:r>
        <w:rPr>
          <w:color w:val="auto"/>
        </w:rPr>
        <w:tab/>
      </w:r>
      <w:r>
        <w:rPr>
          <w:color w:val="auto"/>
        </w:rPr>
        <w:fldChar w:fldCharType="begin"/>
      </w:r>
      <w:r>
        <w:rPr>
          <w:color w:val="auto"/>
        </w:rPr>
        <w:instrText xml:space="preserve"> PAGEREF _Toc31440 \h </w:instrText>
      </w:r>
      <w:r>
        <w:rPr>
          <w:color w:val="auto"/>
        </w:rPr>
        <w:fldChar w:fldCharType="separate"/>
      </w:r>
      <w:r>
        <w:rPr>
          <w:color w:val="auto"/>
        </w:rPr>
        <w:t>27</w:t>
      </w:r>
      <w:r>
        <w:rPr>
          <w:color w:val="auto"/>
        </w:rPr>
        <w:fldChar w:fldCharType="end"/>
      </w:r>
      <w:r>
        <w:rPr>
          <w:rFonts w:hint="eastAsia" w:ascii="楷体" w:hAnsi="楷体" w:eastAsia="楷体" w:cs="楷体"/>
          <w:color w:val="auto"/>
          <w:szCs w:val="28"/>
          <w:highlight w:val="none"/>
        </w:rPr>
        <w:fldChar w:fldCharType="end"/>
      </w:r>
    </w:p>
    <w:p w14:paraId="6A1CFD1F">
      <w:pPr>
        <w:pStyle w:val="10"/>
        <w:keepNext w:val="0"/>
        <w:keepLines w:val="0"/>
        <w:pageBreakBefore w:val="0"/>
        <w:widowControl w:val="0"/>
        <w:tabs>
          <w:tab w:val="right" w:leader="dot" w:pos="963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_Toc2973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kern w:val="0"/>
          <w:szCs w:val="28"/>
          <w:highlight w:val="none"/>
          <w:lang w:val="en-US" w:eastAsia="zh-CN"/>
        </w:rPr>
        <w:t>六、人员配备情况表</w:t>
      </w:r>
      <w:r>
        <w:rPr>
          <w:color w:val="auto"/>
        </w:rPr>
        <w:tab/>
      </w:r>
      <w:r>
        <w:rPr>
          <w:color w:val="auto"/>
        </w:rPr>
        <w:fldChar w:fldCharType="begin"/>
      </w:r>
      <w:r>
        <w:rPr>
          <w:color w:val="auto"/>
        </w:rPr>
        <w:instrText xml:space="preserve"> PAGEREF _Toc2973 \h </w:instrText>
      </w:r>
      <w:r>
        <w:rPr>
          <w:color w:val="auto"/>
        </w:rPr>
        <w:fldChar w:fldCharType="separate"/>
      </w:r>
      <w:r>
        <w:rPr>
          <w:color w:val="auto"/>
        </w:rPr>
        <w:t>28</w:t>
      </w:r>
      <w:r>
        <w:rPr>
          <w:color w:val="auto"/>
        </w:rPr>
        <w:fldChar w:fldCharType="end"/>
      </w:r>
      <w:r>
        <w:rPr>
          <w:rFonts w:hint="eastAsia" w:ascii="楷体" w:hAnsi="楷体" w:eastAsia="楷体" w:cs="楷体"/>
          <w:color w:val="auto"/>
          <w:szCs w:val="28"/>
          <w:highlight w:val="none"/>
        </w:rPr>
        <w:fldChar w:fldCharType="end"/>
      </w:r>
    </w:p>
    <w:p w14:paraId="070E2473">
      <w:pPr>
        <w:pStyle w:val="10"/>
        <w:keepNext w:val="0"/>
        <w:keepLines w:val="0"/>
        <w:pageBreakBefore w:val="0"/>
        <w:widowControl w:val="0"/>
        <w:tabs>
          <w:tab w:val="right" w:leader="dot" w:pos="963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_Toc23654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kern w:val="0"/>
          <w:szCs w:val="28"/>
          <w:highlight w:val="none"/>
          <w:lang w:val="en-US" w:eastAsia="zh-CN"/>
        </w:rPr>
        <w:t>七</w:t>
      </w:r>
      <w:r>
        <w:rPr>
          <w:rFonts w:hint="eastAsia" w:ascii="楷体" w:hAnsi="楷体" w:eastAsia="楷体" w:cs="楷体"/>
          <w:color w:val="auto"/>
          <w:kern w:val="0"/>
          <w:szCs w:val="28"/>
          <w:highlight w:val="none"/>
          <w:lang w:eastAsia="zh-CN"/>
        </w:rPr>
        <w:t>、供应商认为如果满足招标文件要求还需要提供的资格证明文件</w:t>
      </w:r>
      <w:r>
        <w:rPr>
          <w:color w:val="auto"/>
        </w:rPr>
        <w:tab/>
      </w:r>
      <w:r>
        <w:rPr>
          <w:color w:val="auto"/>
        </w:rPr>
        <w:fldChar w:fldCharType="begin"/>
      </w:r>
      <w:r>
        <w:rPr>
          <w:color w:val="auto"/>
        </w:rPr>
        <w:instrText xml:space="preserve"> PAGEREF _Toc23654 \h </w:instrText>
      </w:r>
      <w:r>
        <w:rPr>
          <w:color w:val="auto"/>
        </w:rPr>
        <w:fldChar w:fldCharType="separate"/>
      </w:r>
      <w:r>
        <w:rPr>
          <w:color w:val="auto"/>
        </w:rPr>
        <w:t>29</w:t>
      </w:r>
      <w:r>
        <w:rPr>
          <w:color w:val="auto"/>
        </w:rPr>
        <w:fldChar w:fldCharType="end"/>
      </w:r>
      <w:r>
        <w:rPr>
          <w:rFonts w:hint="eastAsia" w:ascii="楷体" w:hAnsi="楷体" w:eastAsia="楷体" w:cs="楷体"/>
          <w:color w:val="auto"/>
          <w:szCs w:val="28"/>
          <w:highlight w:val="none"/>
        </w:rPr>
        <w:fldChar w:fldCharType="end"/>
      </w:r>
    </w:p>
    <w:p w14:paraId="361A8FA5">
      <w:pPr>
        <w:pStyle w:val="14"/>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_Toc31022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highlight w:val="none"/>
          <w:lang w:val="en-US" w:eastAsia="zh-CN"/>
        </w:rPr>
        <w:t>技术部分</w:t>
      </w:r>
      <w:r>
        <w:rPr>
          <w:color w:val="auto"/>
        </w:rPr>
        <w:tab/>
      </w:r>
      <w:r>
        <w:rPr>
          <w:color w:val="auto"/>
        </w:rPr>
        <w:fldChar w:fldCharType="begin"/>
      </w:r>
      <w:r>
        <w:rPr>
          <w:color w:val="auto"/>
        </w:rPr>
        <w:instrText xml:space="preserve"> PAGEREF _Toc31022 \h </w:instrText>
      </w:r>
      <w:r>
        <w:rPr>
          <w:color w:val="auto"/>
        </w:rPr>
        <w:fldChar w:fldCharType="separate"/>
      </w:r>
      <w:r>
        <w:rPr>
          <w:color w:val="auto"/>
        </w:rPr>
        <w:t>30</w:t>
      </w:r>
      <w:r>
        <w:rPr>
          <w:color w:val="auto"/>
        </w:rPr>
        <w:fldChar w:fldCharType="end"/>
      </w:r>
      <w:r>
        <w:rPr>
          <w:rFonts w:hint="eastAsia" w:ascii="楷体" w:hAnsi="楷体" w:eastAsia="楷体" w:cs="楷体"/>
          <w:color w:val="auto"/>
          <w:szCs w:val="28"/>
          <w:highlight w:val="none"/>
        </w:rPr>
        <w:fldChar w:fldCharType="end"/>
      </w:r>
    </w:p>
    <w:p w14:paraId="05A54A0D">
      <w:pPr>
        <w:pStyle w:val="10"/>
        <w:keepNext w:val="0"/>
        <w:keepLines w:val="0"/>
        <w:pageBreakBefore w:val="0"/>
        <w:widowControl w:val="0"/>
        <w:tabs>
          <w:tab w:val="right" w:leader="dot" w:pos="963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_Toc27481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kern w:val="0"/>
          <w:szCs w:val="28"/>
          <w:highlight w:val="none"/>
          <w:lang w:val="en-US" w:eastAsia="zh-CN"/>
        </w:rPr>
        <w:t>一、技术响应指标</w:t>
      </w:r>
      <w:r>
        <w:rPr>
          <w:color w:val="auto"/>
        </w:rPr>
        <w:tab/>
      </w:r>
      <w:r>
        <w:rPr>
          <w:color w:val="auto"/>
        </w:rPr>
        <w:fldChar w:fldCharType="begin"/>
      </w:r>
      <w:r>
        <w:rPr>
          <w:color w:val="auto"/>
        </w:rPr>
        <w:instrText xml:space="preserve"> PAGEREF _Toc27481 \h </w:instrText>
      </w:r>
      <w:r>
        <w:rPr>
          <w:color w:val="auto"/>
        </w:rPr>
        <w:fldChar w:fldCharType="separate"/>
      </w:r>
      <w:r>
        <w:rPr>
          <w:color w:val="auto"/>
        </w:rPr>
        <w:t>30</w:t>
      </w:r>
      <w:r>
        <w:rPr>
          <w:color w:val="auto"/>
        </w:rPr>
        <w:fldChar w:fldCharType="end"/>
      </w:r>
      <w:r>
        <w:rPr>
          <w:rFonts w:hint="eastAsia" w:ascii="楷体" w:hAnsi="楷体" w:eastAsia="楷体" w:cs="楷体"/>
          <w:color w:val="auto"/>
          <w:szCs w:val="28"/>
          <w:highlight w:val="none"/>
        </w:rPr>
        <w:fldChar w:fldCharType="end"/>
      </w:r>
    </w:p>
    <w:p w14:paraId="283AD42A">
      <w:pPr>
        <w:pStyle w:val="10"/>
        <w:keepNext w:val="0"/>
        <w:keepLines w:val="0"/>
        <w:pageBreakBefore w:val="0"/>
        <w:widowControl w:val="0"/>
        <w:tabs>
          <w:tab w:val="right" w:leader="dot" w:pos="963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_Toc6532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kern w:val="0"/>
          <w:szCs w:val="28"/>
          <w:highlight w:val="none"/>
          <w:lang w:val="en-US" w:eastAsia="zh-CN"/>
        </w:rPr>
        <w:t>二、物资采购渠道</w:t>
      </w:r>
      <w:r>
        <w:rPr>
          <w:color w:val="auto"/>
        </w:rPr>
        <w:tab/>
      </w:r>
      <w:r>
        <w:rPr>
          <w:color w:val="auto"/>
        </w:rPr>
        <w:fldChar w:fldCharType="begin"/>
      </w:r>
      <w:r>
        <w:rPr>
          <w:color w:val="auto"/>
        </w:rPr>
        <w:instrText xml:space="preserve"> PAGEREF _Toc6532 \h </w:instrText>
      </w:r>
      <w:r>
        <w:rPr>
          <w:color w:val="auto"/>
        </w:rPr>
        <w:fldChar w:fldCharType="separate"/>
      </w:r>
      <w:r>
        <w:rPr>
          <w:color w:val="auto"/>
        </w:rPr>
        <w:t>30</w:t>
      </w:r>
      <w:r>
        <w:rPr>
          <w:color w:val="auto"/>
        </w:rPr>
        <w:fldChar w:fldCharType="end"/>
      </w:r>
      <w:r>
        <w:rPr>
          <w:rFonts w:hint="eastAsia" w:ascii="楷体" w:hAnsi="楷体" w:eastAsia="楷体" w:cs="楷体"/>
          <w:color w:val="auto"/>
          <w:szCs w:val="28"/>
          <w:highlight w:val="none"/>
        </w:rPr>
        <w:fldChar w:fldCharType="end"/>
      </w:r>
    </w:p>
    <w:p w14:paraId="0CD253BA">
      <w:pPr>
        <w:pStyle w:val="10"/>
        <w:keepNext w:val="0"/>
        <w:keepLines w:val="0"/>
        <w:pageBreakBefore w:val="0"/>
        <w:widowControl w:val="0"/>
        <w:tabs>
          <w:tab w:val="right" w:leader="dot" w:pos="963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_Toc9843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kern w:val="0"/>
          <w:szCs w:val="28"/>
          <w:highlight w:val="none"/>
          <w:lang w:val="en-US" w:eastAsia="zh-CN"/>
        </w:rPr>
        <w:t>三、项目拟投入人员情况表</w:t>
      </w:r>
      <w:r>
        <w:rPr>
          <w:color w:val="auto"/>
        </w:rPr>
        <w:tab/>
      </w:r>
      <w:r>
        <w:rPr>
          <w:color w:val="auto"/>
        </w:rPr>
        <w:fldChar w:fldCharType="begin"/>
      </w:r>
      <w:r>
        <w:rPr>
          <w:color w:val="auto"/>
        </w:rPr>
        <w:instrText xml:space="preserve"> PAGEREF _Toc9843 \h </w:instrText>
      </w:r>
      <w:r>
        <w:rPr>
          <w:color w:val="auto"/>
        </w:rPr>
        <w:fldChar w:fldCharType="separate"/>
      </w:r>
      <w:r>
        <w:rPr>
          <w:color w:val="auto"/>
        </w:rPr>
        <w:t>30</w:t>
      </w:r>
      <w:r>
        <w:rPr>
          <w:color w:val="auto"/>
        </w:rPr>
        <w:fldChar w:fldCharType="end"/>
      </w:r>
      <w:r>
        <w:rPr>
          <w:rFonts w:hint="eastAsia" w:ascii="楷体" w:hAnsi="楷体" w:eastAsia="楷体" w:cs="楷体"/>
          <w:color w:val="auto"/>
          <w:szCs w:val="28"/>
          <w:highlight w:val="none"/>
        </w:rPr>
        <w:fldChar w:fldCharType="end"/>
      </w:r>
    </w:p>
    <w:p w14:paraId="294640DB">
      <w:pPr>
        <w:pStyle w:val="10"/>
        <w:keepNext w:val="0"/>
        <w:keepLines w:val="0"/>
        <w:pageBreakBefore w:val="0"/>
        <w:widowControl w:val="0"/>
        <w:tabs>
          <w:tab w:val="right" w:leader="dot" w:pos="963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_Toc2308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kern w:val="0"/>
          <w:szCs w:val="28"/>
          <w:highlight w:val="none"/>
          <w:lang w:val="en-US" w:eastAsia="zh-CN"/>
        </w:rPr>
        <w:t>四、供应商认为需要提供的资料</w:t>
      </w:r>
      <w:r>
        <w:rPr>
          <w:color w:val="auto"/>
        </w:rPr>
        <w:tab/>
      </w:r>
      <w:r>
        <w:rPr>
          <w:color w:val="auto"/>
        </w:rPr>
        <w:fldChar w:fldCharType="begin"/>
      </w:r>
      <w:r>
        <w:rPr>
          <w:color w:val="auto"/>
        </w:rPr>
        <w:instrText xml:space="preserve"> PAGEREF _Toc2308 \h </w:instrText>
      </w:r>
      <w:r>
        <w:rPr>
          <w:color w:val="auto"/>
        </w:rPr>
        <w:fldChar w:fldCharType="separate"/>
      </w:r>
      <w:r>
        <w:rPr>
          <w:color w:val="auto"/>
        </w:rPr>
        <w:t>30</w:t>
      </w:r>
      <w:r>
        <w:rPr>
          <w:color w:val="auto"/>
        </w:rPr>
        <w:fldChar w:fldCharType="end"/>
      </w:r>
      <w:r>
        <w:rPr>
          <w:rFonts w:hint="eastAsia" w:ascii="楷体" w:hAnsi="楷体" w:eastAsia="楷体" w:cs="楷体"/>
          <w:color w:val="auto"/>
          <w:szCs w:val="28"/>
          <w:highlight w:val="none"/>
        </w:rPr>
        <w:fldChar w:fldCharType="end"/>
      </w:r>
    </w:p>
    <w:p w14:paraId="62E827C8">
      <w:pPr>
        <w:pStyle w:val="14"/>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_Toc5667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highlight w:val="none"/>
          <w:lang w:eastAsia="zh-CN"/>
        </w:rPr>
        <w:t>商务部分</w:t>
      </w:r>
      <w:r>
        <w:rPr>
          <w:color w:val="auto"/>
        </w:rPr>
        <w:tab/>
      </w:r>
      <w:r>
        <w:rPr>
          <w:color w:val="auto"/>
        </w:rPr>
        <w:fldChar w:fldCharType="begin"/>
      </w:r>
      <w:r>
        <w:rPr>
          <w:color w:val="auto"/>
        </w:rPr>
        <w:instrText xml:space="preserve"> PAGEREF _Toc5667 \h </w:instrText>
      </w:r>
      <w:r>
        <w:rPr>
          <w:color w:val="auto"/>
        </w:rPr>
        <w:fldChar w:fldCharType="separate"/>
      </w:r>
      <w:r>
        <w:rPr>
          <w:color w:val="auto"/>
        </w:rPr>
        <w:t>31</w:t>
      </w:r>
      <w:r>
        <w:rPr>
          <w:color w:val="auto"/>
        </w:rPr>
        <w:fldChar w:fldCharType="end"/>
      </w:r>
      <w:r>
        <w:rPr>
          <w:rFonts w:hint="eastAsia" w:ascii="楷体" w:hAnsi="楷体" w:eastAsia="楷体" w:cs="楷体"/>
          <w:color w:val="auto"/>
          <w:szCs w:val="28"/>
          <w:highlight w:val="none"/>
        </w:rPr>
        <w:fldChar w:fldCharType="end"/>
      </w:r>
    </w:p>
    <w:p w14:paraId="28114859">
      <w:pPr>
        <w:pStyle w:val="10"/>
        <w:keepNext w:val="0"/>
        <w:keepLines w:val="0"/>
        <w:pageBreakBefore w:val="0"/>
        <w:widowControl w:val="0"/>
        <w:tabs>
          <w:tab w:val="right" w:leader="dot" w:pos="963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_Toc7555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kern w:val="0"/>
          <w:szCs w:val="32"/>
          <w:highlight w:val="none"/>
        </w:rPr>
        <w:t>一、投 标 函</w:t>
      </w:r>
      <w:r>
        <w:rPr>
          <w:color w:val="auto"/>
        </w:rPr>
        <w:tab/>
      </w:r>
      <w:r>
        <w:rPr>
          <w:color w:val="auto"/>
        </w:rPr>
        <w:fldChar w:fldCharType="begin"/>
      </w:r>
      <w:r>
        <w:rPr>
          <w:color w:val="auto"/>
        </w:rPr>
        <w:instrText xml:space="preserve"> PAGEREF _Toc7555 \h </w:instrText>
      </w:r>
      <w:r>
        <w:rPr>
          <w:color w:val="auto"/>
        </w:rPr>
        <w:fldChar w:fldCharType="separate"/>
      </w:r>
      <w:r>
        <w:rPr>
          <w:color w:val="auto"/>
        </w:rPr>
        <w:t>31</w:t>
      </w:r>
      <w:r>
        <w:rPr>
          <w:color w:val="auto"/>
        </w:rPr>
        <w:fldChar w:fldCharType="end"/>
      </w:r>
      <w:r>
        <w:rPr>
          <w:rFonts w:hint="eastAsia" w:ascii="楷体" w:hAnsi="楷体" w:eastAsia="楷体" w:cs="楷体"/>
          <w:color w:val="auto"/>
          <w:szCs w:val="28"/>
          <w:highlight w:val="none"/>
        </w:rPr>
        <w:fldChar w:fldCharType="end"/>
      </w:r>
    </w:p>
    <w:p w14:paraId="1AD2513F">
      <w:pPr>
        <w:pStyle w:val="10"/>
        <w:keepNext w:val="0"/>
        <w:keepLines w:val="0"/>
        <w:pageBreakBefore w:val="0"/>
        <w:widowControl w:val="0"/>
        <w:tabs>
          <w:tab w:val="right" w:leader="dot" w:pos="963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_Toc21408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kern w:val="0"/>
          <w:szCs w:val="32"/>
          <w:highlight w:val="none"/>
          <w:lang w:eastAsia="zh-CN"/>
        </w:rPr>
        <w:t>二、分项报价表</w:t>
      </w:r>
      <w:r>
        <w:rPr>
          <w:color w:val="auto"/>
        </w:rPr>
        <w:tab/>
      </w:r>
      <w:r>
        <w:rPr>
          <w:color w:val="auto"/>
        </w:rPr>
        <w:fldChar w:fldCharType="begin"/>
      </w:r>
      <w:r>
        <w:rPr>
          <w:color w:val="auto"/>
        </w:rPr>
        <w:instrText xml:space="preserve"> PAGEREF _Toc21408 \h </w:instrText>
      </w:r>
      <w:r>
        <w:rPr>
          <w:color w:val="auto"/>
        </w:rPr>
        <w:fldChar w:fldCharType="separate"/>
      </w:r>
      <w:r>
        <w:rPr>
          <w:color w:val="auto"/>
        </w:rPr>
        <w:t>32</w:t>
      </w:r>
      <w:r>
        <w:rPr>
          <w:color w:val="auto"/>
        </w:rPr>
        <w:fldChar w:fldCharType="end"/>
      </w:r>
      <w:r>
        <w:rPr>
          <w:rFonts w:hint="eastAsia" w:ascii="楷体" w:hAnsi="楷体" w:eastAsia="楷体" w:cs="楷体"/>
          <w:color w:val="auto"/>
          <w:szCs w:val="28"/>
          <w:highlight w:val="none"/>
        </w:rPr>
        <w:fldChar w:fldCharType="end"/>
      </w:r>
    </w:p>
    <w:p w14:paraId="484B2802">
      <w:pPr>
        <w:pStyle w:val="10"/>
        <w:keepNext w:val="0"/>
        <w:keepLines w:val="0"/>
        <w:pageBreakBefore w:val="0"/>
        <w:widowControl w:val="0"/>
        <w:tabs>
          <w:tab w:val="right" w:leader="dot" w:pos="963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_Toc29292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kern w:val="0"/>
          <w:szCs w:val="32"/>
          <w:highlight w:val="none"/>
          <w:lang w:val="en-US" w:eastAsia="zh-CN"/>
        </w:rPr>
        <w:t>三、商务条款偏离表</w:t>
      </w:r>
      <w:r>
        <w:rPr>
          <w:color w:val="auto"/>
        </w:rPr>
        <w:tab/>
      </w:r>
      <w:r>
        <w:rPr>
          <w:color w:val="auto"/>
        </w:rPr>
        <w:fldChar w:fldCharType="begin"/>
      </w:r>
      <w:r>
        <w:rPr>
          <w:color w:val="auto"/>
        </w:rPr>
        <w:instrText xml:space="preserve"> PAGEREF _Toc29292 \h </w:instrText>
      </w:r>
      <w:r>
        <w:rPr>
          <w:color w:val="auto"/>
        </w:rPr>
        <w:fldChar w:fldCharType="separate"/>
      </w:r>
      <w:r>
        <w:rPr>
          <w:color w:val="auto"/>
        </w:rPr>
        <w:t>36</w:t>
      </w:r>
      <w:r>
        <w:rPr>
          <w:color w:val="auto"/>
        </w:rPr>
        <w:fldChar w:fldCharType="end"/>
      </w:r>
      <w:r>
        <w:rPr>
          <w:rFonts w:hint="eastAsia" w:ascii="楷体" w:hAnsi="楷体" w:eastAsia="楷体" w:cs="楷体"/>
          <w:color w:val="auto"/>
          <w:szCs w:val="28"/>
          <w:highlight w:val="none"/>
        </w:rPr>
        <w:fldChar w:fldCharType="end"/>
      </w:r>
    </w:p>
    <w:p w14:paraId="62FB7A63">
      <w:pPr>
        <w:pStyle w:val="10"/>
        <w:keepNext w:val="0"/>
        <w:keepLines w:val="0"/>
        <w:pageBreakBefore w:val="0"/>
        <w:widowControl w:val="0"/>
        <w:tabs>
          <w:tab w:val="right" w:leader="dot" w:pos="963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_Toc2343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kern w:val="0"/>
          <w:szCs w:val="32"/>
          <w:highlight w:val="none"/>
          <w:lang w:val="en-US" w:eastAsia="zh-CN"/>
        </w:rPr>
        <w:t>四、中小企业声明函</w:t>
      </w:r>
      <w:r>
        <w:rPr>
          <w:color w:val="auto"/>
        </w:rPr>
        <w:tab/>
      </w:r>
      <w:r>
        <w:rPr>
          <w:color w:val="auto"/>
        </w:rPr>
        <w:fldChar w:fldCharType="begin"/>
      </w:r>
      <w:r>
        <w:rPr>
          <w:color w:val="auto"/>
        </w:rPr>
        <w:instrText xml:space="preserve"> PAGEREF _Toc2343 \h </w:instrText>
      </w:r>
      <w:r>
        <w:rPr>
          <w:color w:val="auto"/>
        </w:rPr>
        <w:fldChar w:fldCharType="separate"/>
      </w:r>
      <w:r>
        <w:rPr>
          <w:color w:val="auto"/>
        </w:rPr>
        <w:t>37</w:t>
      </w:r>
      <w:r>
        <w:rPr>
          <w:color w:val="auto"/>
        </w:rPr>
        <w:fldChar w:fldCharType="end"/>
      </w:r>
      <w:r>
        <w:rPr>
          <w:rFonts w:hint="eastAsia" w:ascii="楷体" w:hAnsi="楷体" w:eastAsia="楷体" w:cs="楷体"/>
          <w:color w:val="auto"/>
          <w:szCs w:val="28"/>
          <w:highlight w:val="none"/>
        </w:rPr>
        <w:fldChar w:fldCharType="end"/>
      </w:r>
    </w:p>
    <w:p w14:paraId="07E9DA7D">
      <w:pPr>
        <w:pStyle w:val="10"/>
        <w:keepNext w:val="0"/>
        <w:keepLines w:val="0"/>
        <w:pageBreakBefore w:val="0"/>
        <w:widowControl w:val="0"/>
        <w:tabs>
          <w:tab w:val="right" w:leader="dot" w:pos="963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_Toc15938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kern w:val="0"/>
          <w:szCs w:val="32"/>
          <w:highlight w:val="none"/>
          <w:lang w:val="en-US" w:eastAsia="zh-CN"/>
        </w:rPr>
        <w:t>五、残疾人福利性单位声明函</w:t>
      </w:r>
      <w:r>
        <w:rPr>
          <w:color w:val="auto"/>
        </w:rPr>
        <w:tab/>
      </w:r>
      <w:r>
        <w:rPr>
          <w:color w:val="auto"/>
        </w:rPr>
        <w:fldChar w:fldCharType="begin"/>
      </w:r>
      <w:r>
        <w:rPr>
          <w:color w:val="auto"/>
        </w:rPr>
        <w:instrText xml:space="preserve"> PAGEREF _Toc15938 \h </w:instrText>
      </w:r>
      <w:r>
        <w:rPr>
          <w:color w:val="auto"/>
        </w:rPr>
        <w:fldChar w:fldCharType="separate"/>
      </w:r>
      <w:r>
        <w:rPr>
          <w:color w:val="auto"/>
        </w:rPr>
        <w:t>38</w:t>
      </w:r>
      <w:r>
        <w:rPr>
          <w:color w:val="auto"/>
        </w:rPr>
        <w:fldChar w:fldCharType="end"/>
      </w:r>
      <w:r>
        <w:rPr>
          <w:rFonts w:hint="eastAsia" w:ascii="楷体" w:hAnsi="楷体" w:eastAsia="楷体" w:cs="楷体"/>
          <w:color w:val="auto"/>
          <w:szCs w:val="28"/>
          <w:highlight w:val="none"/>
        </w:rPr>
        <w:fldChar w:fldCharType="end"/>
      </w:r>
    </w:p>
    <w:p w14:paraId="3AB9A0C1">
      <w:pPr>
        <w:pStyle w:val="10"/>
        <w:keepNext w:val="0"/>
        <w:keepLines w:val="0"/>
        <w:pageBreakBefore w:val="0"/>
        <w:widowControl w:val="0"/>
        <w:tabs>
          <w:tab w:val="right" w:leader="dot" w:pos="963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_Toc28028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kern w:val="0"/>
          <w:szCs w:val="32"/>
          <w:highlight w:val="none"/>
          <w:lang w:val="en-US" w:eastAsia="zh-CN"/>
        </w:rPr>
        <w:t>六、监狱企业证明材料</w:t>
      </w:r>
      <w:r>
        <w:rPr>
          <w:color w:val="auto"/>
        </w:rPr>
        <w:tab/>
      </w:r>
      <w:r>
        <w:rPr>
          <w:color w:val="auto"/>
        </w:rPr>
        <w:fldChar w:fldCharType="begin"/>
      </w:r>
      <w:r>
        <w:rPr>
          <w:color w:val="auto"/>
        </w:rPr>
        <w:instrText xml:space="preserve"> PAGEREF _Toc28028 \h </w:instrText>
      </w:r>
      <w:r>
        <w:rPr>
          <w:color w:val="auto"/>
        </w:rPr>
        <w:fldChar w:fldCharType="separate"/>
      </w:r>
      <w:r>
        <w:rPr>
          <w:color w:val="auto"/>
        </w:rPr>
        <w:t>39</w:t>
      </w:r>
      <w:r>
        <w:rPr>
          <w:color w:val="auto"/>
        </w:rPr>
        <w:fldChar w:fldCharType="end"/>
      </w:r>
      <w:r>
        <w:rPr>
          <w:rFonts w:hint="eastAsia" w:ascii="楷体" w:hAnsi="楷体" w:eastAsia="楷体" w:cs="楷体"/>
          <w:color w:val="auto"/>
          <w:szCs w:val="28"/>
          <w:highlight w:val="none"/>
        </w:rPr>
        <w:fldChar w:fldCharType="end"/>
      </w:r>
    </w:p>
    <w:p w14:paraId="4749B766">
      <w:pPr>
        <w:pStyle w:val="10"/>
        <w:keepNext w:val="0"/>
        <w:keepLines w:val="0"/>
        <w:pageBreakBefore w:val="0"/>
        <w:widowControl w:val="0"/>
        <w:tabs>
          <w:tab w:val="right" w:leader="dot" w:pos="963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_Toc1241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kern w:val="0"/>
          <w:szCs w:val="32"/>
          <w:highlight w:val="none"/>
          <w:lang w:val="en-US" w:eastAsia="zh-CN" w:bidi="ar-SA"/>
        </w:rPr>
        <w:t>七、投标人信用</w:t>
      </w:r>
      <w:r>
        <w:rPr>
          <w:color w:val="auto"/>
        </w:rPr>
        <w:tab/>
      </w:r>
      <w:r>
        <w:rPr>
          <w:color w:val="auto"/>
        </w:rPr>
        <w:fldChar w:fldCharType="begin"/>
      </w:r>
      <w:r>
        <w:rPr>
          <w:color w:val="auto"/>
        </w:rPr>
        <w:instrText xml:space="preserve"> PAGEREF _Toc1241 \h </w:instrText>
      </w:r>
      <w:r>
        <w:rPr>
          <w:color w:val="auto"/>
        </w:rPr>
        <w:fldChar w:fldCharType="separate"/>
      </w:r>
      <w:r>
        <w:rPr>
          <w:color w:val="auto"/>
        </w:rPr>
        <w:t>40</w:t>
      </w:r>
      <w:r>
        <w:rPr>
          <w:color w:val="auto"/>
        </w:rPr>
        <w:fldChar w:fldCharType="end"/>
      </w:r>
      <w:r>
        <w:rPr>
          <w:rFonts w:hint="eastAsia" w:ascii="楷体" w:hAnsi="楷体" w:eastAsia="楷体" w:cs="楷体"/>
          <w:color w:val="auto"/>
          <w:szCs w:val="28"/>
          <w:highlight w:val="none"/>
        </w:rPr>
        <w:fldChar w:fldCharType="end"/>
      </w:r>
    </w:p>
    <w:p w14:paraId="59F573F7">
      <w:pPr>
        <w:pStyle w:val="10"/>
        <w:keepNext w:val="0"/>
        <w:keepLines w:val="0"/>
        <w:pageBreakBefore w:val="0"/>
        <w:widowControl w:val="0"/>
        <w:tabs>
          <w:tab w:val="right" w:leader="dot" w:pos="963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_Toc23954 </w:instrText>
      </w:r>
      <w:r>
        <w:rPr>
          <w:rFonts w:hint="eastAsia" w:ascii="楷体" w:hAnsi="楷体" w:eastAsia="楷体" w:cs="楷体"/>
          <w:color w:val="auto"/>
          <w:szCs w:val="28"/>
          <w:highlight w:val="none"/>
        </w:rPr>
        <w:fldChar w:fldCharType="separate"/>
      </w:r>
      <w:r>
        <w:rPr>
          <w:rFonts w:hint="eastAsia" w:ascii="楷体" w:hAnsi="楷体" w:eastAsia="楷体" w:cs="楷体"/>
          <w:bCs/>
          <w:color w:val="auto"/>
          <w:kern w:val="0"/>
          <w:szCs w:val="32"/>
          <w:highlight w:val="none"/>
          <w:lang w:val="en-US" w:eastAsia="zh-CN" w:bidi="ar-SA"/>
        </w:rPr>
        <w:t>八、类似业绩表</w:t>
      </w:r>
      <w:r>
        <w:rPr>
          <w:color w:val="auto"/>
        </w:rPr>
        <w:tab/>
      </w:r>
      <w:r>
        <w:rPr>
          <w:color w:val="auto"/>
        </w:rPr>
        <w:fldChar w:fldCharType="begin"/>
      </w:r>
      <w:r>
        <w:rPr>
          <w:color w:val="auto"/>
        </w:rPr>
        <w:instrText xml:space="preserve"> PAGEREF _Toc23954 \h </w:instrText>
      </w:r>
      <w:r>
        <w:rPr>
          <w:color w:val="auto"/>
        </w:rPr>
        <w:fldChar w:fldCharType="separate"/>
      </w:r>
      <w:r>
        <w:rPr>
          <w:color w:val="auto"/>
        </w:rPr>
        <w:t>40</w:t>
      </w:r>
      <w:r>
        <w:rPr>
          <w:color w:val="auto"/>
        </w:rPr>
        <w:fldChar w:fldCharType="end"/>
      </w:r>
      <w:r>
        <w:rPr>
          <w:rFonts w:hint="eastAsia" w:ascii="楷体" w:hAnsi="楷体" w:eastAsia="楷体" w:cs="楷体"/>
          <w:color w:val="auto"/>
          <w:szCs w:val="28"/>
          <w:highlight w:val="none"/>
        </w:rPr>
        <w:fldChar w:fldCharType="end"/>
      </w:r>
    </w:p>
    <w:p w14:paraId="7A7CF495">
      <w:pPr>
        <w:pStyle w:val="10"/>
        <w:keepNext w:val="0"/>
        <w:keepLines w:val="0"/>
        <w:pageBreakBefore w:val="0"/>
        <w:widowControl w:val="0"/>
        <w:tabs>
          <w:tab w:val="right" w:leader="dot" w:pos="963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_Toc3368 </w:instrText>
      </w:r>
      <w:r>
        <w:rPr>
          <w:rFonts w:hint="eastAsia" w:ascii="楷体" w:hAnsi="楷体" w:eastAsia="楷体" w:cs="楷体"/>
          <w:color w:val="auto"/>
          <w:szCs w:val="28"/>
          <w:highlight w:val="none"/>
        </w:rPr>
        <w:fldChar w:fldCharType="separate"/>
      </w:r>
      <w:r>
        <w:rPr>
          <w:rFonts w:hint="eastAsia" w:ascii="楷体" w:hAnsi="楷体" w:eastAsia="楷体" w:cs="楷体"/>
          <w:bCs/>
          <w:color w:val="auto"/>
          <w:kern w:val="0"/>
          <w:szCs w:val="32"/>
          <w:highlight w:val="none"/>
          <w:lang w:val="en-US" w:eastAsia="zh-CN" w:bidi="ar-SA"/>
        </w:rPr>
        <w:t>九、质量保证及承诺</w:t>
      </w:r>
      <w:r>
        <w:rPr>
          <w:color w:val="auto"/>
        </w:rPr>
        <w:tab/>
      </w:r>
      <w:r>
        <w:rPr>
          <w:color w:val="auto"/>
        </w:rPr>
        <w:fldChar w:fldCharType="begin"/>
      </w:r>
      <w:r>
        <w:rPr>
          <w:color w:val="auto"/>
        </w:rPr>
        <w:instrText xml:space="preserve"> PAGEREF _Toc3368 \h </w:instrText>
      </w:r>
      <w:r>
        <w:rPr>
          <w:color w:val="auto"/>
        </w:rPr>
        <w:fldChar w:fldCharType="separate"/>
      </w:r>
      <w:r>
        <w:rPr>
          <w:color w:val="auto"/>
        </w:rPr>
        <w:t>40</w:t>
      </w:r>
      <w:r>
        <w:rPr>
          <w:color w:val="auto"/>
        </w:rPr>
        <w:fldChar w:fldCharType="end"/>
      </w:r>
      <w:r>
        <w:rPr>
          <w:rFonts w:hint="eastAsia" w:ascii="楷体" w:hAnsi="楷体" w:eastAsia="楷体" w:cs="楷体"/>
          <w:color w:val="auto"/>
          <w:szCs w:val="28"/>
          <w:highlight w:val="none"/>
        </w:rPr>
        <w:fldChar w:fldCharType="end"/>
      </w:r>
    </w:p>
    <w:p w14:paraId="7992C7A8">
      <w:pPr>
        <w:pStyle w:val="10"/>
        <w:keepNext w:val="0"/>
        <w:keepLines w:val="0"/>
        <w:pageBreakBefore w:val="0"/>
        <w:widowControl w:val="0"/>
        <w:tabs>
          <w:tab w:val="right" w:leader="dot" w:pos="963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_Toc20116 </w:instrText>
      </w:r>
      <w:r>
        <w:rPr>
          <w:rFonts w:hint="eastAsia" w:ascii="楷体" w:hAnsi="楷体" w:eastAsia="楷体" w:cs="楷体"/>
          <w:color w:val="auto"/>
          <w:szCs w:val="28"/>
          <w:highlight w:val="none"/>
        </w:rPr>
        <w:fldChar w:fldCharType="separate"/>
      </w:r>
      <w:r>
        <w:rPr>
          <w:rFonts w:hint="eastAsia" w:ascii="楷体" w:hAnsi="楷体" w:eastAsia="楷体" w:cs="楷体"/>
          <w:bCs/>
          <w:color w:val="auto"/>
          <w:kern w:val="0"/>
          <w:szCs w:val="32"/>
          <w:highlight w:val="none"/>
          <w:lang w:val="en-US" w:eastAsia="zh-CN" w:bidi="ar-SA"/>
        </w:rPr>
        <w:t>十、供应商认为需要提供的其他资料</w:t>
      </w:r>
      <w:r>
        <w:rPr>
          <w:color w:val="auto"/>
        </w:rPr>
        <w:tab/>
      </w:r>
      <w:r>
        <w:rPr>
          <w:color w:val="auto"/>
        </w:rPr>
        <w:fldChar w:fldCharType="begin"/>
      </w:r>
      <w:r>
        <w:rPr>
          <w:color w:val="auto"/>
        </w:rPr>
        <w:instrText xml:space="preserve"> PAGEREF _Toc20116 \h </w:instrText>
      </w:r>
      <w:r>
        <w:rPr>
          <w:color w:val="auto"/>
        </w:rPr>
        <w:fldChar w:fldCharType="separate"/>
      </w:r>
      <w:r>
        <w:rPr>
          <w:color w:val="auto"/>
        </w:rPr>
        <w:t>40</w:t>
      </w:r>
      <w:r>
        <w:rPr>
          <w:color w:val="auto"/>
        </w:rPr>
        <w:fldChar w:fldCharType="end"/>
      </w:r>
      <w:r>
        <w:rPr>
          <w:rFonts w:hint="eastAsia" w:ascii="楷体" w:hAnsi="楷体" w:eastAsia="楷体" w:cs="楷体"/>
          <w:color w:val="auto"/>
          <w:szCs w:val="28"/>
          <w:highlight w:val="none"/>
        </w:rPr>
        <w:fldChar w:fldCharType="end"/>
      </w:r>
    </w:p>
    <w:p w14:paraId="39572415">
      <w:pPr>
        <w:pStyle w:val="14"/>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_Toc24949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rPr>
        <w:t xml:space="preserve">第五章 </w:t>
      </w:r>
      <w:r>
        <w:rPr>
          <w:rFonts w:hint="eastAsia" w:ascii="楷体" w:hAnsi="楷体" w:eastAsia="楷体" w:cs="楷体"/>
          <w:color w:val="auto"/>
          <w:highlight w:val="none"/>
        </w:rPr>
        <w:t>采购需求及技术要求</w:t>
      </w:r>
      <w:r>
        <w:rPr>
          <w:color w:val="auto"/>
        </w:rPr>
        <w:tab/>
      </w:r>
      <w:r>
        <w:rPr>
          <w:color w:val="auto"/>
        </w:rPr>
        <w:fldChar w:fldCharType="begin"/>
      </w:r>
      <w:r>
        <w:rPr>
          <w:color w:val="auto"/>
        </w:rPr>
        <w:instrText xml:space="preserve"> PAGEREF _Toc24949 \h </w:instrText>
      </w:r>
      <w:r>
        <w:rPr>
          <w:color w:val="auto"/>
        </w:rPr>
        <w:fldChar w:fldCharType="separate"/>
      </w:r>
      <w:r>
        <w:rPr>
          <w:color w:val="auto"/>
        </w:rPr>
        <w:t>41</w:t>
      </w:r>
      <w:r>
        <w:rPr>
          <w:color w:val="auto"/>
        </w:rPr>
        <w:fldChar w:fldCharType="end"/>
      </w:r>
      <w:r>
        <w:rPr>
          <w:rFonts w:hint="eastAsia" w:ascii="楷体" w:hAnsi="楷体" w:eastAsia="楷体" w:cs="楷体"/>
          <w:color w:val="auto"/>
          <w:szCs w:val="28"/>
          <w:highlight w:val="none"/>
        </w:rPr>
        <w:fldChar w:fldCharType="end"/>
      </w:r>
    </w:p>
    <w:p w14:paraId="41DC3571">
      <w:pPr>
        <w:pStyle w:val="14"/>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_Toc8125 </w:instrText>
      </w:r>
      <w:r>
        <w:rPr>
          <w:rFonts w:hint="eastAsia" w:ascii="楷体" w:hAnsi="楷体" w:eastAsia="楷体" w:cs="楷体"/>
          <w:color w:val="auto"/>
          <w:szCs w:val="28"/>
          <w:highlight w:val="none"/>
        </w:rPr>
        <w:fldChar w:fldCharType="separate"/>
      </w:r>
      <w:r>
        <w:rPr>
          <w:rFonts w:hint="eastAsia" w:ascii="楷体" w:hAnsi="楷体" w:eastAsia="楷体" w:cs="楷体"/>
          <w:color w:val="auto"/>
          <w:highlight w:val="none"/>
        </w:rPr>
        <w:t>第六章 评标方法（</w:t>
      </w:r>
      <w:r>
        <w:rPr>
          <w:rFonts w:hint="eastAsia" w:ascii="楷体" w:hAnsi="楷体" w:eastAsia="楷体" w:cs="楷体"/>
          <w:color w:val="auto"/>
          <w:highlight w:val="none"/>
          <w:lang w:val="en-US" w:eastAsia="zh-CN"/>
        </w:rPr>
        <w:t>综合评分法</w:t>
      </w:r>
      <w:r>
        <w:rPr>
          <w:rFonts w:hint="eastAsia" w:ascii="楷体" w:hAnsi="楷体" w:eastAsia="楷体" w:cs="楷体"/>
          <w:color w:val="auto"/>
          <w:highlight w:val="none"/>
        </w:rPr>
        <w:t>）</w:t>
      </w:r>
      <w:r>
        <w:rPr>
          <w:color w:val="auto"/>
        </w:rPr>
        <w:tab/>
      </w:r>
      <w:r>
        <w:rPr>
          <w:color w:val="auto"/>
        </w:rPr>
        <w:fldChar w:fldCharType="begin"/>
      </w:r>
      <w:r>
        <w:rPr>
          <w:color w:val="auto"/>
        </w:rPr>
        <w:instrText xml:space="preserve"> PAGEREF _Toc8125 \h </w:instrText>
      </w:r>
      <w:r>
        <w:rPr>
          <w:color w:val="auto"/>
        </w:rPr>
        <w:fldChar w:fldCharType="separate"/>
      </w:r>
      <w:r>
        <w:rPr>
          <w:color w:val="auto"/>
        </w:rPr>
        <w:t>47</w:t>
      </w:r>
      <w:r>
        <w:rPr>
          <w:color w:val="auto"/>
        </w:rPr>
        <w:fldChar w:fldCharType="end"/>
      </w:r>
      <w:r>
        <w:rPr>
          <w:rFonts w:hint="eastAsia" w:ascii="楷体" w:hAnsi="楷体" w:eastAsia="楷体" w:cs="楷体"/>
          <w:color w:val="auto"/>
          <w:szCs w:val="28"/>
          <w:highlight w:val="none"/>
        </w:rPr>
        <w:fldChar w:fldCharType="end"/>
      </w:r>
    </w:p>
    <w:p w14:paraId="65171F84">
      <w:pPr>
        <w:pStyle w:val="15"/>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ind w:left="0" w:leftChars="0"/>
        <w:textAlignment w:val="auto"/>
        <w:rPr>
          <w:color w:val="auto"/>
        </w:rPr>
      </w:pPr>
      <w:r>
        <w:rPr>
          <w:rFonts w:hint="eastAsia" w:ascii="楷体" w:hAnsi="楷体" w:eastAsia="楷体" w:cs="楷体"/>
          <w:color w:val="auto"/>
          <w:szCs w:val="28"/>
          <w:highlight w:val="none"/>
        </w:rPr>
        <w:fldChar w:fldCharType="begin"/>
      </w:r>
      <w:r>
        <w:rPr>
          <w:rFonts w:hint="eastAsia" w:ascii="楷体" w:hAnsi="楷体" w:eastAsia="楷体" w:cs="楷体"/>
          <w:color w:val="auto"/>
          <w:szCs w:val="28"/>
          <w:highlight w:val="none"/>
        </w:rPr>
        <w:instrText xml:space="preserve"> HYPERLINK \l _Toc6315 </w:instrText>
      </w:r>
      <w:r>
        <w:rPr>
          <w:rFonts w:hint="eastAsia" w:ascii="楷体" w:hAnsi="楷体" w:eastAsia="楷体" w:cs="楷体"/>
          <w:color w:val="auto"/>
          <w:szCs w:val="28"/>
          <w:highlight w:val="none"/>
        </w:rPr>
        <w:fldChar w:fldCharType="separate"/>
      </w:r>
      <w:r>
        <w:rPr>
          <w:rFonts w:hint="eastAsia" w:ascii="楷体" w:hAnsi="楷体" w:eastAsia="楷体" w:cs="楷体"/>
          <w:bCs/>
          <w:color w:val="auto"/>
          <w:szCs w:val="24"/>
          <w:highlight w:val="none"/>
        </w:rPr>
        <w:t>评标办法前附表</w:t>
      </w:r>
      <w:r>
        <w:rPr>
          <w:color w:val="auto"/>
        </w:rPr>
        <w:tab/>
      </w:r>
      <w:r>
        <w:rPr>
          <w:color w:val="auto"/>
        </w:rPr>
        <w:fldChar w:fldCharType="begin"/>
      </w:r>
      <w:r>
        <w:rPr>
          <w:color w:val="auto"/>
        </w:rPr>
        <w:instrText xml:space="preserve"> PAGEREF _Toc6315 \h </w:instrText>
      </w:r>
      <w:r>
        <w:rPr>
          <w:color w:val="auto"/>
        </w:rPr>
        <w:fldChar w:fldCharType="separate"/>
      </w:r>
      <w:r>
        <w:rPr>
          <w:color w:val="auto"/>
        </w:rPr>
        <w:t>47</w:t>
      </w:r>
      <w:r>
        <w:rPr>
          <w:color w:val="auto"/>
        </w:rPr>
        <w:fldChar w:fldCharType="end"/>
      </w:r>
      <w:r>
        <w:rPr>
          <w:rFonts w:hint="eastAsia" w:ascii="楷体" w:hAnsi="楷体" w:eastAsia="楷体" w:cs="楷体"/>
          <w:color w:val="auto"/>
          <w:szCs w:val="28"/>
          <w:highlight w:val="none"/>
        </w:rPr>
        <w:fldChar w:fldCharType="end"/>
      </w:r>
    </w:p>
    <w:p w14:paraId="2BB8E37C">
      <w:pPr>
        <w:pStyle w:val="15"/>
        <w:keepNext w:val="0"/>
        <w:keepLines w:val="0"/>
        <w:pageBreakBefore w:val="0"/>
        <w:widowControl w:val="0"/>
        <w:shd w:val="clear"/>
        <w:kinsoku/>
        <w:wordWrap/>
        <w:overflowPunct/>
        <w:topLinePunct w:val="0"/>
        <w:autoSpaceDE/>
        <w:autoSpaceDN/>
        <w:bidi w:val="0"/>
        <w:adjustRightInd/>
        <w:snapToGrid/>
        <w:spacing w:line="360" w:lineRule="auto"/>
        <w:ind w:left="0" w:leftChars="0"/>
        <w:textAlignment w:val="auto"/>
        <w:rPr>
          <w:rFonts w:hint="eastAsia" w:ascii="楷体" w:hAnsi="楷体" w:eastAsia="楷体" w:cs="楷体"/>
          <w:color w:val="auto"/>
          <w:sz w:val="28"/>
          <w:szCs w:val="28"/>
          <w:highlight w:val="none"/>
        </w:rPr>
        <w:sectPr>
          <w:footerReference r:id="rId6" w:type="first"/>
          <w:headerReference r:id="rId4" w:type="default"/>
          <w:footerReference r:id="rId5" w:type="default"/>
          <w:pgSz w:w="11906" w:h="16838"/>
          <w:pgMar w:top="1134" w:right="1134" w:bottom="1134" w:left="1134" w:header="680" w:footer="680" w:gutter="0"/>
          <w:pgNumType w:fmt="decimal" w:start="1"/>
          <w:cols w:space="0" w:num="1"/>
          <w:rtlGutter w:val="0"/>
          <w:docGrid w:linePitch="331" w:charSpace="0"/>
        </w:sectPr>
      </w:pPr>
      <w:r>
        <w:rPr>
          <w:rFonts w:hint="eastAsia" w:ascii="楷体" w:hAnsi="楷体" w:eastAsia="楷体" w:cs="楷体"/>
          <w:color w:val="auto"/>
          <w:szCs w:val="28"/>
          <w:highlight w:val="none"/>
        </w:rPr>
        <w:fldChar w:fldCharType="end"/>
      </w:r>
    </w:p>
    <w:p w14:paraId="37782A73">
      <w:pPr>
        <w:pStyle w:val="4"/>
        <w:numPr>
          <w:ilvl w:val="0"/>
          <w:numId w:val="0"/>
        </w:numPr>
        <w:shd w:val="clear"/>
        <w:spacing w:before="0" w:line="240" w:lineRule="auto"/>
        <w:jc w:val="center"/>
        <w:rPr>
          <w:rFonts w:hint="eastAsia" w:ascii="楷体" w:hAnsi="楷体" w:eastAsia="楷体" w:cs="楷体"/>
          <w:b w:val="0"/>
          <w:color w:val="auto"/>
          <w:sz w:val="36"/>
          <w:highlight w:val="none"/>
          <w:lang w:eastAsia="zh-CN"/>
        </w:rPr>
      </w:pPr>
      <w:bookmarkStart w:id="0" w:name="_Toc15516"/>
      <w:bookmarkStart w:id="1" w:name="_Toc32636"/>
      <w:bookmarkStart w:id="2" w:name="_Toc23237"/>
      <w:bookmarkStart w:id="3" w:name="_Toc31201"/>
      <w:r>
        <w:rPr>
          <w:rFonts w:hint="eastAsia" w:ascii="楷体" w:hAnsi="楷体" w:eastAsia="楷体" w:cs="楷体"/>
          <w:color w:val="auto"/>
          <w:sz w:val="36"/>
          <w:highlight w:val="none"/>
        </w:rPr>
        <w:t xml:space="preserve">第一章  </w:t>
      </w:r>
      <w:r>
        <w:rPr>
          <w:rFonts w:hint="eastAsia" w:ascii="楷体" w:hAnsi="楷体" w:eastAsia="楷体" w:cs="楷体"/>
          <w:color w:val="auto"/>
          <w:sz w:val="36"/>
          <w:highlight w:val="none"/>
          <w:lang w:eastAsia="zh-CN"/>
        </w:rPr>
        <w:t>招标公告</w:t>
      </w:r>
      <w:bookmarkEnd w:id="0"/>
      <w:bookmarkEnd w:id="1"/>
      <w:bookmarkEnd w:id="2"/>
      <w:bookmarkEnd w:id="3"/>
    </w:p>
    <w:p w14:paraId="7DBFAD14">
      <w:pPr>
        <w:pBdr>
          <w:top w:val="single" w:color="auto" w:sz="4" w:space="1"/>
          <w:left w:val="single" w:color="auto" w:sz="4" w:space="4"/>
          <w:bottom w:val="single" w:color="auto" w:sz="4" w:space="1"/>
          <w:right w:val="single" w:color="auto" w:sz="4" w:space="4"/>
        </w:pBdr>
        <w:shd w:val="clear"/>
        <w:wordWrap w:val="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项目概况</w:t>
      </w:r>
    </w:p>
    <w:p w14:paraId="358CEB63">
      <w:pPr>
        <w:pBdr>
          <w:top w:val="single" w:color="auto" w:sz="4" w:space="1"/>
          <w:left w:val="single" w:color="auto" w:sz="4" w:space="4"/>
          <w:bottom w:val="single" w:color="auto" w:sz="4" w:space="1"/>
          <w:right w:val="single" w:color="auto" w:sz="4" w:space="4"/>
        </w:pBdr>
        <w:shd w:val="clear"/>
        <w:wordWrap w:val="0"/>
        <w:spacing w:line="360" w:lineRule="auto"/>
        <w:ind w:firstLine="480" w:firstLineChars="200"/>
        <w:rPr>
          <w:rFonts w:hint="eastAsia" w:ascii="楷体" w:hAnsi="楷体" w:eastAsia="楷体" w:cs="楷体"/>
          <w:color w:val="auto"/>
          <w:sz w:val="24"/>
          <w:highlight w:val="none"/>
          <w:u w:val="none"/>
        </w:rPr>
      </w:pPr>
      <w:r>
        <w:rPr>
          <w:rFonts w:hint="eastAsia" w:ascii="楷体" w:hAnsi="楷体" w:eastAsia="楷体" w:cs="楷体"/>
          <w:color w:val="auto"/>
          <w:sz w:val="24"/>
          <w:highlight w:val="none"/>
          <w:u w:val="none"/>
          <w:lang w:eastAsia="zh-CN"/>
        </w:rPr>
        <w:t>昆明市官渡区人民法院2024年警用耗材采购项目</w:t>
      </w:r>
      <w:r>
        <w:rPr>
          <w:rFonts w:hint="eastAsia" w:ascii="楷体" w:hAnsi="楷体" w:eastAsia="楷体" w:cs="楷体"/>
          <w:color w:val="auto"/>
          <w:sz w:val="24"/>
          <w:highlight w:val="none"/>
          <w:u w:val="none"/>
        </w:rPr>
        <w:t>的潜在供应商应在政采云平台https://www.zcygov.cn获取</w:t>
      </w:r>
      <w:r>
        <w:rPr>
          <w:rFonts w:hint="eastAsia" w:ascii="楷体" w:hAnsi="楷体" w:eastAsia="楷体" w:cs="楷体"/>
          <w:color w:val="auto"/>
          <w:sz w:val="24"/>
          <w:highlight w:val="none"/>
          <w:u w:val="none"/>
          <w:lang w:eastAsia="zh-CN"/>
        </w:rPr>
        <w:t>招标文件</w:t>
      </w:r>
      <w:r>
        <w:rPr>
          <w:rFonts w:hint="eastAsia" w:ascii="楷体" w:hAnsi="楷体" w:eastAsia="楷体" w:cs="楷体"/>
          <w:color w:val="auto"/>
          <w:sz w:val="24"/>
          <w:highlight w:val="none"/>
          <w:u w:val="none"/>
        </w:rPr>
        <w:t xml:space="preserve">，并于 </w:t>
      </w:r>
      <w:r>
        <w:rPr>
          <w:rFonts w:hint="eastAsia" w:ascii="楷体" w:hAnsi="楷体" w:eastAsia="楷体" w:cs="楷体"/>
          <w:color w:val="auto"/>
          <w:sz w:val="24"/>
          <w:szCs w:val="24"/>
          <w:highlight w:val="none"/>
          <w:shd w:val="clear" w:color="auto" w:fill="FFFFFF"/>
        </w:rPr>
        <w:t>202</w:t>
      </w:r>
      <w:r>
        <w:rPr>
          <w:rFonts w:hint="eastAsia" w:ascii="楷体" w:hAnsi="楷体" w:eastAsia="楷体" w:cs="楷体"/>
          <w:color w:val="auto"/>
          <w:sz w:val="24"/>
          <w:szCs w:val="24"/>
          <w:highlight w:val="none"/>
          <w:shd w:val="clear" w:color="auto" w:fill="FFFFFF"/>
          <w:lang w:val="en-US" w:eastAsia="zh-CN"/>
        </w:rPr>
        <w:t>4年10月15日14时30分</w:t>
      </w:r>
      <w:r>
        <w:rPr>
          <w:rFonts w:hint="eastAsia" w:ascii="楷体" w:hAnsi="楷体" w:eastAsia="楷体" w:cs="楷体"/>
          <w:color w:val="auto"/>
          <w:sz w:val="24"/>
          <w:highlight w:val="none"/>
          <w:u w:val="none"/>
        </w:rPr>
        <w:t>（北京时间）前递交投标文件。</w:t>
      </w:r>
    </w:p>
    <w:p w14:paraId="6F3DE0D9">
      <w:pPr>
        <w:widowControl/>
        <w:shd w:val="clear"/>
        <w:spacing w:line="360" w:lineRule="auto"/>
        <w:jc w:val="left"/>
        <w:outlineLvl w:val="1"/>
        <w:rPr>
          <w:rFonts w:hint="eastAsia" w:ascii="楷体" w:hAnsi="楷体" w:eastAsia="楷体" w:cs="楷体"/>
          <w:b/>
          <w:bCs/>
          <w:color w:val="auto"/>
          <w:sz w:val="24"/>
          <w:highlight w:val="none"/>
        </w:rPr>
      </w:pPr>
      <w:bookmarkStart w:id="4" w:name="_Toc2529"/>
      <w:r>
        <w:rPr>
          <w:rFonts w:hint="eastAsia" w:ascii="楷体" w:hAnsi="楷体" w:eastAsia="楷体" w:cs="楷体"/>
          <w:b/>
          <w:color w:val="auto"/>
          <w:sz w:val="24"/>
          <w:highlight w:val="none"/>
        </w:rPr>
        <w:t>1.</w:t>
      </w:r>
      <w:r>
        <w:rPr>
          <w:rFonts w:hint="eastAsia" w:ascii="楷体" w:hAnsi="楷体" w:eastAsia="楷体" w:cs="楷体"/>
          <w:b/>
          <w:bCs/>
          <w:color w:val="auto"/>
          <w:sz w:val="24"/>
          <w:highlight w:val="none"/>
        </w:rPr>
        <w:t>项目概况</w:t>
      </w:r>
      <w:bookmarkEnd w:id="4"/>
    </w:p>
    <w:p w14:paraId="5F9FDCBA">
      <w:pPr>
        <w:widowControl/>
        <w:shd w:val="clear"/>
        <w:spacing w:line="360" w:lineRule="auto"/>
        <w:ind w:firstLine="240" w:firstLineChars="100"/>
        <w:jc w:val="left"/>
        <w:rPr>
          <w:rFonts w:hint="eastAsia" w:ascii="楷体" w:hAnsi="楷体" w:eastAsia="楷体" w:cs="楷体"/>
          <w:color w:val="auto"/>
          <w:sz w:val="24"/>
          <w:highlight w:val="none"/>
          <w:u w:val="none"/>
        </w:rPr>
      </w:pPr>
      <w:r>
        <w:rPr>
          <w:rFonts w:hint="eastAsia" w:ascii="楷体" w:hAnsi="楷体" w:eastAsia="楷体" w:cs="楷体"/>
          <w:color w:val="auto"/>
          <w:sz w:val="24"/>
          <w:highlight w:val="none"/>
        </w:rPr>
        <w:t>1.1</w:t>
      </w:r>
      <w:r>
        <w:rPr>
          <w:rFonts w:hint="eastAsia" w:ascii="楷体" w:hAnsi="楷体" w:eastAsia="楷体" w:cs="楷体"/>
          <w:color w:val="auto"/>
          <w:sz w:val="24"/>
          <w:highlight w:val="none"/>
          <w:u w:val="none"/>
        </w:rPr>
        <w:t>项目名称：</w:t>
      </w:r>
      <w:r>
        <w:rPr>
          <w:rFonts w:hint="eastAsia" w:ascii="楷体" w:hAnsi="楷体" w:eastAsia="楷体" w:cs="楷体"/>
          <w:color w:val="auto"/>
          <w:sz w:val="24"/>
          <w:highlight w:val="none"/>
          <w:u w:val="none"/>
          <w:lang w:eastAsia="zh-CN"/>
        </w:rPr>
        <w:t>昆明市官渡区人民法院2024年警用耗材采购项目</w:t>
      </w:r>
      <w:r>
        <w:rPr>
          <w:rFonts w:hint="eastAsia" w:ascii="楷体" w:hAnsi="楷体" w:eastAsia="楷体" w:cs="楷体"/>
          <w:color w:val="auto"/>
          <w:sz w:val="24"/>
          <w:highlight w:val="none"/>
          <w:u w:val="none"/>
        </w:rPr>
        <w:t>；</w:t>
      </w:r>
    </w:p>
    <w:p w14:paraId="05D91B36">
      <w:pPr>
        <w:widowControl/>
        <w:shd w:val="clear"/>
        <w:spacing w:line="360" w:lineRule="auto"/>
        <w:ind w:firstLine="240" w:firstLineChars="100"/>
        <w:jc w:val="left"/>
        <w:rPr>
          <w:rFonts w:hint="eastAsia" w:ascii="楷体" w:hAnsi="楷体" w:eastAsia="楷体" w:cs="楷体"/>
          <w:color w:val="auto"/>
          <w:sz w:val="24"/>
          <w:highlight w:val="none"/>
          <w:u w:val="none"/>
        </w:rPr>
      </w:pPr>
      <w:r>
        <w:rPr>
          <w:rFonts w:hint="eastAsia" w:ascii="楷体" w:hAnsi="楷体" w:eastAsia="楷体" w:cs="楷体"/>
          <w:color w:val="auto"/>
          <w:sz w:val="24"/>
          <w:highlight w:val="none"/>
          <w:u w:val="none"/>
        </w:rPr>
        <w:t>1.2项目编号：</w:t>
      </w:r>
      <w:r>
        <w:rPr>
          <w:rFonts w:hint="eastAsia" w:ascii="楷体" w:hAnsi="楷体" w:eastAsia="楷体" w:cs="楷体"/>
          <w:color w:val="auto"/>
          <w:sz w:val="24"/>
          <w:highlight w:val="none"/>
          <w:u w:val="none"/>
          <w:lang w:eastAsia="zh-CN"/>
        </w:rPr>
        <w:t xml:space="preserve"> YNZC2024-G1-04913-YNJX-0023</w:t>
      </w:r>
      <w:r>
        <w:rPr>
          <w:rFonts w:hint="eastAsia" w:ascii="楷体" w:hAnsi="楷体" w:eastAsia="楷体" w:cs="楷体"/>
          <w:color w:val="auto"/>
          <w:sz w:val="24"/>
          <w:highlight w:val="none"/>
          <w:u w:val="none"/>
        </w:rPr>
        <w:t>；</w:t>
      </w:r>
    </w:p>
    <w:p w14:paraId="5274E41C">
      <w:pPr>
        <w:widowControl/>
        <w:shd w:val="clear"/>
        <w:spacing w:line="360" w:lineRule="auto"/>
        <w:ind w:firstLine="240" w:firstLineChars="1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1.3资金来源：</w:t>
      </w:r>
      <w:r>
        <w:rPr>
          <w:rFonts w:hint="eastAsia" w:ascii="楷体" w:hAnsi="楷体" w:eastAsia="楷体" w:cs="楷体"/>
          <w:color w:val="auto"/>
          <w:sz w:val="24"/>
          <w:highlight w:val="none"/>
          <w:lang w:val="en-US" w:eastAsia="zh-CN"/>
        </w:rPr>
        <w:t>财政</w:t>
      </w:r>
      <w:r>
        <w:rPr>
          <w:rFonts w:hint="eastAsia" w:ascii="楷体" w:hAnsi="楷体" w:eastAsia="楷体" w:cs="楷体"/>
          <w:color w:val="auto"/>
          <w:sz w:val="24"/>
          <w:highlight w:val="none"/>
          <w:lang w:eastAsia="zh-CN"/>
        </w:rPr>
        <w:t>资金</w:t>
      </w:r>
      <w:r>
        <w:rPr>
          <w:rFonts w:hint="eastAsia" w:ascii="楷体" w:hAnsi="楷体" w:eastAsia="楷体" w:cs="楷体"/>
          <w:color w:val="auto"/>
          <w:sz w:val="24"/>
          <w:highlight w:val="none"/>
        </w:rPr>
        <w:t>，已落实；</w:t>
      </w:r>
    </w:p>
    <w:p w14:paraId="4D388F4A">
      <w:pPr>
        <w:widowControl/>
        <w:shd w:val="clear"/>
        <w:spacing w:line="360" w:lineRule="auto"/>
        <w:ind w:firstLine="240" w:firstLineChars="1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1.4预算金额：</w:t>
      </w:r>
      <w:r>
        <w:rPr>
          <w:rFonts w:hint="eastAsia" w:ascii="楷体" w:hAnsi="楷体" w:eastAsia="楷体" w:cs="楷体"/>
          <w:color w:val="auto"/>
          <w:sz w:val="24"/>
          <w:highlight w:val="none"/>
          <w:u w:val="none"/>
          <w:lang w:val="en-US" w:eastAsia="zh-CN"/>
        </w:rPr>
        <w:t>7.215万</w:t>
      </w:r>
      <w:r>
        <w:rPr>
          <w:rFonts w:hint="eastAsia" w:ascii="楷体" w:hAnsi="楷体" w:eastAsia="楷体" w:cs="楷体"/>
          <w:color w:val="auto"/>
          <w:sz w:val="24"/>
          <w:highlight w:val="none"/>
        </w:rPr>
        <w:t>元。</w:t>
      </w:r>
    </w:p>
    <w:p w14:paraId="4A82A42C">
      <w:pPr>
        <w:widowControl/>
        <w:shd w:val="clear"/>
        <w:spacing w:line="360" w:lineRule="auto"/>
        <w:ind w:firstLine="240" w:firstLineChars="100"/>
        <w:jc w:val="left"/>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1.5采购</w:t>
      </w:r>
      <w:r>
        <w:rPr>
          <w:rFonts w:hint="eastAsia" w:ascii="楷体" w:hAnsi="楷体" w:eastAsia="楷体" w:cs="楷体"/>
          <w:color w:val="auto"/>
          <w:sz w:val="24"/>
          <w:highlight w:val="none"/>
          <w:lang w:eastAsia="zh-CN"/>
        </w:rPr>
        <w:t>内容及要求</w:t>
      </w:r>
      <w:r>
        <w:rPr>
          <w:rFonts w:hint="eastAsia" w:ascii="楷体" w:hAnsi="楷体" w:eastAsia="楷体" w:cs="楷体"/>
          <w:color w:val="auto"/>
          <w:sz w:val="24"/>
          <w:highlight w:val="none"/>
        </w:rPr>
        <w:t>：</w:t>
      </w:r>
      <w:r>
        <w:rPr>
          <w:rFonts w:hint="eastAsia" w:ascii="楷体" w:hAnsi="楷体" w:eastAsia="楷体" w:cs="楷体"/>
          <w:color w:val="auto"/>
          <w:sz w:val="24"/>
          <w:highlight w:val="none"/>
          <w:lang w:val="en-US" w:eastAsia="zh-CN"/>
        </w:rPr>
        <w:t>采购</w:t>
      </w:r>
      <w:r>
        <w:rPr>
          <w:rFonts w:hint="eastAsia" w:ascii="楷体" w:hAnsi="楷体" w:eastAsia="楷体" w:cs="楷体"/>
          <w:color w:val="auto"/>
          <w:sz w:val="24"/>
          <w:highlight w:val="none"/>
          <w:lang w:eastAsia="zh-CN"/>
        </w:rPr>
        <w:t>防割手套、急救包、战术手套、手持金属探测仪、锥桶、抓捕器、警戒带、二轮电动车电瓶、操作台、多功能作战背心、战术头盔、对讲机、礼宾枪，具体</w:t>
      </w:r>
      <w:r>
        <w:rPr>
          <w:rFonts w:hint="eastAsia" w:ascii="楷体" w:hAnsi="楷体" w:eastAsia="楷体" w:cs="楷体"/>
          <w:color w:val="auto"/>
          <w:sz w:val="24"/>
          <w:highlight w:val="none"/>
          <w:lang w:val="en-US" w:eastAsia="zh-CN"/>
        </w:rPr>
        <w:t>规格参数及要求详见第五章采购需求及技术要求。</w:t>
      </w:r>
    </w:p>
    <w:p w14:paraId="3E54CD1A">
      <w:pPr>
        <w:widowControl/>
        <w:shd w:val="clear"/>
        <w:spacing w:line="360" w:lineRule="auto"/>
        <w:ind w:firstLine="240" w:firstLineChars="100"/>
        <w:jc w:val="left"/>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1.6交货时间：合同签订后20天内完成供货。</w:t>
      </w:r>
    </w:p>
    <w:p w14:paraId="7B1AAE83">
      <w:pPr>
        <w:widowControl/>
        <w:shd w:val="clear"/>
        <w:spacing w:line="360" w:lineRule="auto"/>
        <w:ind w:firstLine="240" w:firstLineChars="1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1</w:t>
      </w:r>
      <w:r>
        <w:rPr>
          <w:rFonts w:hint="eastAsia" w:ascii="楷体" w:hAnsi="楷体" w:eastAsia="楷体" w:cs="楷体"/>
          <w:color w:val="auto"/>
          <w:sz w:val="24"/>
          <w:highlight w:val="none"/>
        </w:rPr>
        <w:t>.7质保期：产品验收合格后，采购人在货物签收单上签字确认起3年；若甲乙双方对产品质量存在争议的，采购人将委托第三方机构进行检测，所产生的费用由成交供应商承担。在质保期内内发生质量问题的，由成交供应商负责保修、包退、包换；属于人为损害的成交供应商需提供维修服务，只可收取工料费。</w:t>
      </w:r>
    </w:p>
    <w:p w14:paraId="46BA9EEF">
      <w:pPr>
        <w:widowControl/>
        <w:shd w:val="clear"/>
        <w:spacing w:line="360" w:lineRule="auto"/>
        <w:ind w:firstLine="240" w:firstLineChars="1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1</w:t>
      </w:r>
      <w:r>
        <w:rPr>
          <w:rFonts w:hint="eastAsia" w:ascii="楷体" w:hAnsi="楷体" w:eastAsia="楷体" w:cs="楷体"/>
          <w:color w:val="auto"/>
          <w:sz w:val="24"/>
          <w:highlight w:val="none"/>
        </w:rPr>
        <w:t>.8质量要求：符合现行国家有关验收规范和标准，满足采购人要求。</w:t>
      </w:r>
    </w:p>
    <w:p w14:paraId="029DEC02">
      <w:pPr>
        <w:widowControl/>
        <w:shd w:val="clear"/>
        <w:spacing w:line="360" w:lineRule="auto"/>
        <w:ind w:firstLine="240" w:firstLineChars="1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1</w:t>
      </w:r>
      <w:r>
        <w:rPr>
          <w:rFonts w:hint="eastAsia" w:ascii="楷体" w:hAnsi="楷体" w:eastAsia="楷体" w:cs="楷体"/>
          <w:color w:val="auto"/>
          <w:sz w:val="24"/>
          <w:highlight w:val="none"/>
        </w:rPr>
        <w:t>.9交货地点：采购人指定地点。</w:t>
      </w:r>
    </w:p>
    <w:p w14:paraId="49158F23">
      <w:pPr>
        <w:widowControl/>
        <w:shd w:val="clear"/>
        <w:spacing w:line="360" w:lineRule="auto"/>
        <w:jc w:val="left"/>
        <w:outlineLvl w:val="1"/>
        <w:rPr>
          <w:rFonts w:hint="eastAsia" w:ascii="楷体" w:hAnsi="楷体" w:eastAsia="楷体" w:cs="楷体"/>
          <w:b/>
          <w:color w:val="auto"/>
          <w:sz w:val="24"/>
          <w:highlight w:val="none"/>
        </w:rPr>
      </w:pPr>
      <w:bookmarkStart w:id="5" w:name="_Toc3877"/>
      <w:r>
        <w:rPr>
          <w:rFonts w:hint="eastAsia" w:ascii="楷体" w:hAnsi="楷体" w:eastAsia="楷体" w:cs="楷体"/>
          <w:b/>
          <w:color w:val="auto"/>
          <w:sz w:val="24"/>
          <w:highlight w:val="none"/>
        </w:rPr>
        <w:t>2.供应商资格要求</w:t>
      </w:r>
      <w:bookmarkEnd w:id="5"/>
    </w:p>
    <w:p w14:paraId="1B51397A">
      <w:pPr>
        <w:widowControl/>
        <w:shd w:val="clear"/>
        <w:spacing w:line="360" w:lineRule="auto"/>
        <w:ind w:firstLine="600" w:firstLineChars="250"/>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lang w:val="en-US" w:eastAsia="zh-CN"/>
        </w:rPr>
        <w:t>1.</w:t>
      </w:r>
      <w:r>
        <w:rPr>
          <w:rFonts w:hint="eastAsia" w:ascii="楷体" w:hAnsi="楷体" w:eastAsia="楷体" w:cs="楷体"/>
          <w:color w:val="auto"/>
          <w:kern w:val="0"/>
          <w:sz w:val="24"/>
          <w:highlight w:val="none"/>
        </w:rPr>
        <w:t>满足《中华人民共和国政府采购法》第二十二条规定。</w:t>
      </w:r>
    </w:p>
    <w:p w14:paraId="0DD27496">
      <w:pPr>
        <w:widowControl/>
        <w:shd w:val="clear"/>
        <w:spacing w:line="360" w:lineRule="auto"/>
        <w:ind w:firstLine="600" w:firstLineChars="250"/>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rPr>
        <w:t>1.1具有独立承担民事责任的能力，提供法人或者非法人组织的营业执照或其他法定凭证等证明文件；</w:t>
      </w:r>
    </w:p>
    <w:p w14:paraId="15E89124">
      <w:pPr>
        <w:widowControl/>
        <w:shd w:val="clear"/>
        <w:spacing w:line="360" w:lineRule="auto"/>
        <w:ind w:firstLine="600" w:firstLineChars="250"/>
        <w:rPr>
          <w:rFonts w:hint="eastAsia" w:ascii="楷体" w:hAnsi="楷体" w:eastAsia="楷体" w:cs="楷体"/>
          <w:color w:val="auto"/>
          <w:kern w:val="0"/>
          <w:sz w:val="24"/>
          <w:highlight w:val="none"/>
          <w:lang w:eastAsia="zh-CN"/>
        </w:rPr>
      </w:pPr>
      <w:r>
        <w:rPr>
          <w:rFonts w:hint="eastAsia" w:ascii="楷体" w:hAnsi="楷体" w:eastAsia="楷体" w:cs="楷体"/>
          <w:color w:val="auto"/>
          <w:kern w:val="0"/>
          <w:sz w:val="24"/>
          <w:highlight w:val="none"/>
        </w:rPr>
        <w:t>1.2具有良好的商业信誉（提供声明书）和健全的财务会计制度</w:t>
      </w:r>
      <w:r>
        <w:rPr>
          <w:rFonts w:hint="eastAsia" w:ascii="楷体" w:hAnsi="楷体" w:eastAsia="楷体" w:cs="楷体"/>
          <w:color w:val="auto"/>
          <w:kern w:val="0"/>
          <w:sz w:val="24"/>
          <w:highlight w:val="none"/>
          <w:lang w:eastAsia="zh-CN"/>
        </w:rPr>
        <w:t>：</w:t>
      </w:r>
      <w:r>
        <w:rPr>
          <w:rFonts w:hint="eastAsia" w:ascii="楷体" w:hAnsi="楷体" w:eastAsia="楷体" w:cs="楷体"/>
          <w:color w:val="auto"/>
          <w:kern w:val="0"/>
          <w:sz w:val="24"/>
          <w:szCs w:val="24"/>
          <w:highlight w:val="none"/>
        </w:rPr>
        <w:t>提供202</w:t>
      </w:r>
      <w:r>
        <w:rPr>
          <w:rFonts w:hint="eastAsia" w:ascii="楷体" w:hAnsi="楷体" w:eastAsia="楷体" w:cs="楷体"/>
          <w:color w:val="auto"/>
          <w:kern w:val="0"/>
          <w:sz w:val="24"/>
          <w:szCs w:val="24"/>
          <w:highlight w:val="none"/>
          <w:lang w:val="en-US" w:eastAsia="zh-CN"/>
        </w:rPr>
        <w:t>2</w:t>
      </w:r>
      <w:r>
        <w:rPr>
          <w:rFonts w:hint="eastAsia" w:ascii="楷体" w:hAnsi="楷体" w:eastAsia="楷体" w:cs="楷体"/>
          <w:color w:val="auto"/>
          <w:kern w:val="0"/>
          <w:sz w:val="24"/>
          <w:szCs w:val="24"/>
          <w:highlight w:val="none"/>
        </w:rPr>
        <w:t>年的财务报告及报表（复印件加盖公章），</w:t>
      </w:r>
      <w:r>
        <w:rPr>
          <w:rFonts w:hint="eastAsia" w:ascii="楷体" w:hAnsi="楷体" w:eastAsia="楷体" w:cs="楷体"/>
          <w:color w:val="auto"/>
          <w:kern w:val="0"/>
          <w:sz w:val="24"/>
          <w:szCs w:val="24"/>
          <w:highlight w:val="none"/>
          <w:lang w:eastAsia="zh-CN"/>
        </w:rPr>
        <w:t>供应商</w:t>
      </w:r>
      <w:r>
        <w:rPr>
          <w:rFonts w:hint="eastAsia" w:ascii="楷体" w:hAnsi="楷体" w:eastAsia="楷体" w:cs="楷体"/>
          <w:color w:val="auto"/>
          <w:kern w:val="0"/>
          <w:sz w:val="24"/>
          <w:szCs w:val="24"/>
          <w:highlight w:val="none"/>
        </w:rPr>
        <w:t>成立时间不足一年的，可提供自</w:t>
      </w:r>
      <w:r>
        <w:rPr>
          <w:rFonts w:hint="eastAsia" w:ascii="楷体" w:hAnsi="楷体" w:eastAsia="楷体" w:cs="楷体"/>
          <w:color w:val="auto"/>
          <w:kern w:val="0"/>
          <w:sz w:val="24"/>
          <w:szCs w:val="24"/>
          <w:highlight w:val="none"/>
          <w:lang w:eastAsia="zh-CN"/>
        </w:rPr>
        <w:t>投标文件</w:t>
      </w:r>
      <w:r>
        <w:rPr>
          <w:rFonts w:hint="eastAsia" w:ascii="楷体" w:hAnsi="楷体" w:eastAsia="楷体" w:cs="楷体"/>
          <w:color w:val="auto"/>
          <w:kern w:val="0"/>
          <w:sz w:val="24"/>
          <w:szCs w:val="24"/>
          <w:highlight w:val="none"/>
        </w:rPr>
        <w:t>提交截止时间前三个月内开户银行出具的资信证明或资金存款证明（复印件加盖公章）</w:t>
      </w:r>
      <w:r>
        <w:rPr>
          <w:rFonts w:hint="eastAsia" w:ascii="楷体" w:hAnsi="楷体" w:eastAsia="楷体" w:cs="楷体"/>
          <w:color w:val="auto"/>
          <w:kern w:val="0"/>
          <w:sz w:val="24"/>
          <w:szCs w:val="24"/>
          <w:highlight w:val="none"/>
          <w:lang w:eastAsia="zh-CN"/>
        </w:rPr>
        <w:t>，新成立的公司可提供成立至今的</w:t>
      </w:r>
      <w:r>
        <w:rPr>
          <w:rFonts w:hint="eastAsia" w:ascii="楷体" w:hAnsi="楷体" w:eastAsia="楷体" w:cs="楷体"/>
          <w:color w:val="auto"/>
          <w:kern w:val="0"/>
          <w:sz w:val="24"/>
          <w:szCs w:val="24"/>
          <w:highlight w:val="none"/>
        </w:rPr>
        <w:t>开户银行出具的资信证明或资金存款证明（复印件加盖公章）</w:t>
      </w:r>
      <w:r>
        <w:rPr>
          <w:rFonts w:hint="eastAsia" w:ascii="楷体" w:hAnsi="楷体" w:eastAsia="楷体" w:cs="楷体"/>
          <w:color w:val="auto"/>
          <w:kern w:val="0"/>
          <w:sz w:val="24"/>
          <w:szCs w:val="24"/>
          <w:highlight w:val="none"/>
          <w:lang w:eastAsia="zh-CN"/>
        </w:rPr>
        <w:t>。</w:t>
      </w:r>
    </w:p>
    <w:p w14:paraId="22F45B0D">
      <w:pPr>
        <w:widowControl/>
        <w:shd w:val="clear"/>
        <w:spacing w:line="360" w:lineRule="auto"/>
        <w:ind w:firstLine="600" w:firstLineChars="250"/>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rPr>
        <w:t>1.3具有履行合同所必需的设备和专业技术能力（提供书面声明）；</w:t>
      </w:r>
    </w:p>
    <w:p w14:paraId="0A577B7F">
      <w:pPr>
        <w:widowControl/>
        <w:shd w:val="clear"/>
        <w:spacing w:line="360" w:lineRule="auto"/>
        <w:ind w:firstLine="600" w:firstLineChars="250"/>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rPr>
        <w:t>1.4有依法缴纳税收和社会保障资金的良好记录（①提供缴税所属时间在202</w:t>
      </w:r>
      <w:r>
        <w:rPr>
          <w:rFonts w:hint="eastAsia" w:ascii="楷体" w:hAnsi="楷体" w:eastAsia="楷体" w:cs="楷体"/>
          <w:color w:val="auto"/>
          <w:kern w:val="0"/>
          <w:sz w:val="24"/>
          <w:highlight w:val="none"/>
          <w:lang w:val="en-US" w:eastAsia="zh-CN"/>
        </w:rPr>
        <w:t>4</w:t>
      </w:r>
      <w:r>
        <w:rPr>
          <w:rFonts w:hint="eastAsia" w:ascii="楷体" w:hAnsi="楷体" w:eastAsia="楷体" w:cs="楷体"/>
          <w:color w:val="auto"/>
          <w:kern w:val="0"/>
          <w:sz w:val="24"/>
          <w:highlight w:val="none"/>
        </w:rPr>
        <w:t>年1月至本项目投标文件提交截止时间前任意3个月的税务局税收通用缴款书或银行电子缴税（费）凭证或税务局出具纳税情况的相关证明，依法免税的，应提供依法免税的相关证明文件；若为新成立的公司，提供情况说明。②提供缴费所属时间在202</w:t>
      </w:r>
      <w:r>
        <w:rPr>
          <w:rFonts w:hint="eastAsia" w:ascii="楷体" w:hAnsi="楷体" w:eastAsia="楷体" w:cs="楷体"/>
          <w:color w:val="auto"/>
          <w:kern w:val="0"/>
          <w:sz w:val="24"/>
          <w:highlight w:val="none"/>
          <w:lang w:val="en-US" w:eastAsia="zh-CN"/>
        </w:rPr>
        <w:t>4</w:t>
      </w:r>
      <w:r>
        <w:rPr>
          <w:rFonts w:hint="eastAsia" w:ascii="楷体" w:hAnsi="楷体" w:eastAsia="楷体" w:cs="楷体"/>
          <w:color w:val="auto"/>
          <w:kern w:val="0"/>
          <w:sz w:val="24"/>
          <w:highlight w:val="none"/>
        </w:rPr>
        <w:t>年1月至本项目投标文件提交截止时间前任意3个月的社会保险费缴款书或银行电子缴税（费）凭证或社保管理部门出具的有效的缴款证明，依法免缴的，应提供依法免缴的相关证明文件）。若为新成立的公司，提供情况说明。</w:t>
      </w:r>
    </w:p>
    <w:p w14:paraId="70DDB786">
      <w:pPr>
        <w:widowControl/>
        <w:shd w:val="clear"/>
        <w:spacing w:line="360" w:lineRule="auto"/>
        <w:ind w:firstLine="600" w:firstLineChars="250"/>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lang w:val="en-US" w:eastAsia="zh-CN"/>
        </w:rPr>
        <w:t>1.5</w:t>
      </w:r>
      <w:r>
        <w:rPr>
          <w:rFonts w:hint="eastAsia" w:ascii="楷体" w:hAnsi="楷体" w:eastAsia="楷体" w:cs="楷体"/>
          <w:color w:val="auto"/>
          <w:kern w:val="0"/>
          <w:sz w:val="24"/>
          <w:highlight w:val="none"/>
        </w:rPr>
        <w:t>参加本次政府采购活动前三年内，在经营活动中没有重大违法记录（提供书面声明）；</w:t>
      </w:r>
    </w:p>
    <w:p w14:paraId="3DD2A8D3">
      <w:pPr>
        <w:widowControl/>
        <w:shd w:val="clear"/>
        <w:spacing w:line="360" w:lineRule="auto"/>
        <w:ind w:firstLine="600" w:firstLineChars="250"/>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lang w:val="en-US" w:eastAsia="zh-CN"/>
        </w:rPr>
        <w:t>1.6</w:t>
      </w:r>
      <w:r>
        <w:rPr>
          <w:rFonts w:hint="eastAsia" w:ascii="楷体" w:hAnsi="楷体" w:eastAsia="楷体" w:cs="楷体"/>
          <w:color w:val="auto"/>
          <w:kern w:val="0"/>
          <w:sz w:val="24"/>
          <w:highlight w:val="none"/>
        </w:rPr>
        <w:t>法律、行政法规规定的其他条件（按照《财政部关于在政府采购活动中查询及使用信用记录有关问题的通知》(财库〔2016〕125号)的相关要求，采购人或采购代理机构在</w:t>
      </w:r>
      <w:r>
        <w:rPr>
          <w:rFonts w:hint="eastAsia" w:ascii="楷体" w:hAnsi="楷体" w:eastAsia="楷体" w:cs="楷体"/>
          <w:color w:val="auto"/>
          <w:kern w:val="0"/>
          <w:sz w:val="24"/>
          <w:highlight w:val="none"/>
          <w:lang w:eastAsia="zh-CN"/>
        </w:rPr>
        <w:t>投标文件</w:t>
      </w:r>
      <w:r>
        <w:rPr>
          <w:rFonts w:hint="eastAsia" w:ascii="楷体" w:hAnsi="楷体" w:eastAsia="楷体" w:cs="楷体"/>
          <w:color w:val="auto"/>
          <w:kern w:val="0"/>
          <w:sz w:val="24"/>
          <w:highlight w:val="none"/>
        </w:rPr>
        <w:t>递交截止时间后将通过“信用中国（网址：www.creditchina.gov.cn)”、“中国政府采购网（网址：www.ccgp.gov.cn）”、“国家企业信用信息公示系统（网址：http://www.gsxt.gov.cn/index.html）查询供应商信用记录，供应商如被列入“信用中国”失信被执行人（或失信惩戒人）或重大税收违法案件当事人名单的，或被列入“国家企业信用信息公示系统”严重违法失信企业名单（黑名单），或被列入“中国政府采购网”政府采购严重违法失信行为信息记录（被禁止在一定期限内参加政府采购活动，但期限届满的除外）名单的，不得参与本次政府采购活动）</w:t>
      </w:r>
      <w:r>
        <w:rPr>
          <w:rFonts w:hint="eastAsia" w:ascii="楷体" w:hAnsi="楷体" w:eastAsia="楷体" w:cs="楷体"/>
          <w:color w:val="auto"/>
          <w:kern w:val="0"/>
          <w:sz w:val="24"/>
          <w:highlight w:val="none"/>
          <w:lang w:eastAsia="zh-CN"/>
        </w:rPr>
        <w:t>，</w:t>
      </w:r>
      <w:r>
        <w:rPr>
          <w:rFonts w:hint="eastAsia" w:ascii="楷体" w:hAnsi="楷体" w:eastAsia="楷体" w:cs="楷体"/>
          <w:color w:val="auto"/>
          <w:kern w:val="0"/>
          <w:sz w:val="24"/>
          <w:highlight w:val="none"/>
          <w:lang w:val="en-US" w:eastAsia="zh-CN"/>
        </w:rPr>
        <w:t>以采购人或采购代理机构查询结果为准</w:t>
      </w:r>
      <w:r>
        <w:rPr>
          <w:rFonts w:hint="eastAsia" w:ascii="楷体" w:hAnsi="楷体" w:eastAsia="楷体" w:cs="楷体"/>
          <w:color w:val="auto"/>
          <w:kern w:val="0"/>
          <w:sz w:val="24"/>
          <w:highlight w:val="none"/>
        </w:rPr>
        <w:t>。</w:t>
      </w:r>
    </w:p>
    <w:p w14:paraId="79C0A606">
      <w:pPr>
        <w:widowControl/>
        <w:shd w:val="clear"/>
        <w:spacing w:line="360" w:lineRule="auto"/>
        <w:ind w:firstLine="600" w:firstLineChars="250"/>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rPr>
        <w:t>2.落实政府采购政策需满足的资格要求：（1）本项目非专门面向中小微企业采购；（2）本项目执行《关于进一步加大政府采购支持中小企业力度的通知（财库〔2022〕19号</w:t>
      </w:r>
      <w:r>
        <w:rPr>
          <w:rFonts w:hint="eastAsia" w:ascii="楷体" w:hAnsi="楷体" w:eastAsia="楷体" w:cs="楷体"/>
          <w:color w:val="auto"/>
          <w:kern w:val="0"/>
          <w:sz w:val="24"/>
          <w:highlight w:val="none"/>
          <w:lang w:eastAsia="zh-CN"/>
        </w:rPr>
        <w:t>）</w:t>
      </w:r>
      <w:r>
        <w:rPr>
          <w:rFonts w:hint="eastAsia" w:ascii="楷体" w:hAnsi="楷体" w:eastAsia="楷体" w:cs="楷体"/>
          <w:color w:val="auto"/>
          <w:kern w:val="0"/>
          <w:sz w:val="24"/>
          <w:highlight w:val="none"/>
        </w:rPr>
        <w:t>》、《三部门联合发布关于促进残疾人就业政府采购政策的通知（财库〔2017〕141号）》、《关于政府采购支持监狱企业发展有关问题的通知（财库〔2014〕68号）》，以及国家或行业现行法律、法规、规范。</w:t>
      </w:r>
      <w:r>
        <w:rPr>
          <w:rFonts w:hint="eastAsia" w:ascii="楷体" w:hAnsi="楷体" w:eastAsia="楷体" w:cs="楷体"/>
          <w:color w:val="auto"/>
          <w:kern w:val="2"/>
          <w:sz w:val="24"/>
          <w:szCs w:val="24"/>
          <w:highlight w:val="none"/>
          <w:lang w:eastAsia="zh-CN"/>
        </w:rPr>
        <w:t>供应商属于</w:t>
      </w:r>
      <w:r>
        <w:rPr>
          <w:rFonts w:hint="eastAsia" w:ascii="楷体" w:hAnsi="楷体" w:eastAsia="楷体" w:cs="楷体"/>
          <w:color w:val="auto"/>
          <w:kern w:val="2"/>
          <w:sz w:val="24"/>
          <w:szCs w:val="24"/>
          <w:highlight w:val="none"/>
          <w:lang w:val="en-US" w:eastAsia="zh-CN"/>
        </w:rPr>
        <w:t>中</w:t>
      </w:r>
      <w:r>
        <w:rPr>
          <w:rFonts w:hint="eastAsia" w:ascii="楷体" w:hAnsi="楷体" w:eastAsia="楷体" w:cs="楷体"/>
          <w:color w:val="auto"/>
          <w:kern w:val="2"/>
          <w:sz w:val="24"/>
          <w:szCs w:val="24"/>
          <w:highlight w:val="none"/>
          <w:lang w:eastAsia="zh-CN"/>
        </w:rPr>
        <w:t>小微企业并提供</w:t>
      </w:r>
      <w:r>
        <w:rPr>
          <w:rFonts w:hint="eastAsia" w:ascii="楷体" w:hAnsi="楷体" w:eastAsia="楷体" w:cs="楷体"/>
          <w:color w:val="auto"/>
          <w:kern w:val="2"/>
          <w:sz w:val="24"/>
          <w:szCs w:val="24"/>
          <w:highlight w:val="none"/>
          <w:lang w:val="en-US" w:eastAsia="zh-CN"/>
        </w:rPr>
        <w:t>声明函的</w:t>
      </w:r>
      <w:r>
        <w:rPr>
          <w:rFonts w:hint="eastAsia" w:ascii="楷体" w:hAnsi="楷体" w:eastAsia="楷体" w:cs="楷体"/>
          <w:color w:val="auto"/>
          <w:kern w:val="2"/>
          <w:sz w:val="24"/>
          <w:szCs w:val="24"/>
          <w:highlight w:val="none"/>
          <w:lang w:eastAsia="zh-CN"/>
        </w:rPr>
        <w:t>，符合国家法律法规规定，在评审时按照国家相关规定报价给予</w:t>
      </w:r>
      <w:r>
        <w:rPr>
          <w:rFonts w:hint="eastAsia" w:ascii="楷体" w:hAnsi="楷体" w:eastAsia="楷体" w:cs="楷体"/>
          <w:color w:val="auto"/>
          <w:kern w:val="2"/>
          <w:sz w:val="24"/>
          <w:szCs w:val="24"/>
          <w:highlight w:val="none"/>
          <w:lang w:val="en-US" w:eastAsia="zh-CN"/>
        </w:rPr>
        <w:t>10%</w:t>
      </w:r>
      <w:r>
        <w:rPr>
          <w:rFonts w:hint="eastAsia" w:ascii="楷体" w:hAnsi="楷体" w:eastAsia="楷体" w:cs="楷体"/>
          <w:color w:val="auto"/>
          <w:kern w:val="2"/>
          <w:sz w:val="24"/>
          <w:szCs w:val="24"/>
          <w:highlight w:val="none"/>
          <w:lang w:eastAsia="zh-CN"/>
        </w:rPr>
        <w:t>的价格折扣，</w:t>
      </w:r>
      <w:r>
        <w:rPr>
          <w:rFonts w:hint="eastAsia" w:ascii="楷体" w:hAnsi="楷体" w:eastAsia="楷体" w:cs="楷体"/>
          <w:color w:val="auto"/>
          <w:kern w:val="2"/>
          <w:sz w:val="24"/>
          <w:szCs w:val="24"/>
          <w:highlight w:val="none"/>
          <w:lang w:val="en-US" w:eastAsia="zh-CN"/>
        </w:rPr>
        <w:t>用扣除后的价格参与评审，监狱企业及残疾人福利单位视同于中小微企业，不再另行减免。</w:t>
      </w:r>
    </w:p>
    <w:p w14:paraId="6091053A">
      <w:pPr>
        <w:widowControl/>
        <w:shd w:val="clear"/>
        <w:spacing w:line="360" w:lineRule="auto"/>
        <w:ind w:firstLine="600" w:firstLineChars="250"/>
        <w:rPr>
          <w:rFonts w:hint="eastAsia" w:ascii="楷体" w:hAnsi="楷体" w:eastAsia="楷体" w:cs="楷体"/>
          <w:color w:val="auto"/>
          <w:kern w:val="0"/>
          <w:sz w:val="24"/>
          <w:highlight w:val="none"/>
          <w:lang w:val="en-US" w:eastAsia="zh-CN"/>
        </w:rPr>
      </w:pPr>
      <w:r>
        <w:rPr>
          <w:rFonts w:hint="eastAsia" w:ascii="楷体" w:hAnsi="楷体" w:eastAsia="楷体" w:cs="楷体"/>
          <w:color w:val="auto"/>
          <w:kern w:val="0"/>
          <w:sz w:val="24"/>
          <w:highlight w:val="none"/>
        </w:rPr>
        <w:t>3.本项目的特定资格要求：单位负责人为同一人或者存在直接控股、管理关系的不同供应商，不得参加同一合同项下的政府采购活动</w:t>
      </w:r>
      <w:r>
        <w:rPr>
          <w:rFonts w:hint="eastAsia" w:ascii="楷体" w:hAnsi="楷体" w:eastAsia="楷体" w:cs="楷体"/>
          <w:color w:val="auto"/>
          <w:kern w:val="0"/>
          <w:sz w:val="24"/>
          <w:highlight w:val="none"/>
          <w:lang w:val="en-US" w:eastAsia="zh-CN"/>
        </w:rPr>
        <w:t>。</w:t>
      </w:r>
    </w:p>
    <w:p w14:paraId="4C470CA6">
      <w:pPr>
        <w:widowControl/>
        <w:shd w:val="clear"/>
        <w:spacing w:line="360" w:lineRule="auto"/>
        <w:jc w:val="left"/>
        <w:outlineLvl w:val="1"/>
        <w:rPr>
          <w:rFonts w:hint="eastAsia" w:ascii="楷体" w:hAnsi="楷体" w:eastAsia="楷体" w:cs="楷体"/>
          <w:b/>
          <w:color w:val="auto"/>
          <w:sz w:val="24"/>
          <w:highlight w:val="none"/>
        </w:rPr>
      </w:pPr>
      <w:bookmarkStart w:id="6" w:name="_Toc125"/>
      <w:r>
        <w:rPr>
          <w:rFonts w:hint="eastAsia" w:ascii="楷体" w:hAnsi="楷体" w:eastAsia="楷体" w:cs="楷体"/>
          <w:b/>
          <w:color w:val="auto"/>
          <w:sz w:val="24"/>
          <w:highlight w:val="none"/>
        </w:rPr>
        <w:t>3.</w:t>
      </w:r>
      <w:r>
        <w:rPr>
          <w:rFonts w:hint="eastAsia" w:ascii="楷体" w:hAnsi="楷体" w:eastAsia="楷体" w:cs="楷体"/>
          <w:b/>
          <w:color w:val="auto"/>
          <w:sz w:val="24"/>
          <w:highlight w:val="none"/>
          <w:lang w:eastAsia="zh-CN"/>
        </w:rPr>
        <w:t>招标文件</w:t>
      </w:r>
      <w:r>
        <w:rPr>
          <w:rFonts w:hint="eastAsia" w:ascii="楷体" w:hAnsi="楷体" w:eastAsia="楷体" w:cs="楷体"/>
          <w:b/>
          <w:color w:val="auto"/>
          <w:sz w:val="24"/>
          <w:highlight w:val="none"/>
        </w:rPr>
        <w:t>的获取</w:t>
      </w:r>
      <w:bookmarkEnd w:id="6"/>
    </w:p>
    <w:p w14:paraId="056413E6">
      <w:pPr>
        <w:pStyle w:val="17"/>
        <w:shd w:val="clear" w:color="auto"/>
        <w:spacing w:before="0" w:beforeAutospacing="0" w:after="0" w:afterAutospacing="0" w:line="360" w:lineRule="auto"/>
        <w:ind w:firstLine="480" w:firstLineChars="200"/>
        <w:rPr>
          <w:rFonts w:hint="eastAsia" w:ascii="楷体" w:hAnsi="楷体" w:eastAsia="楷体" w:cs="楷体"/>
          <w:color w:val="auto"/>
          <w:sz w:val="24"/>
          <w:szCs w:val="24"/>
          <w:highlight w:val="none"/>
          <w:shd w:val="clear" w:color="auto" w:fill="FFFFFF"/>
        </w:rPr>
      </w:pPr>
      <w:r>
        <w:rPr>
          <w:rFonts w:hint="eastAsia" w:ascii="楷体" w:hAnsi="楷体" w:eastAsia="楷体" w:cs="楷体"/>
          <w:color w:val="auto"/>
          <w:sz w:val="24"/>
          <w:szCs w:val="24"/>
          <w:highlight w:val="none"/>
          <w:shd w:val="clear" w:color="auto" w:fill="FFFFFF"/>
        </w:rPr>
        <w:t>时间：</w:t>
      </w:r>
      <w:r>
        <w:rPr>
          <w:rFonts w:hint="eastAsia" w:ascii="楷体" w:hAnsi="楷体" w:eastAsia="楷体" w:cs="楷体"/>
          <w:color w:val="auto"/>
          <w:sz w:val="24"/>
          <w:szCs w:val="24"/>
          <w:highlight w:val="none"/>
          <w:shd w:val="clear" w:color="auto" w:fill="FFFFFF"/>
          <w:lang w:val="en-US" w:eastAsia="zh-CN"/>
        </w:rPr>
        <w:t>2024年09月25日</w:t>
      </w:r>
      <w:r>
        <w:rPr>
          <w:rFonts w:hint="eastAsia" w:ascii="楷体" w:hAnsi="楷体" w:eastAsia="楷体" w:cs="楷体"/>
          <w:color w:val="auto"/>
          <w:sz w:val="24"/>
          <w:szCs w:val="24"/>
          <w:highlight w:val="none"/>
          <w:shd w:val="clear" w:color="auto" w:fill="FFFFFF"/>
        </w:rPr>
        <w:t>至202</w:t>
      </w:r>
      <w:r>
        <w:rPr>
          <w:rFonts w:hint="eastAsia" w:ascii="楷体" w:hAnsi="楷体" w:eastAsia="楷体" w:cs="楷体"/>
          <w:color w:val="auto"/>
          <w:sz w:val="24"/>
          <w:szCs w:val="24"/>
          <w:highlight w:val="none"/>
          <w:shd w:val="clear" w:color="auto" w:fill="FFFFFF"/>
          <w:lang w:val="en-US" w:eastAsia="zh-CN"/>
        </w:rPr>
        <w:t>4年10月08</w:t>
      </w:r>
      <w:bookmarkStart w:id="195" w:name="_GoBack"/>
      <w:bookmarkEnd w:id="195"/>
      <w:r>
        <w:rPr>
          <w:rFonts w:hint="eastAsia" w:ascii="楷体" w:hAnsi="楷体" w:eastAsia="楷体" w:cs="楷体"/>
          <w:color w:val="auto"/>
          <w:sz w:val="24"/>
          <w:szCs w:val="24"/>
          <w:highlight w:val="none"/>
          <w:shd w:val="clear" w:color="auto" w:fill="FFFFFF"/>
          <w:lang w:val="en-US" w:eastAsia="zh-CN"/>
        </w:rPr>
        <w:t>日</w:t>
      </w:r>
      <w:r>
        <w:rPr>
          <w:rFonts w:hint="eastAsia" w:ascii="楷体" w:hAnsi="楷体" w:eastAsia="楷体" w:cs="楷体"/>
          <w:color w:val="auto"/>
          <w:sz w:val="24"/>
          <w:szCs w:val="24"/>
          <w:highlight w:val="none"/>
          <w:shd w:val="clear" w:color="auto" w:fill="FFFFFF"/>
        </w:rPr>
        <w:t>，每天上午00:00至12:00，下午12:00至23:59（北京时间，法定节假日除外）</w:t>
      </w:r>
    </w:p>
    <w:p w14:paraId="44221CAE">
      <w:pPr>
        <w:pStyle w:val="17"/>
        <w:shd w:val="clear" w:color="auto"/>
        <w:spacing w:before="0" w:beforeAutospacing="0" w:after="0" w:afterAutospacing="0" w:line="360" w:lineRule="auto"/>
        <w:ind w:firstLine="480" w:firstLineChars="200"/>
        <w:rPr>
          <w:rFonts w:hint="eastAsia" w:ascii="楷体" w:hAnsi="楷体" w:eastAsia="楷体" w:cs="楷体"/>
          <w:color w:val="auto"/>
          <w:sz w:val="24"/>
          <w:szCs w:val="24"/>
          <w:highlight w:val="none"/>
          <w:shd w:val="clear" w:color="auto" w:fill="FFFFFF"/>
        </w:rPr>
      </w:pPr>
      <w:r>
        <w:rPr>
          <w:rFonts w:hint="eastAsia" w:ascii="楷体" w:hAnsi="楷体" w:eastAsia="楷体" w:cs="楷体"/>
          <w:color w:val="auto"/>
          <w:sz w:val="24"/>
          <w:szCs w:val="24"/>
          <w:highlight w:val="none"/>
          <w:shd w:val="clear" w:color="auto" w:fill="FFFFFF"/>
        </w:rPr>
        <w:t>地点：政采云平台https://www.zcygov.cn</w:t>
      </w:r>
    </w:p>
    <w:p w14:paraId="5318FE82">
      <w:pPr>
        <w:pStyle w:val="17"/>
        <w:shd w:val="clear" w:color="auto"/>
        <w:spacing w:before="0" w:beforeAutospacing="0" w:after="0" w:afterAutospacing="0" w:line="360" w:lineRule="auto"/>
        <w:ind w:firstLine="480" w:firstLineChars="200"/>
        <w:rPr>
          <w:rFonts w:hint="eastAsia" w:ascii="楷体" w:hAnsi="楷体" w:eastAsia="楷体" w:cs="楷体"/>
          <w:color w:val="auto"/>
          <w:sz w:val="24"/>
          <w:szCs w:val="24"/>
          <w:highlight w:val="none"/>
          <w:shd w:val="clear" w:color="auto" w:fill="FFFFFF"/>
        </w:rPr>
      </w:pPr>
      <w:r>
        <w:rPr>
          <w:rFonts w:hint="eastAsia" w:ascii="楷体" w:hAnsi="楷体" w:eastAsia="楷体" w:cs="楷体"/>
          <w:color w:val="auto"/>
          <w:sz w:val="24"/>
          <w:szCs w:val="24"/>
          <w:highlight w:val="none"/>
          <w:shd w:val="clear" w:color="auto" w:fill="FFFFFF"/>
        </w:rPr>
        <w:t>方式：1.凡有意参加投标者，须在政采云平台办理数字证书（CA），CA申领链接：https://middle.zcygov.cn/ca/apply/list?_app_=zcy.sys，并在政采云绑定数字证书（CA）后在网上获取采购文件及其它采购资料，数字证书（CA）详见其办理流程。注：云南本地</w:t>
      </w:r>
      <w:r>
        <w:rPr>
          <w:rFonts w:hint="eastAsia" w:ascii="楷体" w:hAnsi="楷体" w:eastAsia="楷体" w:cs="楷体"/>
          <w:color w:val="auto"/>
          <w:sz w:val="24"/>
          <w:szCs w:val="24"/>
          <w:highlight w:val="none"/>
          <w:shd w:val="clear" w:color="auto" w:fill="FFFFFF"/>
          <w:lang w:eastAsia="zh-CN"/>
        </w:rPr>
        <w:t>供应商</w:t>
      </w:r>
      <w:r>
        <w:rPr>
          <w:rFonts w:hint="eastAsia" w:ascii="楷体" w:hAnsi="楷体" w:eastAsia="楷体" w:cs="楷体"/>
          <w:color w:val="auto"/>
          <w:sz w:val="24"/>
          <w:szCs w:val="24"/>
          <w:highlight w:val="none"/>
          <w:shd w:val="clear" w:color="auto" w:fill="FFFFFF"/>
        </w:rPr>
        <w:t>如之前已在云南CA在线数字证书办理网进行过注册并办理过企业数字证书（CA），直接绑定即可，无需重复办理（2022年1月1日前办理的云南CA需到云南CA办理处进行升级）。外省</w:t>
      </w:r>
      <w:r>
        <w:rPr>
          <w:rFonts w:hint="eastAsia" w:ascii="楷体" w:hAnsi="楷体" w:eastAsia="楷体" w:cs="楷体"/>
          <w:color w:val="auto"/>
          <w:sz w:val="24"/>
          <w:szCs w:val="24"/>
          <w:highlight w:val="none"/>
          <w:shd w:val="clear" w:color="auto" w:fill="FFFFFF"/>
          <w:lang w:eastAsia="zh-CN"/>
        </w:rPr>
        <w:t>供应商</w:t>
      </w:r>
      <w:r>
        <w:rPr>
          <w:rFonts w:hint="eastAsia" w:ascii="楷体" w:hAnsi="楷体" w:eastAsia="楷体" w:cs="楷体"/>
          <w:color w:val="auto"/>
          <w:sz w:val="24"/>
          <w:szCs w:val="24"/>
          <w:highlight w:val="none"/>
          <w:shd w:val="clear" w:color="auto" w:fill="FFFFFF"/>
        </w:rPr>
        <w:t>在政采云平台办理的其他CA可直接使用，无需重复办理。2.按上述要求获取文件的</w:t>
      </w:r>
      <w:r>
        <w:rPr>
          <w:rFonts w:hint="eastAsia" w:ascii="楷体" w:hAnsi="楷体" w:eastAsia="楷体" w:cs="楷体"/>
          <w:color w:val="auto"/>
          <w:sz w:val="24"/>
          <w:szCs w:val="24"/>
          <w:highlight w:val="none"/>
          <w:shd w:val="clear" w:color="auto" w:fill="FFFFFF"/>
          <w:lang w:eastAsia="zh-CN"/>
        </w:rPr>
        <w:t>供应商</w:t>
      </w:r>
      <w:r>
        <w:rPr>
          <w:rFonts w:hint="eastAsia" w:ascii="楷体" w:hAnsi="楷体" w:eastAsia="楷体" w:cs="楷体"/>
          <w:color w:val="auto"/>
          <w:sz w:val="24"/>
          <w:szCs w:val="24"/>
          <w:highlight w:val="none"/>
          <w:shd w:val="clear" w:color="auto" w:fill="FFFFFF"/>
        </w:rPr>
        <w:t>视为合法获取了本项目采购文件，具备本项目的投标资格。</w:t>
      </w:r>
    </w:p>
    <w:p w14:paraId="4EE22B11">
      <w:pPr>
        <w:pStyle w:val="17"/>
        <w:shd w:val="clear" w:color="auto"/>
        <w:spacing w:before="0" w:beforeAutospacing="0" w:after="0" w:afterAutospacing="0" w:line="360" w:lineRule="auto"/>
        <w:ind w:firstLine="480" w:firstLineChars="200"/>
        <w:rPr>
          <w:rFonts w:hint="eastAsia" w:ascii="楷体" w:hAnsi="楷体" w:eastAsia="楷体" w:cs="楷体"/>
          <w:color w:val="auto"/>
          <w:sz w:val="24"/>
          <w:szCs w:val="24"/>
          <w:highlight w:val="none"/>
          <w:shd w:val="clear" w:color="auto" w:fill="FFFFFF"/>
        </w:rPr>
      </w:pPr>
      <w:r>
        <w:rPr>
          <w:rFonts w:hint="eastAsia" w:ascii="楷体" w:hAnsi="楷体" w:eastAsia="楷体" w:cs="楷体"/>
          <w:color w:val="auto"/>
          <w:sz w:val="24"/>
          <w:szCs w:val="24"/>
          <w:highlight w:val="none"/>
          <w:shd w:val="clear" w:color="auto" w:fill="FFFFFF"/>
        </w:rPr>
        <w:t>售价（元）：0</w:t>
      </w:r>
    </w:p>
    <w:p w14:paraId="5A94E45B">
      <w:pPr>
        <w:widowControl/>
        <w:shd w:val="clear"/>
        <w:spacing w:line="360" w:lineRule="auto"/>
        <w:jc w:val="left"/>
        <w:outlineLvl w:val="1"/>
        <w:rPr>
          <w:rFonts w:hint="eastAsia" w:ascii="楷体" w:hAnsi="楷体" w:eastAsia="楷体" w:cs="楷体"/>
          <w:color w:val="auto"/>
          <w:sz w:val="24"/>
          <w:highlight w:val="none"/>
          <w:lang w:val="en-US" w:eastAsia="zh-CN"/>
        </w:rPr>
      </w:pPr>
      <w:bookmarkStart w:id="7" w:name="_Toc15931"/>
      <w:r>
        <w:rPr>
          <w:rFonts w:hint="eastAsia" w:ascii="楷体" w:hAnsi="楷体" w:eastAsia="楷体" w:cs="楷体"/>
          <w:b/>
          <w:color w:val="auto"/>
          <w:sz w:val="24"/>
          <w:highlight w:val="none"/>
        </w:rPr>
        <w:t>4.投标文件的提交</w:t>
      </w:r>
      <w:r>
        <w:rPr>
          <w:rFonts w:hint="eastAsia" w:ascii="楷体" w:hAnsi="楷体" w:eastAsia="楷体" w:cs="楷体"/>
          <w:b/>
          <w:color w:val="auto"/>
          <w:sz w:val="24"/>
          <w:highlight w:val="none"/>
          <w:lang w:val="en-US" w:eastAsia="zh-CN"/>
        </w:rPr>
        <w:t>截止时间</w:t>
      </w:r>
      <w:r>
        <w:rPr>
          <w:rFonts w:hint="eastAsia" w:ascii="楷体" w:hAnsi="楷体" w:eastAsia="楷体" w:cs="楷体"/>
          <w:b/>
          <w:bCs/>
          <w:color w:val="auto"/>
          <w:kern w:val="0"/>
          <w:sz w:val="24"/>
          <w:szCs w:val="24"/>
          <w:highlight w:val="none"/>
        </w:rPr>
        <w:t>、开标时间和地点</w:t>
      </w:r>
      <w:bookmarkEnd w:id="7"/>
    </w:p>
    <w:p w14:paraId="435B759F">
      <w:pPr>
        <w:pStyle w:val="17"/>
        <w:shd w:val="clear" w:color="auto"/>
        <w:spacing w:before="0" w:beforeAutospacing="0" w:after="0" w:afterAutospacing="0" w:line="360" w:lineRule="auto"/>
        <w:ind w:firstLine="480" w:firstLineChars="200"/>
        <w:rPr>
          <w:rFonts w:hint="eastAsia" w:ascii="楷体" w:hAnsi="楷体" w:eastAsia="楷体" w:cs="楷体"/>
          <w:color w:val="auto"/>
          <w:sz w:val="24"/>
          <w:szCs w:val="24"/>
          <w:highlight w:val="none"/>
          <w:shd w:val="clear" w:color="auto" w:fill="FFFFFF"/>
        </w:rPr>
      </w:pPr>
      <w:bookmarkStart w:id="8" w:name="_Toc5185"/>
      <w:bookmarkStart w:id="9" w:name="_Toc27815"/>
      <w:bookmarkStart w:id="10" w:name="_Toc10606"/>
      <w:bookmarkStart w:id="11" w:name="_Toc25801"/>
      <w:bookmarkStart w:id="12" w:name="_Toc8300777"/>
      <w:r>
        <w:rPr>
          <w:rFonts w:hint="eastAsia" w:ascii="楷体" w:hAnsi="楷体" w:eastAsia="楷体" w:cs="楷体"/>
          <w:color w:val="auto"/>
          <w:sz w:val="24"/>
          <w:szCs w:val="24"/>
          <w:highlight w:val="none"/>
          <w:shd w:val="clear" w:color="auto" w:fill="FFFFFF"/>
        </w:rPr>
        <w:t>截止时间</w:t>
      </w:r>
      <w:r>
        <w:rPr>
          <w:rFonts w:hint="eastAsia" w:ascii="楷体" w:hAnsi="楷体" w:eastAsia="楷体" w:cs="楷体"/>
          <w:color w:val="auto"/>
          <w:sz w:val="24"/>
          <w:szCs w:val="24"/>
          <w:highlight w:val="none"/>
          <w:shd w:val="clear" w:color="auto" w:fill="FFFFFF"/>
          <w:lang w:eastAsia="zh-CN"/>
        </w:rPr>
        <w:t>、</w:t>
      </w:r>
      <w:r>
        <w:rPr>
          <w:rFonts w:hint="eastAsia" w:ascii="楷体" w:hAnsi="楷体" w:eastAsia="楷体" w:cs="楷体"/>
          <w:color w:val="auto"/>
          <w:sz w:val="24"/>
          <w:szCs w:val="24"/>
          <w:highlight w:val="none"/>
          <w:shd w:val="clear" w:color="auto" w:fill="FFFFFF"/>
          <w:lang w:val="en-US" w:eastAsia="zh-CN"/>
        </w:rPr>
        <w:t>开标时间</w:t>
      </w:r>
      <w:r>
        <w:rPr>
          <w:rFonts w:hint="eastAsia" w:ascii="楷体" w:hAnsi="楷体" w:eastAsia="楷体" w:cs="楷体"/>
          <w:color w:val="auto"/>
          <w:sz w:val="24"/>
          <w:szCs w:val="24"/>
          <w:highlight w:val="none"/>
          <w:shd w:val="clear" w:color="auto" w:fill="FFFFFF"/>
        </w:rPr>
        <w:t>：202</w:t>
      </w:r>
      <w:r>
        <w:rPr>
          <w:rFonts w:hint="eastAsia" w:ascii="楷体" w:hAnsi="楷体" w:eastAsia="楷体" w:cs="楷体"/>
          <w:color w:val="auto"/>
          <w:sz w:val="24"/>
          <w:szCs w:val="24"/>
          <w:highlight w:val="none"/>
          <w:shd w:val="clear" w:color="auto" w:fill="FFFFFF"/>
          <w:lang w:val="en-US" w:eastAsia="zh-CN"/>
        </w:rPr>
        <w:t>4年10月15日14时30分</w:t>
      </w:r>
      <w:r>
        <w:rPr>
          <w:rFonts w:hint="eastAsia" w:ascii="楷体" w:hAnsi="楷体" w:eastAsia="楷体" w:cs="楷体"/>
          <w:color w:val="auto"/>
          <w:sz w:val="24"/>
          <w:szCs w:val="24"/>
          <w:highlight w:val="none"/>
          <w:shd w:val="clear" w:color="auto" w:fill="FFFFFF"/>
        </w:rPr>
        <w:t>（北京时间）</w:t>
      </w:r>
    </w:p>
    <w:p w14:paraId="18BE0B65">
      <w:pPr>
        <w:pStyle w:val="17"/>
        <w:shd w:val="clear" w:color="auto"/>
        <w:spacing w:before="0" w:beforeAutospacing="0" w:after="0" w:afterAutospacing="0" w:line="360" w:lineRule="auto"/>
        <w:ind w:firstLine="480" w:firstLineChars="200"/>
        <w:rPr>
          <w:rFonts w:hint="eastAsia" w:ascii="楷体" w:hAnsi="楷体" w:eastAsia="楷体" w:cs="楷体"/>
          <w:color w:val="auto"/>
          <w:sz w:val="24"/>
          <w:szCs w:val="24"/>
          <w:highlight w:val="none"/>
          <w:shd w:val="clear" w:color="auto" w:fill="FFFFFF"/>
        </w:rPr>
      </w:pPr>
      <w:r>
        <w:rPr>
          <w:rFonts w:hint="eastAsia" w:ascii="楷体" w:hAnsi="楷体" w:eastAsia="楷体" w:cs="楷体"/>
          <w:color w:val="auto"/>
          <w:sz w:val="24"/>
          <w:szCs w:val="24"/>
          <w:highlight w:val="none"/>
          <w:shd w:val="clear" w:color="auto" w:fill="FFFFFF"/>
        </w:rPr>
        <w:t>地点：请登录政采云平台（https://www.zcygov.cn/）进行电子投标。</w:t>
      </w:r>
    </w:p>
    <w:bookmarkEnd w:id="8"/>
    <w:bookmarkEnd w:id="9"/>
    <w:bookmarkEnd w:id="10"/>
    <w:bookmarkEnd w:id="11"/>
    <w:bookmarkEnd w:id="12"/>
    <w:p w14:paraId="02157855">
      <w:pPr>
        <w:widowControl/>
        <w:shd w:val="clear" w:color="auto"/>
        <w:spacing w:line="360" w:lineRule="auto"/>
        <w:jc w:val="left"/>
        <w:outlineLvl w:val="1"/>
        <w:rPr>
          <w:rFonts w:hint="eastAsia" w:ascii="楷体" w:hAnsi="楷体" w:eastAsia="楷体" w:cs="楷体"/>
          <w:color w:val="auto"/>
          <w:kern w:val="0"/>
          <w:sz w:val="24"/>
          <w:szCs w:val="24"/>
          <w:highlight w:val="none"/>
        </w:rPr>
      </w:pPr>
      <w:bookmarkStart w:id="13" w:name="_Toc20512"/>
      <w:r>
        <w:rPr>
          <w:rFonts w:hint="eastAsia" w:ascii="楷体" w:hAnsi="楷体" w:eastAsia="楷体" w:cs="楷体"/>
          <w:b/>
          <w:bCs/>
          <w:color w:val="auto"/>
          <w:kern w:val="0"/>
          <w:sz w:val="24"/>
          <w:szCs w:val="24"/>
          <w:highlight w:val="none"/>
          <w:lang w:val="en-US" w:eastAsia="zh-CN"/>
        </w:rPr>
        <w:t>5</w:t>
      </w:r>
      <w:r>
        <w:rPr>
          <w:rFonts w:hint="eastAsia" w:ascii="楷体" w:hAnsi="楷体" w:eastAsia="楷体" w:cs="楷体"/>
          <w:b/>
          <w:bCs/>
          <w:color w:val="auto"/>
          <w:kern w:val="0"/>
          <w:sz w:val="24"/>
          <w:szCs w:val="24"/>
          <w:highlight w:val="none"/>
        </w:rPr>
        <w:t>、公告期限</w:t>
      </w:r>
      <w:bookmarkEnd w:id="13"/>
    </w:p>
    <w:p w14:paraId="1412D3F7">
      <w:pPr>
        <w:widowControl/>
        <w:shd w:val="clear" w:color="auto"/>
        <w:spacing w:line="360" w:lineRule="auto"/>
        <w:ind w:firstLine="480" w:firstLineChars="200"/>
        <w:jc w:val="left"/>
        <w:rPr>
          <w:rFonts w:hint="eastAsia" w:ascii="楷体" w:hAnsi="楷体" w:eastAsia="楷体" w:cs="楷体"/>
          <w:color w:val="auto"/>
          <w:kern w:val="0"/>
          <w:sz w:val="24"/>
          <w:szCs w:val="24"/>
          <w:highlight w:val="none"/>
        </w:rPr>
      </w:pPr>
      <w:r>
        <w:rPr>
          <w:rFonts w:hint="eastAsia" w:ascii="楷体" w:hAnsi="楷体" w:eastAsia="楷体" w:cs="楷体"/>
          <w:color w:val="auto"/>
          <w:kern w:val="0"/>
          <w:sz w:val="24"/>
          <w:szCs w:val="24"/>
          <w:highlight w:val="none"/>
        </w:rPr>
        <w:t>自本公告发布之日起5个工作日。</w:t>
      </w:r>
    </w:p>
    <w:p w14:paraId="538535E1">
      <w:pPr>
        <w:widowControl/>
        <w:numPr>
          <w:ilvl w:val="0"/>
          <w:numId w:val="0"/>
        </w:numPr>
        <w:shd w:val="clear" w:color="auto"/>
        <w:spacing w:line="360" w:lineRule="auto"/>
        <w:jc w:val="left"/>
        <w:outlineLvl w:val="1"/>
        <w:rPr>
          <w:rFonts w:hint="eastAsia" w:ascii="楷体" w:hAnsi="楷体" w:eastAsia="楷体" w:cs="楷体"/>
          <w:b/>
          <w:bCs/>
          <w:color w:val="auto"/>
          <w:kern w:val="0"/>
          <w:sz w:val="24"/>
          <w:szCs w:val="24"/>
          <w:highlight w:val="none"/>
        </w:rPr>
      </w:pPr>
      <w:bookmarkStart w:id="14" w:name="_Toc31358"/>
      <w:bookmarkStart w:id="15" w:name="_Toc30659"/>
      <w:r>
        <w:rPr>
          <w:rFonts w:hint="eastAsia" w:ascii="楷体" w:hAnsi="楷体" w:eastAsia="楷体" w:cs="楷体"/>
          <w:b/>
          <w:bCs/>
          <w:color w:val="auto"/>
          <w:kern w:val="0"/>
          <w:sz w:val="24"/>
          <w:szCs w:val="24"/>
          <w:highlight w:val="none"/>
          <w:lang w:val="en-US" w:eastAsia="zh-CN"/>
        </w:rPr>
        <w:t>6、</w:t>
      </w:r>
      <w:r>
        <w:rPr>
          <w:rFonts w:hint="eastAsia" w:ascii="楷体" w:hAnsi="楷体" w:eastAsia="楷体" w:cs="楷体"/>
          <w:b/>
          <w:bCs/>
          <w:color w:val="auto"/>
          <w:kern w:val="0"/>
          <w:sz w:val="24"/>
          <w:szCs w:val="24"/>
          <w:highlight w:val="none"/>
        </w:rPr>
        <w:t>其他补充事宜</w:t>
      </w:r>
      <w:bookmarkEnd w:id="14"/>
      <w:bookmarkEnd w:id="15"/>
    </w:p>
    <w:p w14:paraId="65EFEA36">
      <w:pPr>
        <w:numPr>
          <w:ilvl w:val="0"/>
          <w:numId w:val="0"/>
        </w:numPr>
        <w:shd w:val="clear"/>
        <w:spacing w:line="360" w:lineRule="auto"/>
        <w:ind w:firstLine="480" w:firstLineChars="200"/>
        <w:rPr>
          <w:rFonts w:hint="eastAsia" w:ascii="楷体" w:hAnsi="楷体" w:eastAsia="楷体" w:cs="楷体"/>
          <w:color w:val="auto"/>
          <w:kern w:val="0"/>
          <w:sz w:val="24"/>
          <w:szCs w:val="24"/>
          <w:highlight w:val="none"/>
        </w:rPr>
      </w:pPr>
      <w:r>
        <w:rPr>
          <w:rFonts w:hint="eastAsia" w:ascii="楷体" w:hAnsi="楷体" w:eastAsia="楷体" w:cs="楷体"/>
          <w:color w:val="auto"/>
          <w:sz w:val="24"/>
          <w:szCs w:val="24"/>
          <w:highlight w:val="none"/>
          <w:lang w:val="en-US" w:eastAsia="zh-CN"/>
        </w:rPr>
        <w:t>6.1</w:t>
      </w:r>
      <w:r>
        <w:rPr>
          <w:rFonts w:hint="eastAsia" w:ascii="楷体" w:hAnsi="楷体" w:eastAsia="楷体" w:cs="楷体"/>
          <w:color w:val="auto"/>
          <w:sz w:val="24"/>
          <w:szCs w:val="24"/>
          <w:highlight w:val="none"/>
        </w:rPr>
        <w:t>公告发布媒介：云南省政府采购网、政采云平台上发布，采购人及采购代理机构对其他网站或媒体转载的公告及公告内容不承担任何责任。</w:t>
      </w:r>
    </w:p>
    <w:p w14:paraId="00F888DE">
      <w:pPr>
        <w:pStyle w:val="17"/>
        <w:shd w:val="clear" w:color="auto"/>
        <w:spacing w:before="0" w:beforeAutospacing="0" w:after="0" w:afterAutospacing="0" w:line="360" w:lineRule="auto"/>
        <w:ind w:firstLine="480" w:firstLineChars="200"/>
        <w:rPr>
          <w:rFonts w:hint="eastAsia" w:ascii="楷体" w:hAnsi="楷体" w:eastAsia="楷体" w:cs="楷体"/>
          <w:b w:val="0"/>
          <w:bCs w:val="0"/>
          <w:color w:val="auto"/>
          <w:kern w:val="0"/>
          <w:sz w:val="24"/>
          <w:szCs w:val="24"/>
          <w:highlight w:val="none"/>
          <w:lang w:eastAsia="zh-CN"/>
        </w:rPr>
      </w:pPr>
      <w:r>
        <w:rPr>
          <w:rFonts w:hint="eastAsia" w:ascii="楷体" w:hAnsi="楷体" w:eastAsia="楷体" w:cs="楷体"/>
          <w:color w:val="auto"/>
          <w:kern w:val="0"/>
          <w:sz w:val="24"/>
          <w:szCs w:val="24"/>
          <w:highlight w:val="none"/>
          <w:lang w:val="en-US" w:eastAsia="zh-CN"/>
        </w:rPr>
        <w:t>6.2</w:t>
      </w:r>
      <w:r>
        <w:rPr>
          <w:rFonts w:hint="eastAsia" w:ascii="楷体" w:hAnsi="楷体" w:eastAsia="楷体" w:cs="楷体"/>
          <w:color w:val="auto"/>
          <w:kern w:val="0"/>
          <w:sz w:val="24"/>
          <w:szCs w:val="24"/>
          <w:highlight w:val="none"/>
        </w:rPr>
        <w:t>开标方式：本项目为</w:t>
      </w:r>
      <w:r>
        <w:rPr>
          <w:rFonts w:hint="eastAsia" w:ascii="楷体" w:hAnsi="楷体" w:eastAsia="楷体" w:cs="楷体"/>
          <w:color w:val="auto"/>
          <w:kern w:val="0"/>
          <w:sz w:val="24"/>
          <w:szCs w:val="24"/>
          <w:highlight w:val="none"/>
          <w:lang w:val="en-US" w:eastAsia="zh-CN"/>
        </w:rPr>
        <w:t>网上电子</w:t>
      </w:r>
      <w:r>
        <w:rPr>
          <w:rFonts w:hint="eastAsia" w:ascii="楷体" w:hAnsi="楷体" w:eastAsia="楷体" w:cs="楷体"/>
          <w:color w:val="auto"/>
          <w:kern w:val="0"/>
          <w:sz w:val="24"/>
          <w:szCs w:val="24"/>
          <w:highlight w:val="none"/>
        </w:rPr>
        <w:t>开标，供应商无需到达现场。</w:t>
      </w:r>
    </w:p>
    <w:p w14:paraId="6EA37833">
      <w:pPr>
        <w:numPr>
          <w:ilvl w:val="0"/>
          <w:numId w:val="0"/>
        </w:numPr>
        <w:shd w:val="clear"/>
        <w:spacing w:line="360" w:lineRule="auto"/>
        <w:outlineLvl w:val="1"/>
        <w:rPr>
          <w:rFonts w:hint="eastAsia" w:ascii="楷体" w:hAnsi="楷体" w:eastAsia="楷体" w:cs="楷体"/>
          <w:color w:val="auto"/>
          <w:kern w:val="0"/>
          <w:sz w:val="24"/>
          <w:szCs w:val="24"/>
          <w:highlight w:val="none"/>
          <w:lang w:eastAsia="zh-CN"/>
        </w:rPr>
      </w:pPr>
      <w:bookmarkStart w:id="16" w:name="_Toc27864"/>
      <w:r>
        <w:rPr>
          <w:rFonts w:hint="eastAsia" w:ascii="楷体" w:hAnsi="楷体" w:eastAsia="楷体" w:cs="楷体"/>
          <w:b/>
          <w:color w:val="auto"/>
          <w:sz w:val="24"/>
          <w:highlight w:val="none"/>
          <w:lang w:val="en-US" w:eastAsia="zh-CN"/>
        </w:rPr>
        <w:t>7</w:t>
      </w:r>
      <w:r>
        <w:rPr>
          <w:rFonts w:hint="eastAsia" w:ascii="楷体" w:hAnsi="楷体" w:eastAsia="楷体" w:cs="楷体"/>
          <w:b/>
          <w:color w:val="auto"/>
          <w:sz w:val="24"/>
          <w:highlight w:val="none"/>
        </w:rPr>
        <w:t>.</w:t>
      </w:r>
      <w:r>
        <w:rPr>
          <w:rFonts w:hint="eastAsia" w:ascii="楷体" w:hAnsi="楷体" w:eastAsia="楷体" w:cs="楷体"/>
          <w:b/>
          <w:bCs/>
          <w:color w:val="auto"/>
          <w:kern w:val="0"/>
          <w:sz w:val="24"/>
          <w:szCs w:val="24"/>
          <w:highlight w:val="none"/>
        </w:rPr>
        <w:t>对本次招标提出询问，请按以下方式联系</w:t>
      </w:r>
      <w:r>
        <w:rPr>
          <w:rFonts w:hint="eastAsia" w:ascii="楷体" w:hAnsi="楷体" w:eastAsia="楷体" w:cs="楷体"/>
          <w:b/>
          <w:bCs/>
          <w:color w:val="auto"/>
          <w:kern w:val="0"/>
          <w:sz w:val="24"/>
          <w:szCs w:val="24"/>
          <w:highlight w:val="none"/>
          <w:lang w:eastAsia="zh-CN"/>
        </w:rPr>
        <w:t>：</w:t>
      </w:r>
      <w:bookmarkEnd w:id="16"/>
    </w:p>
    <w:p w14:paraId="7BC7BCA5">
      <w:pPr>
        <w:widowControl/>
        <w:shd w:val="clear" w:color="auto"/>
        <w:spacing w:line="360" w:lineRule="auto"/>
        <w:ind w:firstLine="480" w:firstLineChars="200"/>
        <w:jc w:val="left"/>
        <w:rPr>
          <w:rFonts w:hint="eastAsia" w:ascii="楷体" w:hAnsi="楷体" w:eastAsia="楷体" w:cs="楷体"/>
          <w:color w:val="auto"/>
          <w:kern w:val="0"/>
          <w:sz w:val="24"/>
          <w:szCs w:val="24"/>
          <w:highlight w:val="none"/>
        </w:rPr>
      </w:pPr>
      <w:r>
        <w:rPr>
          <w:rFonts w:hint="eastAsia" w:ascii="楷体" w:hAnsi="楷体" w:eastAsia="楷体" w:cs="楷体"/>
          <w:color w:val="auto"/>
          <w:kern w:val="0"/>
          <w:sz w:val="24"/>
          <w:szCs w:val="24"/>
          <w:highlight w:val="none"/>
          <w:lang w:val="en-US" w:eastAsia="zh-CN"/>
        </w:rPr>
        <w:t>7.</w:t>
      </w:r>
      <w:r>
        <w:rPr>
          <w:rFonts w:hint="eastAsia" w:ascii="楷体" w:hAnsi="楷体" w:eastAsia="楷体" w:cs="楷体"/>
          <w:color w:val="auto"/>
          <w:kern w:val="0"/>
          <w:sz w:val="24"/>
          <w:szCs w:val="24"/>
          <w:highlight w:val="none"/>
        </w:rPr>
        <w:t>1采购人信息</w:t>
      </w:r>
    </w:p>
    <w:p w14:paraId="67244D93">
      <w:pPr>
        <w:widowControl/>
        <w:shd w:val="clear" w:color="auto"/>
        <w:spacing w:line="360" w:lineRule="auto"/>
        <w:ind w:firstLine="480" w:firstLineChars="200"/>
        <w:jc w:val="left"/>
        <w:rPr>
          <w:rFonts w:hint="eastAsia" w:ascii="楷体" w:hAnsi="楷体" w:eastAsia="楷体" w:cs="楷体"/>
          <w:color w:val="auto"/>
          <w:kern w:val="0"/>
          <w:sz w:val="24"/>
          <w:szCs w:val="24"/>
          <w:highlight w:val="none"/>
          <w:lang w:eastAsia="zh-CN"/>
        </w:rPr>
      </w:pPr>
      <w:r>
        <w:rPr>
          <w:rFonts w:hint="eastAsia" w:ascii="楷体" w:hAnsi="楷体" w:eastAsia="楷体" w:cs="楷体"/>
          <w:color w:val="auto"/>
          <w:kern w:val="0"/>
          <w:sz w:val="24"/>
          <w:szCs w:val="24"/>
          <w:highlight w:val="none"/>
        </w:rPr>
        <w:t>名称：</w:t>
      </w:r>
      <w:r>
        <w:rPr>
          <w:rFonts w:hint="eastAsia" w:ascii="楷体" w:hAnsi="楷体" w:eastAsia="楷体" w:cs="楷体"/>
          <w:color w:val="auto"/>
          <w:kern w:val="0"/>
          <w:sz w:val="24"/>
          <w:szCs w:val="24"/>
          <w:highlight w:val="none"/>
          <w:lang w:eastAsia="zh-CN"/>
        </w:rPr>
        <w:t>昆明市官渡区人民法院</w:t>
      </w:r>
    </w:p>
    <w:p w14:paraId="3E5E01E9">
      <w:pPr>
        <w:widowControl/>
        <w:shd w:val="clear" w:color="auto"/>
        <w:spacing w:line="360" w:lineRule="auto"/>
        <w:ind w:firstLine="480" w:firstLineChars="200"/>
        <w:jc w:val="left"/>
        <w:rPr>
          <w:rFonts w:hint="eastAsia" w:ascii="楷体" w:hAnsi="楷体" w:eastAsia="楷体" w:cs="楷体"/>
          <w:color w:val="auto"/>
          <w:kern w:val="0"/>
          <w:sz w:val="24"/>
          <w:szCs w:val="24"/>
          <w:highlight w:val="none"/>
          <w:lang w:eastAsia="zh-CN"/>
        </w:rPr>
      </w:pPr>
      <w:r>
        <w:rPr>
          <w:rFonts w:hint="eastAsia" w:ascii="楷体" w:hAnsi="楷体" w:eastAsia="楷体" w:cs="楷体"/>
          <w:color w:val="auto"/>
          <w:kern w:val="0"/>
          <w:sz w:val="24"/>
          <w:szCs w:val="24"/>
          <w:highlight w:val="none"/>
        </w:rPr>
        <w:t>地址：昆明市官渡区雨龙路 1619 号</w:t>
      </w:r>
    </w:p>
    <w:p w14:paraId="6BF2C321">
      <w:pPr>
        <w:widowControl/>
        <w:shd w:val="clear" w:color="auto"/>
        <w:spacing w:line="360" w:lineRule="auto"/>
        <w:ind w:firstLine="480" w:firstLineChars="200"/>
        <w:jc w:val="left"/>
        <w:rPr>
          <w:rFonts w:hint="eastAsia" w:ascii="楷体" w:hAnsi="楷体" w:eastAsia="楷体" w:cs="楷体"/>
          <w:color w:val="auto"/>
          <w:kern w:val="0"/>
          <w:sz w:val="24"/>
          <w:szCs w:val="24"/>
          <w:highlight w:val="none"/>
          <w:lang w:val="en-US" w:eastAsia="zh-CN"/>
        </w:rPr>
      </w:pPr>
      <w:r>
        <w:rPr>
          <w:rFonts w:hint="eastAsia" w:ascii="楷体" w:hAnsi="楷体" w:eastAsia="楷体" w:cs="楷体"/>
          <w:color w:val="auto"/>
          <w:kern w:val="0"/>
          <w:sz w:val="24"/>
          <w:szCs w:val="24"/>
          <w:highlight w:val="none"/>
          <w:lang w:val="en-US" w:eastAsia="zh-CN"/>
        </w:rPr>
        <w:t>联系人：代老师、杨老师</w:t>
      </w:r>
    </w:p>
    <w:p w14:paraId="1D61964D">
      <w:pPr>
        <w:widowControl/>
        <w:shd w:val="clear" w:color="auto"/>
        <w:spacing w:line="360" w:lineRule="auto"/>
        <w:ind w:firstLine="480" w:firstLineChars="200"/>
        <w:jc w:val="left"/>
        <w:rPr>
          <w:rFonts w:hint="eastAsia" w:ascii="楷体" w:hAnsi="楷体" w:eastAsia="楷体" w:cs="楷体"/>
          <w:color w:val="auto"/>
          <w:kern w:val="0"/>
          <w:sz w:val="24"/>
          <w:szCs w:val="24"/>
          <w:highlight w:val="none"/>
          <w:lang w:val="en-US" w:eastAsia="zh-CN"/>
        </w:rPr>
      </w:pPr>
      <w:r>
        <w:rPr>
          <w:rFonts w:hint="eastAsia" w:ascii="楷体" w:hAnsi="楷体" w:eastAsia="楷体" w:cs="楷体"/>
          <w:color w:val="auto"/>
          <w:kern w:val="0"/>
          <w:sz w:val="24"/>
          <w:szCs w:val="24"/>
          <w:highlight w:val="none"/>
          <w:lang w:val="en-US" w:eastAsia="zh-CN"/>
        </w:rPr>
        <w:t>电话：0871-67275828</w:t>
      </w:r>
    </w:p>
    <w:p w14:paraId="3C32BD64">
      <w:pPr>
        <w:widowControl/>
        <w:shd w:val="clear" w:color="auto"/>
        <w:spacing w:line="360" w:lineRule="auto"/>
        <w:ind w:firstLine="480" w:firstLineChars="200"/>
        <w:jc w:val="left"/>
        <w:rPr>
          <w:rFonts w:hint="eastAsia" w:ascii="楷体" w:hAnsi="楷体" w:eastAsia="楷体" w:cs="楷体"/>
          <w:color w:val="auto"/>
          <w:kern w:val="0"/>
          <w:sz w:val="24"/>
          <w:szCs w:val="24"/>
          <w:highlight w:val="none"/>
        </w:rPr>
      </w:pPr>
      <w:r>
        <w:rPr>
          <w:rFonts w:hint="eastAsia" w:ascii="楷体" w:hAnsi="楷体" w:eastAsia="楷体" w:cs="楷体"/>
          <w:color w:val="auto"/>
          <w:kern w:val="0"/>
          <w:sz w:val="24"/>
          <w:szCs w:val="24"/>
          <w:highlight w:val="none"/>
          <w:lang w:val="en-US" w:eastAsia="zh-CN"/>
        </w:rPr>
        <w:t>7.</w:t>
      </w:r>
      <w:r>
        <w:rPr>
          <w:rFonts w:hint="eastAsia" w:ascii="楷体" w:hAnsi="楷体" w:eastAsia="楷体" w:cs="楷体"/>
          <w:color w:val="auto"/>
          <w:kern w:val="0"/>
          <w:sz w:val="24"/>
          <w:szCs w:val="24"/>
          <w:highlight w:val="none"/>
        </w:rPr>
        <w:t>2采购代理机构信息</w:t>
      </w:r>
    </w:p>
    <w:p w14:paraId="4FECAADD">
      <w:pPr>
        <w:widowControl/>
        <w:shd w:val="clear" w:color="auto"/>
        <w:spacing w:line="360" w:lineRule="auto"/>
        <w:ind w:firstLine="480" w:firstLineChars="200"/>
        <w:jc w:val="left"/>
        <w:rPr>
          <w:rFonts w:hint="eastAsia" w:ascii="楷体" w:hAnsi="楷体" w:eastAsia="楷体" w:cs="楷体"/>
          <w:color w:val="auto"/>
          <w:kern w:val="0"/>
          <w:sz w:val="24"/>
          <w:szCs w:val="24"/>
          <w:highlight w:val="none"/>
          <w:lang w:eastAsia="zh-CN"/>
        </w:rPr>
      </w:pPr>
      <w:r>
        <w:rPr>
          <w:rFonts w:hint="eastAsia" w:ascii="楷体" w:hAnsi="楷体" w:eastAsia="楷体" w:cs="楷体"/>
          <w:color w:val="auto"/>
          <w:kern w:val="0"/>
          <w:sz w:val="24"/>
          <w:szCs w:val="24"/>
          <w:highlight w:val="none"/>
        </w:rPr>
        <w:t>名称：</w:t>
      </w:r>
      <w:r>
        <w:rPr>
          <w:rFonts w:hint="eastAsia" w:ascii="楷体" w:hAnsi="楷体" w:eastAsia="楷体" w:cs="楷体"/>
          <w:color w:val="auto"/>
          <w:kern w:val="0"/>
          <w:sz w:val="24"/>
          <w:szCs w:val="24"/>
          <w:highlight w:val="none"/>
          <w:lang w:eastAsia="zh-CN"/>
        </w:rPr>
        <w:t>云南建协招标有限责任公司</w:t>
      </w:r>
    </w:p>
    <w:p w14:paraId="5F0AE3AD">
      <w:pPr>
        <w:widowControl/>
        <w:shd w:val="clear" w:color="auto"/>
        <w:spacing w:line="360" w:lineRule="auto"/>
        <w:ind w:firstLine="480" w:firstLineChars="200"/>
        <w:jc w:val="left"/>
        <w:rPr>
          <w:rFonts w:hint="eastAsia" w:ascii="楷体" w:hAnsi="楷体" w:eastAsia="楷体" w:cs="楷体"/>
          <w:color w:val="auto"/>
          <w:kern w:val="0"/>
          <w:sz w:val="24"/>
          <w:szCs w:val="24"/>
          <w:highlight w:val="none"/>
          <w:lang w:eastAsia="zh-CN"/>
        </w:rPr>
      </w:pPr>
      <w:r>
        <w:rPr>
          <w:rFonts w:hint="eastAsia" w:ascii="楷体" w:hAnsi="楷体" w:eastAsia="楷体" w:cs="楷体"/>
          <w:color w:val="auto"/>
          <w:kern w:val="0"/>
          <w:sz w:val="24"/>
          <w:szCs w:val="24"/>
          <w:highlight w:val="none"/>
        </w:rPr>
        <w:t>地址：</w:t>
      </w:r>
      <w:r>
        <w:rPr>
          <w:rFonts w:hint="eastAsia" w:ascii="楷体" w:hAnsi="楷体" w:eastAsia="楷体" w:cs="楷体"/>
          <w:color w:val="auto"/>
          <w:kern w:val="0"/>
          <w:sz w:val="24"/>
          <w:szCs w:val="24"/>
          <w:highlight w:val="none"/>
          <w:lang w:eastAsia="zh-CN"/>
        </w:rPr>
        <w:t>昆明市官渡区星耀路滇池星晨15-6号</w:t>
      </w:r>
    </w:p>
    <w:p w14:paraId="11A4C6CA">
      <w:pPr>
        <w:widowControl/>
        <w:shd w:val="clear" w:color="auto"/>
        <w:spacing w:line="360" w:lineRule="auto"/>
        <w:ind w:firstLine="480" w:firstLineChars="200"/>
        <w:jc w:val="left"/>
        <w:rPr>
          <w:rFonts w:hint="eastAsia" w:ascii="楷体" w:hAnsi="楷体" w:eastAsia="楷体" w:cs="楷体"/>
          <w:color w:val="auto"/>
          <w:kern w:val="0"/>
          <w:sz w:val="24"/>
          <w:szCs w:val="24"/>
          <w:highlight w:val="none"/>
          <w:lang w:val="en-US"/>
        </w:rPr>
      </w:pPr>
      <w:r>
        <w:rPr>
          <w:rFonts w:hint="eastAsia" w:ascii="楷体" w:hAnsi="楷体" w:eastAsia="楷体" w:cs="楷体"/>
          <w:color w:val="auto"/>
          <w:kern w:val="0"/>
          <w:sz w:val="24"/>
          <w:szCs w:val="24"/>
          <w:highlight w:val="none"/>
        </w:rPr>
        <w:t>联系方式：15559738769、13529067170</w:t>
      </w:r>
    </w:p>
    <w:p w14:paraId="78C440EA">
      <w:pPr>
        <w:widowControl/>
        <w:shd w:val="clear" w:color="auto"/>
        <w:spacing w:line="360" w:lineRule="auto"/>
        <w:ind w:firstLine="480" w:firstLineChars="200"/>
        <w:jc w:val="left"/>
        <w:rPr>
          <w:rFonts w:hint="eastAsia" w:ascii="楷体" w:hAnsi="楷体" w:eastAsia="楷体" w:cs="楷体"/>
          <w:color w:val="auto"/>
          <w:kern w:val="0"/>
          <w:sz w:val="24"/>
          <w:szCs w:val="24"/>
          <w:highlight w:val="none"/>
        </w:rPr>
      </w:pPr>
      <w:r>
        <w:rPr>
          <w:rFonts w:hint="eastAsia" w:ascii="楷体" w:hAnsi="楷体" w:eastAsia="楷体" w:cs="楷体"/>
          <w:color w:val="auto"/>
          <w:kern w:val="0"/>
          <w:sz w:val="24"/>
          <w:szCs w:val="24"/>
          <w:highlight w:val="none"/>
          <w:lang w:val="en-US" w:eastAsia="zh-CN"/>
        </w:rPr>
        <w:t>7.</w:t>
      </w:r>
      <w:r>
        <w:rPr>
          <w:rFonts w:hint="eastAsia" w:ascii="楷体" w:hAnsi="楷体" w:eastAsia="楷体" w:cs="楷体"/>
          <w:color w:val="auto"/>
          <w:kern w:val="0"/>
          <w:sz w:val="24"/>
          <w:szCs w:val="24"/>
          <w:highlight w:val="none"/>
        </w:rPr>
        <w:t>3项目联系方式</w:t>
      </w:r>
    </w:p>
    <w:p w14:paraId="68779617">
      <w:pPr>
        <w:widowControl/>
        <w:shd w:val="clear" w:color="auto"/>
        <w:spacing w:line="360" w:lineRule="auto"/>
        <w:ind w:firstLine="480" w:firstLineChars="200"/>
        <w:jc w:val="left"/>
        <w:outlineLvl w:val="9"/>
        <w:rPr>
          <w:rFonts w:hint="eastAsia" w:ascii="楷体" w:hAnsi="楷体" w:eastAsia="楷体" w:cs="楷体"/>
          <w:color w:val="auto"/>
          <w:kern w:val="0"/>
          <w:sz w:val="24"/>
          <w:szCs w:val="24"/>
          <w:highlight w:val="none"/>
          <w:lang w:val="en-US" w:eastAsia="zh-CN"/>
        </w:rPr>
      </w:pPr>
      <w:r>
        <w:rPr>
          <w:rFonts w:hint="eastAsia" w:ascii="楷体" w:hAnsi="楷体" w:eastAsia="楷体" w:cs="楷体"/>
          <w:color w:val="auto"/>
          <w:kern w:val="0"/>
          <w:sz w:val="24"/>
          <w:szCs w:val="24"/>
          <w:highlight w:val="none"/>
          <w:lang w:val="en-US" w:eastAsia="zh-CN"/>
        </w:rPr>
        <w:t>项目联系人：任国俊、毕朝银</w:t>
      </w:r>
    </w:p>
    <w:p w14:paraId="07A9C4E4">
      <w:pPr>
        <w:widowControl/>
        <w:shd w:val="clear" w:color="auto"/>
        <w:spacing w:line="360" w:lineRule="auto"/>
        <w:ind w:firstLine="480" w:firstLineChars="200"/>
        <w:jc w:val="left"/>
        <w:outlineLvl w:val="9"/>
        <w:rPr>
          <w:rFonts w:hint="eastAsia" w:ascii="楷体" w:hAnsi="楷体" w:eastAsia="楷体" w:cs="楷体"/>
          <w:color w:val="auto"/>
          <w:kern w:val="0"/>
          <w:sz w:val="24"/>
          <w:szCs w:val="24"/>
          <w:highlight w:val="none"/>
          <w:lang w:val="en-US" w:eastAsia="zh-CN"/>
        </w:rPr>
      </w:pPr>
      <w:r>
        <w:rPr>
          <w:rFonts w:hint="eastAsia" w:ascii="楷体" w:hAnsi="楷体" w:eastAsia="楷体" w:cs="楷体"/>
          <w:color w:val="auto"/>
          <w:kern w:val="0"/>
          <w:sz w:val="24"/>
          <w:szCs w:val="24"/>
          <w:highlight w:val="none"/>
          <w:lang w:val="en-US" w:eastAsia="zh-CN"/>
        </w:rPr>
        <w:t>电　话：15559738769、13529067170</w:t>
      </w:r>
    </w:p>
    <w:p w14:paraId="661F37A3">
      <w:pPr>
        <w:widowControl/>
        <w:shd w:val="clear"/>
        <w:spacing w:line="360" w:lineRule="auto"/>
        <w:ind w:firstLine="600" w:firstLineChars="250"/>
        <w:jc w:val="left"/>
        <w:rPr>
          <w:rFonts w:hint="eastAsia" w:ascii="楷体" w:hAnsi="楷体" w:eastAsia="楷体" w:cs="楷体"/>
          <w:color w:val="auto"/>
          <w:kern w:val="0"/>
          <w:sz w:val="24"/>
          <w:highlight w:val="none"/>
          <w:lang w:eastAsia="zh-CN"/>
        </w:rPr>
      </w:pPr>
    </w:p>
    <w:p w14:paraId="2963BBAE">
      <w:pPr>
        <w:numPr>
          <w:ilvl w:val="0"/>
          <w:numId w:val="0"/>
        </w:numPr>
        <w:shd w:val="clear"/>
        <w:tabs>
          <w:tab w:val="left" w:pos="360"/>
        </w:tabs>
        <w:spacing w:before="0" w:line="360" w:lineRule="auto"/>
        <w:jc w:val="center"/>
        <w:outlineLvl w:val="9"/>
        <w:rPr>
          <w:rFonts w:hint="eastAsia" w:ascii="楷体" w:hAnsi="楷体" w:eastAsia="楷体" w:cs="楷体"/>
          <w:b w:val="0"/>
          <w:color w:val="auto"/>
          <w:sz w:val="36"/>
          <w:highlight w:val="none"/>
        </w:rPr>
      </w:pPr>
    </w:p>
    <w:p w14:paraId="2C04CC0E">
      <w:pPr>
        <w:rPr>
          <w:rFonts w:hint="eastAsia" w:ascii="楷体" w:hAnsi="楷体" w:eastAsia="楷体" w:cs="楷体"/>
          <w:color w:val="auto"/>
          <w:sz w:val="36"/>
          <w:highlight w:val="none"/>
        </w:rPr>
      </w:pPr>
      <w:bookmarkStart w:id="17" w:name="_Toc22693"/>
      <w:bookmarkStart w:id="18" w:name="_Toc20304"/>
      <w:bookmarkStart w:id="19" w:name="_Toc23821"/>
      <w:r>
        <w:rPr>
          <w:rFonts w:hint="eastAsia" w:ascii="楷体" w:hAnsi="楷体" w:eastAsia="楷体" w:cs="楷体"/>
          <w:color w:val="auto"/>
          <w:sz w:val="36"/>
          <w:highlight w:val="none"/>
        </w:rPr>
        <w:br w:type="page"/>
      </w:r>
    </w:p>
    <w:p w14:paraId="12BA0741">
      <w:pPr>
        <w:pStyle w:val="4"/>
        <w:numPr>
          <w:ilvl w:val="0"/>
          <w:numId w:val="0"/>
        </w:numPr>
        <w:shd w:val="clear"/>
        <w:spacing w:before="0" w:line="360" w:lineRule="auto"/>
        <w:jc w:val="center"/>
        <w:rPr>
          <w:rFonts w:hint="eastAsia" w:ascii="楷体" w:hAnsi="楷体" w:eastAsia="楷体" w:cs="楷体"/>
          <w:bCs/>
          <w:color w:val="auto"/>
          <w:sz w:val="36"/>
          <w:szCs w:val="36"/>
          <w:highlight w:val="none"/>
        </w:rPr>
      </w:pPr>
      <w:bookmarkStart w:id="20" w:name="_Toc32204"/>
      <w:r>
        <w:rPr>
          <w:rFonts w:hint="eastAsia" w:ascii="楷体" w:hAnsi="楷体" w:eastAsia="楷体" w:cs="楷体"/>
          <w:color w:val="auto"/>
          <w:sz w:val="36"/>
          <w:highlight w:val="none"/>
        </w:rPr>
        <w:t>第二章 供应商须知</w:t>
      </w:r>
      <w:bookmarkEnd w:id="17"/>
      <w:bookmarkEnd w:id="18"/>
      <w:bookmarkEnd w:id="19"/>
      <w:bookmarkEnd w:id="20"/>
    </w:p>
    <w:p w14:paraId="626D3466">
      <w:pPr>
        <w:pStyle w:val="5"/>
        <w:numPr>
          <w:ilvl w:val="1"/>
          <w:numId w:val="0"/>
        </w:numPr>
        <w:shd w:val="clear"/>
        <w:spacing w:before="0" w:after="120" w:afterLines="50"/>
        <w:jc w:val="center"/>
        <w:rPr>
          <w:rFonts w:hint="eastAsia" w:ascii="楷体" w:hAnsi="楷体" w:eastAsia="楷体" w:cs="楷体"/>
          <w:b w:val="0"/>
          <w:color w:val="auto"/>
          <w:sz w:val="32"/>
          <w:szCs w:val="32"/>
          <w:highlight w:val="none"/>
        </w:rPr>
      </w:pPr>
      <w:bookmarkStart w:id="21" w:name="_Toc509407319"/>
      <w:bookmarkStart w:id="22" w:name="_Toc22813244"/>
      <w:bookmarkStart w:id="23" w:name="_Toc16363"/>
      <w:bookmarkStart w:id="24" w:name="_Toc32253"/>
      <w:bookmarkStart w:id="25" w:name="_Toc7626"/>
      <w:bookmarkStart w:id="26" w:name="_Toc19053"/>
      <w:bookmarkStart w:id="27" w:name="_Toc373252445"/>
      <w:r>
        <w:rPr>
          <w:rFonts w:hint="eastAsia" w:ascii="楷体" w:hAnsi="楷体" w:eastAsia="楷体" w:cs="楷体"/>
          <w:b w:val="0"/>
          <w:color w:val="auto"/>
          <w:sz w:val="32"/>
          <w:szCs w:val="32"/>
          <w:highlight w:val="none"/>
        </w:rPr>
        <w:t>供应商须知前附表</w:t>
      </w:r>
      <w:bookmarkEnd w:id="21"/>
      <w:bookmarkEnd w:id="22"/>
      <w:bookmarkEnd w:id="23"/>
      <w:bookmarkEnd w:id="24"/>
      <w:bookmarkEnd w:id="25"/>
      <w:bookmarkEnd w:id="26"/>
      <w:bookmarkEnd w:id="27"/>
    </w:p>
    <w:tbl>
      <w:tblPr>
        <w:tblStyle w:val="19"/>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2268"/>
        <w:gridCol w:w="5731"/>
      </w:tblGrid>
      <w:tr w14:paraId="299FF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Align w:val="center"/>
          </w:tcPr>
          <w:p w14:paraId="66D0922F">
            <w:pPr>
              <w:pStyle w:val="11"/>
              <w:shd w:val="clear"/>
              <w:jc w:val="center"/>
              <w:rPr>
                <w:rFonts w:hint="eastAsia" w:ascii="楷体" w:hAnsi="楷体" w:eastAsia="楷体" w:cs="楷体"/>
                <w:b/>
                <w:color w:val="auto"/>
                <w:kern w:val="2"/>
                <w:sz w:val="24"/>
                <w:szCs w:val="24"/>
                <w:highlight w:val="none"/>
              </w:rPr>
            </w:pPr>
            <w:r>
              <w:rPr>
                <w:rFonts w:hint="eastAsia" w:ascii="楷体" w:hAnsi="楷体" w:eastAsia="楷体" w:cs="楷体"/>
                <w:b/>
                <w:color w:val="auto"/>
                <w:kern w:val="2"/>
                <w:sz w:val="24"/>
                <w:szCs w:val="24"/>
                <w:highlight w:val="none"/>
              </w:rPr>
              <w:t>条款号</w:t>
            </w:r>
          </w:p>
        </w:tc>
        <w:tc>
          <w:tcPr>
            <w:tcW w:w="2268" w:type="dxa"/>
            <w:vAlign w:val="center"/>
          </w:tcPr>
          <w:p w14:paraId="071F4919">
            <w:pPr>
              <w:pStyle w:val="11"/>
              <w:shd w:val="clear"/>
              <w:jc w:val="center"/>
              <w:rPr>
                <w:rFonts w:hint="eastAsia" w:ascii="楷体" w:hAnsi="楷体" w:eastAsia="楷体" w:cs="楷体"/>
                <w:b/>
                <w:color w:val="auto"/>
                <w:kern w:val="2"/>
                <w:sz w:val="24"/>
                <w:szCs w:val="24"/>
                <w:highlight w:val="none"/>
              </w:rPr>
            </w:pPr>
            <w:r>
              <w:rPr>
                <w:rFonts w:hint="eastAsia" w:ascii="楷体" w:hAnsi="楷体" w:eastAsia="楷体" w:cs="楷体"/>
                <w:b/>
                <w:color w:val="auto"/>
                <w:kern w:val="2"/>
                <w:sz w:val="24"/>
                <w:szCs w:val="24"/>
                <w:highlight w:val="none"/>
              </w:rPr>
              <w:t>条 款 名 称</w:t>
            </w:r>
          </w:p>
        </w:tc>
        <w:tc>
          <w:tcPr>
            <w:tcW w:w="5731" w:type="dxa"/>
            <w:vAlign w:val="center"/>
          </w:tcPr>
          <w:p w14:paraId="1BF67BB3">
            <w:pPr>
              <w:pStyle w:val="11"/>
              <w:shd w:val="clear"/>
              <w:jc w:val="center"/>
              <w:rPr>
                <w:rFonts w:hint="eastAsia" w:ascii="楷体" w:hAnsi="楷体" w:eastAsia="楷体" w:cs="楷体"/>
                <w:b/>
                <w:color w:val="auto"/>
                <w:kern w:val="2"/>
                <w:sz w:val="24"/>
                <w:szCs w:val="24"/>
                <w:highlight w:val="none"/>
              </w:rPr>
            </w:pPr>
            <w:r>
              <w:rPr>
                <w:rFonts w:hint="eastAsia" w:ascii="楷体" w:hAnsi="楷体" w:eastAsia="楷体" w:cs="楷体"/>
                <w:b/>
                <w:color w:val="auto"/>
                <w:kern w:val="2"/>
                <w:sz w:val="24"/>
                <w:szCs w:val="24"/>
                <w:highlight w:val="none"/>
              </w:rPr>
              <w:t>编 列 内 容</w:t>
            </w:r>
          </w:p>
        </w:tc>
      </w:tr>
      <w:tr w14:paraId="480EC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Merge w:val="restart"/>
            <w:vAlign w:val="center"/>
          </w:tcPr>
          <w:p w14:paraId="2EF1818F">
            <w:pPr>
              <w:pStyle w:val="11"/>
              <w:shd w:val="clear"/>
              <w:jc w:val="cente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1</w:t>
            </w:r>
          </w:p>
        </w:tc>
        <w:tc>
          <w:tcPr>
            <w:tcW w:w="2268" w:type="dxa"/>
            <w:vAlign w:val="center"/>
          </w:tcPr>
          <w:p w14:paraId="13C17CC4">
            <w:pPr>
              <w:pStyle w:val="11"/>
              <w:shd w:val="clear"/>
              <w:rPr>
                <w:rFonts w:hint="eastAsia" w:ascii="楷体" w:hAnsi="楷体" w:eastAsia="楷体" w:cs="楷体"/>
                <w:color w:val="auto"/>
                <w:kern w:val="2"/>
                <w:sz w:val="24"/>
                <w:szCs w:val="24"/>
                <w:highlight w:val="none"/>
                <w:u w:val="single"/>
              </w:rPr>
            </w:pPr>
            <w:r>
              <w:rPr>
                <w:rFonts w:hint="eastAsia" w:ascii="楷体" w:hAnsi="楷体" w:eastAsia="楷体" w:cs="楷体"/>
                <w:bCs/>
                <w:color w:val="auto"/>
                <w:kern w:val="2"/>
                <w:sz w:val="24"/>
                <w:szCs w:val="24"/>
                <w:highlight w:val="none"/>
              </w:rPr>
              <w:t>采购人</w:t>
            </w:r>
            <w:r>
              <w:rPr>
                <w:rFonts w:hint="eastAsia" w:ascii="楷体" w:hAnsi="楷体" w:eastAsia="楷体" w:cs="楷体"/>
                <w:color w:val="auto"/>
                <w:kern w:val="48"/>
                <w:sz w:val="24"/>
                <w:szCs w:val="24"/>
                <w:highlight w:val="none"/>
              </w:rPr>
              <w:t xml:space="preserve"> </w:t>
            </w:r>
          </w:p>
        </w:tc>
        <w:tc>
          <w:tcPr>
            <w:tcW w:w="5731" w:type="dxa"/>
            <w:vAlign w:val="center"/>
          </w:tcPr>
          <w:p w14:paraId="2E335DDA">
            <w:pPr>
              <w:pStyle w:val="11"/>
              <w:shd w:val="clear"/>
              <w:rPr>
                <w:rFonts w:hint="eastAsia" w:ascii="楷体" w:hAnsi="楷体" w:eastAsia="楷体" w:cs="楷体"/>
                <w:bCs/>
                <w:color w:val="auto"/>
                <w:kern w:val="2"/>
                <w:sz w:val="24"/>
                <w:szCs w:val="24"/>
                <w:highlight w:val="none"/>
              </w:rPr>
            </w:pPr>
            <w:r>
              <w:rPr>
                <w:rFonts w:hint="eastAsia" w:ascii="楷体" w:hAnsi="楷体" w:eastAsia="楷体" w:cs="楷体"/>
                <w:bCs/>
                <w:color w:val="auto"/>
                <w:kern w:val="2"/>
                <w:sz w:val="24"/>
                <w:szCs w:val="24"/>
                <w:highlight w:val="none"/>
              </w:rPr>
              <w:t>名称：昆明市官渡区人民法院</w:t>
            </w:r>
          </w:p>
          <w:p w14:paraId="241AEF38">
            <w:pPr>
              <w:pStyle w:val="11"/>
              <w:shd w:val="clear"/>
              <w:rPr>
                <w:rFonts w:hint="eastAsia" w:ascii="楷体" w:hAnsi="楷体" w:eastAsia="楷体" w:cs="楷体"/>
                <w:bCs/>
                <w:color w:val="auto"/>
                <w:kern w:val="2"/>
                <w:sz w:val="24"/>
                <w:szCs w:val="24"/>
                <w:highlight w:val="none"/>
              </w:rPr>
            </w:pPr>
            <w:r>
              <w:rPr>
                <w:rFonts w:hint="eastAsia" w:ascii="楷体" w:hAnsi="楷体" w:eastAsia="楷体" w:cs="楷体"/>
                <w:bCs/>
                <w:color w:val="auto"/>
                <w:kern w:val="2"/>
                <w:sz w:val="24"/>
                <w:szCs w:val="24"/>
                <w:highlight w:val="none"/>
              </w:rPr>
              <w:t>地址：昆明市官渡区雨龙路 1619 号</w:t>
            </w:r>
          </w:p>
          <w:p w14:paraId="61AA196B">
            <w:pPr>
              <w:pStyle w:val="11"/>
              <w:shd w:val="clear"/>
              <w:rPr>
                <w:rFonts w:hint="eastAsia" w:ascii="楷体" w:hAnsi="楷体" w:eastAsia="楷体" w:cs="楷体"/>
                <w:bCs/>
                <w:color w:val="auto"/>
                <w:kern w:val="2"/>
                <w:sz w:val="24"/>
                <w:szCs w:val="24"/>
                <w:highlight w:val="none"/>
              </w:rPr>
            </w:pPr>
            <w:r>
              <w:rPr>
                <w:rFonts w:hint="eastAsia" w:ascii="楷体" w:hAnsi="楷体" w:eastAsia="楷体" w:cs="楷体"/>
                <w:bCs/>
                <w:color w:val="auto"/>
                <w:kern w:val="2"/>
                <w:sz w:val="24"/>
                <w:szCs w:val="24"/>
                <w:highlight w:val="none"/>
              </w:rPr>
              <w:t>联系人：代老师、杨老师</w:t>
            </w:r>
          </w:p>
          <w:p w14:paraId="4BC616C6">
            <w:pPr>
              <w:pStyle w:val="11"/>
              <w:shd w:val="clear"/>
              <w:rPr>
                <w:rFonts w:hint="eastAsia" w:ascii="楷体" w:hAnsi="楷体" w:eastAsia="楷体" w:cs="楷体"/>
                <w:bCs/>
                <w:color w:val="auto"/>
                <w:kern w:val="2"/>
                <w:sz w:val="24"/>
                <w:szCs w:val="24"/>
                <w:highlight w:val="none"/>
              </w:rPr>
            </w:pPr>
            <w:r>
              <w:rPr>
                <w:rFonts w:hint="eastAsia" w:ascii="楷体" w:hAnsi="楷体" w:eastAsia="楷体" w:cs="楷体"/>
                <w:bCs/>
                <w:color w:val="auto"/>
                <w:kern w:val="2"/>
                <w:sz w:val="24"/>
                <w:szCs w:val="24"/>
                <w:highlight w:val="none"/>
              </w:rPr>
              <w:t xml:space="preserve">电话：0871-67275828  </w:t>
            </w:r>
          </w:p>
        </w:tc>
      </w:tr>
      <w:tr w14:paraId="11206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Merge w:val="continue"/>
            <w:vAlign w:val="center"/>
          </w:tcPr>
          <w:p w14:paraId="57331AA3">
            <w:pPr>
              <w:shd w:val="clear"/>
              <w:rPr>
                <w:rFonts w:hint="eastAsia" w:ascii="楷体" w:hAnsi="楷体" w:eastAsia="楷体" w:cs="楷体"/>
                <w:color w:val="auto"/>
                <w:sz w:val="24"/>
                <w:highlight w:val="none"/>
              </w:rPr>
            </w:pPr>
          </w:p>
        </w:tc>
        <w:tc>
          <w:tcPr>
            <w:tcW w:w="2268" w:type="dxa"/>
            <w:vAlign w:val="center"/>
          </w:tcPr>
          <w:p w14:paraId="5847CCA6">
            <w:pPr>
              <w:pStyle w:val="11"/>
              <w:shd w:val="clear"/>
              <w:rPr>
                <w:rFonts w:hint="eastAsia" w:ascii="楷体" w:hAnsi="楷体" w:eastAsia="楷体" w:cs="楷体"/>
                <w:bCs/>
                <w:color w:val="auto"/>
                <w:kern w:val="2"/>
                <w:sz w:val="24"/>
                <w:szCs w:val="24"/>
                <w:highlight w:val="none"/>
              </w:rPr>
            </w:pPr>
            <w:r>
              <w:rPr>
                <w:rFonts w:hint="eastAsia" w:ascii="楷体" w:hAnsi="楷体" w:eastAsia="楷体" w:cs="楷体"/>
                <w:bCs/>
                <w:color w:val="auto"/>
                <w:kern w:val="2"/>
                <w:sz w:val="24"/>
                <w:szCs w:val="24"/>
                <w:highlight w:val="none"/>
              </w:rPr>
              <w:t>采购代理机构</w:t>
            </w:r>
          </w:p>
        </w:tc>
        <w:tc>
          <w:tcPr>
            <w:tcW w:w="5731" w:type="dxa"/>
            <w:vAlign w:val="center"/>
          </w:tcPr>
          <w:p w14:paraId="702D7E7A">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采购代理机构：云南建协招标有限责任公司</w:t>
            </w:r>
          </w:p>
          <w:p w14:paraId="15658B63">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地址：昆明市官渡区星耀路滇池星晨15-6号</w:t>
            </w:r>
          </w:p>
          <w:p w14:paraId="407558FB">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联系人：任国俊、毕朝银</w:t>
            </w:r>
          </w:p>
          <w:p w14:paraId="688B2B6B">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电　话：15559738769、13529067170</w:t>
            </w:r>
          </w:p>
        </w:tc>
      </w:tr>
      <w:tr w14:paraId="321CE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Merge w:val="continue"/>
            <w:vAlign w:val="center"/>
          </w:tcPr>
          <w:p w14:paraId="3A0BA54E">
            <w:pPr>
              <w:shd w:val="clear"/>
              <w:rPr>
                <w:rFonts w:hint="eastAsia" w:ascii="楷体" w:hAnsi="楷体" w:eastAsia="楷体" w:cs="楷体"/>
                <w:color w:val="auto"/>
                <w:sz w:val="24"/>
                <w:highlight w:val="none"/>
              </w:rPr>
            </w:pPr>
          </w:p>
        </w:tc>
        <w:tc>
          <w:tcPr>
            <w:tcW w:w="2268" w:type="dxa"/>
            <w:vAlign w:val="center"/>
          </w:tcPr>
          <w:p w14:paraId="52844BB1">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项目名称及项目编号</w:t>
            </w:r>
          </w:p>
        </w:tc>
        <w:tc>
          <w:tcPr>
            <w:tcW w:w="5731" w:type="dxa"/>
            <w:vAlign w:val="center"/>
          </w:tcPr>
          <w:p w14:paraId="4C5CCB48">
            <w:pPr>
              <w:pStyle w:val="11"/>
              <w:shd w:val="clear"/>
              <w:rPr>
                <w:rFonts w:hint="eastAsia" w:ascii="楷体" w:hAnsi="楷体" w:eastAsia="楷体" w:cs="楷体"/>
                <w:b/>
                <w:color w:val="auto"/>
                <w:kern w:val="2"/>
                <w:sz w:val="24"/>
                <w:szCs w:val="24"/>
                <w:highlight w:val="none"/>
                <w:u w:val="single"/>
                <w:lang w:eastAsia="zh-CN"/>
              </w:rPr>
            </w:pPr>
            <w:r>
              <w:rPr>
                <w:rFonts w:hint="eastAsia" w:ascii="楷体" w:hAnsi="楷体" w:eastAsia="楷体" w:cs="楷体"/>
                <w:color w:val="auto"/>
                <w:kern w:val="2"/>
                <w:sz w:val="24"/>
                <w:szCs w:val="24"/>
                <w:highlight w:val="none"/>
              </w:rPr>
              <w:t>项目名称：</w:t>
            </w:r>
            <w:r>
              <w:rPr>
                <w:rFonts w:hint="eastAsia" w:ascii="楷体" w:hAnsi="楷体" w:eastAsia="楷体" w:cs="楷体"/>
                <w:color w:val="auto"/>
                <w:kern w:val="2"/>
                <w:sz w:val="24"/>
                <w:szCs w:val="24"/>
                <w:highlight w:val="none"/>
                <w:lang w:eastAsia="zh-CN"/>
              </w:rPr>
              <w:t>昆明市官渡区人民法院2024年警用耗材采购项目</w:t>
            </w:r>
          </w:p>
          <w:p w14:paraId="03A8802F">
            <w:pPr>
              <w:pStyle w:val="11"/>
              <w:shd w:val="clear"/>
              <w:rPr>
                <w:rFonts w:hint="eastAsia" w:ascii="楷体" w:hAnsi="楷体" w:eastAsia="楷体" w:cs="楷体"/>
                <w:bCs/>
                <w:color w:val="auto"/>
                <w:kern w:val="2"/>
                <w:sz w:val="24"/>
                <w:szCs w:val="24"/>
                <w:highlight w:val="none"/>
                <w:u w:val="single"/>
                <w:lang w:eastAsia="zh-CN"/>
              </w:rPr>
            </w:pPr>
            <w:r>
              <w:rPr>
                <w:rFonts w:hint="eastAsia" w:ascii="楷体" w:hAnsi="楷体" w:eastAsia="楷体" w:cs="楷体"/>
                <w:color w:val="auto"/>
                <w:kern w:val="2"/>
                <w:sz w:val="24"/>
                <w:szCs w:val="24"/>
                <w:highlight w:val="none"/>
              </w:rPr>
              <w:t>项目编号：</w:t>
            </w:r>
            <w:r>
              <w:rPr>
                <w:rFonts w:hint="eastAsia" w:ascii="楷体" w:hAnsi="楷体" w:eastAsia="楷体" w:cs="楷体"/>
                <w:color w:val="auto"/>
                <w:kern w:val="2"/>
                <w:sz w:val="24"/>
                <w:szCs w:val="24"/>
                <w:highlight w:val="none"/>
                <w:lang w:eastAsia="zh-CN"/>
              </w:rPr>
              <w:t xml:space="preserve"> YNZC2024-G1-04913-YNJX-0023</w:t>
            </w:r>
          </w:p>
        </w:tc>
      </w:tr>
      <w:tr w14:paraId="6BA60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Merge w:val="continue"/>
            <w:vAlign w:val="center"/>
          </w:tcPr>
          <w:p w14:paraId="789E9774">
            <w:pPr>
              <w:shd w:val="clear"/>
              <w:rPr>
                <w:rFonts w:hint="eastAsia" w:ascii="楷体" w:hAnsi="楷体" w:eastAsia="楷体" w:cs="楷体"/>
                <w:color w:val="auto"/>
                <w:sz w:val="24"/>
                <w:highlight w:val="none"/>
              </w:rPr>
            </w:pPr>
          </w:p>
        </w:tc>
        <w:tc>
          <w:tcPr>
            <w:tcW w:w="2268" w:type="dxa"/>
            <w:vAlign w:val="center"/>
          </w:tcPr>
          <w:p w14:paraId="217EE186">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采购预算</w:t>
            </w:r>
          </w:p>
        </w:tc>
        <w:tc>
          <w:tcPr>
            <w:tcW w:w="5731" w:type="dxa"/>
            <w:vAlign w:val="center"/>
          </w:tcPr>
          <w:p w14:paraId="0F1B0559">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sz w:val="24"/>
                <w:highlight w:val="none"/>
                <w:u w:val="none"/>
                <w:lang w:val="en-US" w:eastAsia="zh-CN"/>
              </w:rPr>
              <w:t>7.215</w:t>
            </w:r>
            <w:r>
              <w:rPr>
                <w:rFonts w:hint="eastAsia" w:ascii="楷体" w:hAnsi="楷体" w:eastAsia="楷体" w:cs="楷体"/>
                <w:color w:val="auto"/>
                <w:kern w:val="2"/>
                <w:sz w:val="24"/>
                <w:szCs w:val="24"/>
                <w:highlight w:val="none"/>
                <w:lang w:val="en-US" w:eastAsia="zh-CN"/>
              </w:rPr>
              <w:t>万</w:t>
            </w:r>
            <w:r>
              <w:rPr>
                <w:rFonts w:hint="eastAsia" w:ascii="楷体" w:hAnsi="楷体" w:eastAsia="楷体" w:cs="楷体"/>
                <w:color w:val="auto"/>
                <w:kern w:val="2"/>
                <w:sz w:val="24"/>
                <w:szCs w:val="24"/>
                <w:highlight w:val="none"/>
              </w:rPr>
              <w:t>元</w:t>
            </w:r>
          </w:p>
        </w:tc>
      </w:tr>
      <w:tr w14:paraId="38362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Align w:val="center"/>
          </w:tcPr>
          <w:p w14:paraId="24AB4143">
            <w:pPr>
              <w:pStyle w:val="11"/>
              <w:shd w:val="clear"/>
              <w:jc w:val="cente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3.1</w:t>
            </w:r>
          </w:p>
        </w:tc>
        <w:tc>
          <w:tcPr>
            <w:tcW w:w="2268" w:type="dxa"/>
            <w:vAlign w:val="center"/>
          </w:tcPr>
          <w:p w14:paraId="21DECA7E">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采购范围</w:t>
            </w:r>
          </w:p>
        </w:tc>
        <w:tc>
          <w:tcPr>
            <w:tcW w:w="5731" w:type="dxa"/>
            <w:vAlign w:val="center"/>
          </w:tcPr>
          <w:p w14:paraId="3B71A1A1">
            <w:pPr>
              <w:pStyle w:val="11"/>
              <w:shd w:val="clear"/>
              <w:jc w:val="left"/>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详见</w:t>
            </w:r>
            <w:r>
              <w:rPr>
                <w:rFonts w:hint="eastAsia" w:ascii="楷体" w:hAnsi="楷体" w:eastAsia="楷体" w:cs="楷体"/>
                <w:color w:val="auto"/>
                <w:kern w:val="2"/>
                <w:sz w:val="24"/>
                <w:szCs w:val="24"/>
                <w:highlight w:val="none"/>
                <w:lang w:eastAsia="zh-CN"/>
              </w:rPr>
              <w:t>招标文件</w:t>
            </w:r>
            <w:r>
              <w:rPr>
                <w:rFonts w:hint="eastAsia" w:ascii="楷体" w:hAnsi="楷体" w:eastAsia="楷体" w:cs="楷体"/>
                <w:color w:val="auto"/>
                <w:kern w:val="2"/>
                <w:sz w:val="24"/>
                <w:szCs w:val="24"/>
                <w:highlight w:val="none"/>
              </w:rPr>
              <w:t>“第五章”</w:t>
            </w:r>
          </w:p>
        </w:tc>
      </w:tr>
      <w:tr w14:paraId="63452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Align w:val="center"/>
          </w:tcPr>
          <w:p w14:paraId="3C5DEDF6">
            <w:pPr>
              <w:pStyle w:val="11"/>
              <w:shd w:val="clear"/>
              <w:jc w:val="cente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3.2</w:t>
            </w:r>
          </w:p>
        </w:tc>
        <w:tc>
          <w:tcPr>
            <w:tcW w:w="2268" w:type="dxa"/>
            <w:vAlign w:val="center"/>
          </w:tcPr>
          <w:p w14:paraId="1C700CB5">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交货时间</w:t>
            </w:r>
            <w:r>
              <w:rPr>
                <w:rFonts w:hint="eastAsia" w:ascii="楷体" w:hAnsi="楷体" w:eastAsia="楷体" w:cs="楷体"/>
                <w:color w:val="auto"/>
                <w:kern w:val="2"/>
                <w:sz w:val="24"/>
                <w:szCs w:val="24"/>
                <w:highlight w:val="none"/>
              </w:rPr>
              <w:t>及</w:t>
            </w:r>
            <w:r>
              <w:rPr>
                <w:rFonts w:hint="eastAsia" w:ascii="楷体" w:hAnsi="楷体" w:eastAsia="楷体" w:cs="楷体"/>
                <w:color w:val="auto"/>
                <w:kern w:val="2"/>
                <w:sz w:val="24"/>
                <w:szCs w:val="24"/>
                <w:highlight w:val="none"/>
                <w:lang w:eastAsia="zh-CN"/>
              </w:rPr>
              <w:t>交货</w:t>
            </w:r>
            <w:r>
              <w:rPr>
                <w:rFonts w:hint="eastAsia" w:ascii="楷体" w:hAnsi="楷体" w:eastAsia="楷体" w:cs="楷体"/>
                <w:color w:val="auto"/>
                <w:kern w:val="2"/>
                <w:sz w:val="24"/>
                <w:szCs w:val="24"/>
                <w:highlight w:val="none"/>
              </w:rPr>
              <w:t>地点</w:t>
            </w:r>
          </w:p>
        </w:tc>
        <w:tc>
          <w:tcPr>
            <w:tcW w:w="5731" w:type="dxa"/>
            <w:vAlign w:val="center"/>
          </w:tcPr>
          <w:p w14:paraId="57A2AFE8">
            <w:pPr>
              <w:pStyle w:val="11"/>
              <w:shd w:val="clear"/>
              <w:rPr>
                <w:rFonts w:hint="eastAsia" w:ascii="楷体" w:hAnsi="楷体" w:eastAsia="楷体" w:cs="楷体"/>
                <w:color w:val="auto"/>
                <w:kern w:val="2"/>
                <w:sz w:val="24"/>
                <w:szCs w:val="24"/>
                <w:highlight w:val="none"/>
                <w:lang w:eastAsia="zh-CN"/>
              </w:rPr>
            </w:pPr>
            <w:r>
              <w:rPr>
                <w:rFonts w:hint="eastAsia" w:ascii="楷体" w:hAnsi="楷体" w:eastAsia="楷体" w:cs="楷体"/>
                <w:color w:val="auto"/>
                <w:kern w:val="2"/>
                <w:sz w:val="24"/>
                <w:szCs w:val="24"/>
                <w:highlight w:val="none"/>
                <w:lang w:val="en-US" w:eastAsia="zh-CN"/>
              </w:rPr>
              <w:t>交货时间</w:t>
            </w:r>
            <w:r>
              <w:rPr>
                <w:rFonts w:hint="eastAsia" w:ascii="楷体" w:hAnsi="楷体" w:eastAsia="楷体" w:cs="楷体"/>
                <w:color w:val="auto"/>
                <w:kern w:val="2"/>
                <w:sz w:val="24"/>
                <w:szCs w:val="24"/>
                <w:highlight w:val="none"/>
              </w:rPr>
              <w:t>：</w:t>
            </w:r>
            <w:r>
              <w:rPr>
                <w:rFonts w:hint="eastAsia" w:ascii="楷体" w:hAnsi="楷体" w:eastAsia="楷体" w:cs="楷体"/>
                <w:color w:val="auto"/>
                <w:sz w:val="24"/>
                <w:highlight w:val="none"/>
                <w:lang w:val="en-US" w:eastAsia="zh-CN"/>
              </w:rPr>
              <w:t>合同签订后20天内完成供货</w:t>
            </w:r>
            <w:r>
              <w:rPr>
                <w:rFonts w:hint="eastAsia" w:ascii="楷体" w:hAnsi="楷体" w:eastAsia="楷体" w:cs="楷体"/>
                <w:color w:val="auto"/>
                <w:kern w:val="2"/>
                <w:sz w:val="24"/>
                <w:szCs w:val="24"/>
                <w:highlight w:val="none"/>
                <w:lang w:eastAsia="zh-CN"/>
              </w:rPr>
              <w:t>；</w:t>
            </w:r>
          </w:p>
          <w:p w14:paraId="6F48E10F">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eastAsia="zh-CN"/>
              </w:rPr>
              <w:t>交货</w:t>
            </w:r>
            <w:r>
              <w:rPr>
                <w:rFonts w:hint="eastAsia" w:ascii="楷体" w:hAnsi="楷体" w:eastAsia="楷体" w:cs="楷体"/>
                <w:color w:val="auto"/>
                <w:kern w:val="2"/>
                <w:sz w:val="24"/>
                <w:szCs w:val="24"/>
                <w:highlight w:val="none"/>
              </w:rPr>
              <w:t>地点：采购人指定地点。</w:t>
            </w:r>
          </w:p>
        </w:tc>
      </w:tr>
      <w:tr w14:paraId="022F0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Align w:val="center"/>
          </w:tcPr>
          <w:p w14:paraId="2ED5CF24">
            <w:pPr>
              <w:pStyle w:val="11"/>
              <w:shd w:val="clear"/>
              <w:jc w:val="cente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4</w:t>
            </w:r>
          </w:p>
        </w:tc>
        <w:tc>
          <w:tcPr>
            <w:tcW w:w="2268" w:type="dxa"/>
            <w:vAlign w:val="center"/>
          </w:tcPr>
          <w:p w14:paraId="0096829B">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供应商资格要求</w:t>
            </w:r>
          </w:p>
        </w:tc>
        <w:tc>
          <w:tcPr>
            <w:tcW w:w="5731" w:type="dxa"/>
            <w:vAlign w:val="center"/>
          </w:tcPr>
          <w:p w14:paraId="4594B90E">
            <w:pPr>
              <w:pStyle w:val="24"/>
              <w:shd w:val="clear"/>
              <w:spacing w:line="320" w:lineRule="exact"/>
              <w:rPr>
                <w:rFonts w:hint="eastAsia" w:ascii="楷体" w:hAnsi="楷体" w:eastAsia="楷体" w:cs="楷体"/>
                <w:color w:val="auto"/>
                <w:kern w:val="2"/>
                <w:sz w:val="22"/>
                <w:szCs w:val="22"/>
                <w:highlight w:val="none"/>
              </w:rPr>
            </w:pPr>
            <w:r>
              <w:rPr>
                <w:rFonts w:hint="eastAsia" w:ascii="楷体" w:hAnsi="楷体" w:eastAsia="楷体" w:cs="楷体"/>
                <w:color w:val="auto"/>
                <w:kern w:val="2"/>
                <w:sz w:val="22"/>
                <w:szCs w:val="22"/>
                <w:highlight w:val="none"/>
              </w:rPr>
              <w:t>1.满足《中华人民共和国政府采购法》第二十二条规定。</w:t>
            </w:r>
          </w:p>
          <w:p w14:paraId="06C9DE88">
            <w:pPr>
              <w:pStyle w:val="24"/>
              <w:shd w:val="clear"/>
              <w:spacing w:line="320" w:lineRule="exact"/>
              <w:rPr>
                <w:rFonts w:hint="eastAsia" w:ascii="楷体" w:hAnsi="楷体" w:eastAsia="楷体" w:cs="楷体"/>
                <w:color w:val="auto"/>
                <w:kern w:val="2"/>
                <w:sz w:val="22"/>
                <w:szCs w:val="22"/>
                <w:highlight w:val="none"/>
              </w:rPr>
            </w:pPr>
            <w:r>
              <w:rPr>
                <w:rFonts w:hint="eastAsia" w:ascii="楷体" w:hAnsi="楷体" w:eastAsia="楷体" w:cs="楷体"/>
                <w:color w:val="auto"/>
                <w:kern w:val="2"/>
                <w:sz w:val="22"/>
                <w:szCs w:val="22"/>
                <w:highlight w:val="none"/>
              </w:rPr>
              <w:t>1.1具有独立承担民事责任的能力，</w:t>
            </w:r>
            <w:r>
              <w:rPr>
                <w:rFonts w:hint="eastAsia" w:ascii="楷体" w:hAnsi="楷体" w:eastAsia="楷体" w:cs="楷体"/>
                <w:color w:val="auto"/>
                <w:kern w:val="0"/>
                <w:sz w:val="24"/>
                <w:szCs w:val="24"/>
                <w:highlight w:val="none"/>
              </w:rPr>
              <w:t>提供法人或者非法人组织的营业执照或其他法定凭证等证明文件</w:t>
            </w:r>
            <w:r>
              <w:rPr>
                <w:rFonts w:hint="eastAsia" w:ascii="楷体" w:hAnsi="楷体" w:eastAsia="楷体" w:cs="楷体"/>
                <w:color w:val="auto"/>
                <w:kern w:val="2"/>
                <w:sz w:val="22"/>
                <w:szCs w:val="22"/>
                <w:highlight w:val="none"/>
              </w:rPr>
              <w:t>；</w:t>
            </w:r>
          </w:p>
          <w:p w14:paraId="455DA6C6">
            <w:pPr>
              <w:pStyle w:val="24"/>
              <w:shd w:val="clear"/>
              <w:spacing w:line="320" w:lineRule="exact"/>
              <w:rPr>
                <w:rFonts w:hint="eastAsia" w:ascii="楷体" w:hAnsi="楷体" w:eastAsia="楷体" w:cs="楷体"/>
                <w:color w:val="auto"/>
                <w:kern w:val="2"/>
                <w:sz w:val="22"/>
                <w:szCs w:val="22"/>
                <w:highlight w:val="none"/>
              </w:rPr>
            </w:pPr>
            <w:r>
              <w:rPr>
                <w:rFonts w:hint="eastAsia" w:ascii="楷体" w:hAnsi="楷体" w:eastAsia="楷体" w:cs="楷体"/>
                <w:color w:val="auto"/>
                <w:kern w:val="2"/>
                <w:sz w:val="22"/>
                <w:szCs w:val="22"/>
                <w:highlight w:val="none"/>
              </w:rPr>
              <w:t>1.2具有良好的商业信誉（提供声明书）和健全的财务会计制度</w:t>
            </w:r>
            <w:r>
              <w:rPr>
                <w:rFonts w:hint="eastAsia" w:ascii="楷体" w:hAnsi="楷体" w:eastAsia="楷体" w:cs="楷体"/>
                <w:color w:val="auto"/>
                <w:kern w:val="0"/>
                <w:sz w:val="24"/>
                <w:highlight w:val="none"/>
                <w:lang w:eastAsia="zh-CN"/>
              </w:rPr>
              <w:t>：</w:t>
            </w:r>
            <w:r>
              <w:rPr>
                <w:rFonts w:hint="eastAsia" w:ascii="楷体" w:hAnsi="楷体" w:eastAsia="楷体" w:cs="楷体"/>
                <w:color w:val="auto"/>
                <w:kern w:val="0"/>
                <w:sz w:val="24"/>
                <w:szCs w:val="24"/>
                <w:highlight w:val="none"/>
              </w:rPr>
              <w:t>提供202</w:t>
            </w:r>
            <w:r>
              <w:rPr>
                <w:rFonts w:hint="eastAsia" w:ascii="楷体" w:hAnsi="楷体" w:eastAsia="楷体" w:cs="楷体"/>
                <w:color w:val="auto"/>
                <w:kern w:val="0"/>
                <w:sz w:val="24"/>
                <w:szCs w:val="24"/>
                <w:highlight w:val="none"/>
                <w:lang w:val="en-US" w:eastAsia="zh-CN"/>
              </w:rPr>
              <w:t>2</w:t>
            </w:r>
            <w:r>
              <w:rPr>
                <w:rFonts w:hint="eastAsia" w:ascii="楷体" w:hAnsi="楷体" w:eastAsia="楷体" w:cs="楷体"/>
                <w:color w:val="auto"/>
                <w:kern w:val="0"/>
                <w:sz w:val="24"/>
                <w:szCs w:val="24"/>
                <w:highlight w:val="none"/>
              </w:rPr>
              <w:t>年的财务报告及报表（复印件加盖公章），</w:t>
            </w:r>
            <w:r>
              <w:rPr>
                <w:rFonts w:hint="eastAsia" w:ascii="楷体" w:hAnsi="楷体" w:eastAsia="楷体" w:cs="楷体"/>
                <w:color w:val="auto"/>
                <w:kern w:val="0"/>
                <w:sz w:val="24"/>
                <w:szCs w:val="24"/>
                <w:highlight w:val="none"/>
                <w:lang w:eastAsia="zh-CN"/>
              </w:rPr>
              <w:t>供应商</w:t>
            </w:r>
            <w:r>
              <w:rPr>
                <w:rFonts w:hint="eastAsia" w:ascii="楷体" w:hAnsi="楷体" w:eastAsia="楷体" w:cs="楷体"/>
                <w:color w:val="auto"/>
                <w:kern w:val="0"/>
                <w:sz w:val="24"/>
                <w:szCs w:val="24"/>
                <w:highlight w:val="none"/>
              </w:rPr>
              <w:t>成立时间不足一年的，可提供自</w:t>
            </w:r>
            <w:r>
              <w:rPr>
                <w:rFonts w:hint="eastAsia" w:ascii="楷体" w:hAnsi="楷体" w:eastAsia="楷体" w:cs="楷体"/>
                <w:color w:val="auto"/>
                <w:kern w:val="0"/>
                <w:sz w:val="24"/>
                <w:szCs w:val="24"/>
                <w:highlight w:val="none"/>
                <w:lang w:eastAsia="zh-CN"/>
              </w:rPr>
              <w:t>投标文件</w:t>
            </w:r>
            <w:r>
              <w:rPr>
                <w:rFonts w:hint="eastAsia" w:ascii="楷体" w:hAnsi="楷体" w:eastAsia="楷体" w:cs="楷体"/>
                <w:color w:val="auto"/>
                <w:kern w:val="0"/>
                <w:sz w:val="24"/>
                <w:szCs w:val="24"/>
                <w:highlight w:val="none"/>
              </w:rPr>
              <w:t>提交截止时间前三个月内开户银行出具的资信证明或资金存款证明（复印件加盖公章）</w:t>
            </w:r>
            <w:r>
              <w:rPr>
                <w:rFonts w:hint="eastAsia" w:ascii="楷体" w:hAnsi="楷体" w:eastAsia="楷体" w:cs="楷体"/>
                <w:color w:val="auto"/>
                <w:kern w:val="0"/>
                <w:sz w:val="24"/>
                <w:szCs w:val="24"/>
                <w:highlight w:val="none"/>
                <w:lang w:eastAsia="zh-CN"/>
              </w:rPr>
              <w:t>，新成立的公司可提供成立至今的</w:t>
            </w:r>
            <w:r>
              <w:rPr>
                <w:rFonts w:hint="eastAsia" w:ascii="楷体" w:hAnsi="楷体" w:eastAsia="楷体" w:cs="楷体"/>
                <w:color w:val="auto"/>
                <w:kern w:val="0"/>
                <w:sz w:val="24"/>
                <w:szCs w:val="24"/>
                <w:highlight w:val="none"/>
              </w:rPr>
              <w:t>开户银行出具的资信证明或资金存款证明（复印件加盖公章）</w:t>
            </w:r>
            <w:r>
              <w:rPr>
                <w:rFonts w:hint="eastAsia" w:ascii="楷体" w:hAnsi="楷体" w:eastAsia="楷体" w:cs="楷体"/>
                <w:color w:val="auto"/>
                <w:kern w:val="0"/>
                <w:sz w:val="24"/>
                <w:szCs w:val="24"/>
                <w:highlight w:val="none"/>
                <w:lang w:eastAsia="zh-CN"/>
              </w:rPr>
              <w:t>。</w:t>
            </w:r>
          </w:p>
          <w:p w14:paraId="35A24C0A">
            <w:pPr>
              <w:pStyle w:val="24"/>
              <w:shd w:val="clear"/>
              <w:spacing w:line="320" w:lineRule="exact"/>
              <w:rPr>
                <w:rFonts w:hint="eastAsia" w:ascii="楷体" w:hAnsi="楷体" w:eastAsia="楷体" w:cs="楷体"/>
                <w:color w:val="auto"/>
                <w:kern w:val="2"/>
                <w:sz w:val="22"/>
                <w:szCs w:val="22"/>
                <w:highlight w:val="none"/>
              </w:rPr>
            </w:pPr>
            <w:r>
              <w:rPr>
                <w:rFonts w:hint="eastAsia" w:ascii="楷体" w:hAnsi="楷体" w:eastAsia="楷体" w:cs="楷体"/>
                <w:color w:val="auto"/>
                <w:kern w:val="2"/>
                <w:sz w:val="22"/>
                <w:szCs w:val="22"/>
                <w:highlight w:val="none"/>
              </w:rPr>
              <w:t>1.3具有履行合同所必需的设备和专业技术能力（提供书面声明）；</w:t>
            </w:r>
          </w:p>
          <w:p w14:paraId="292EAD70">
            <w:pPr>
              <w:pStyle w:val="24"/>
              <w:shd w:val="clear"/>
              <w:spacing w:line="320" w:lineRule="exact"/>
              <w:rPr>
                <w:rFonts w:hint="eastAsia" w:ascii="楷体" w:hAnsi="楷体" w:eastAsia="楷体" w:cs="楷体"/>
                <w:color w:val="auto"/>
                <w:kern w:val="2"/>
                <w:sz w:val="22"/>
                <w:szCs w:val="22"/>
                <w:highlight w:val="none"/>
              </w:rPr>
            </w:pPr>
            <w:r>
              <w:rPr>
                <w:rFonts w:hint="eastAsia" w:ascii="楷体" w:hAnsi="楷体" w:eastAsia="楷体" w:cs="楷体"/>
                <w:color w:val="auto"/>
                <w:kern w:val="2"/>
                <w:sz w:val="22"/>
                <w:szCs w:val="22"/>
                <w:highlight w:val="none"/>
              </w:rPr>
              <w:t>1.4有依法缴纳税收和社会保障资金的良好记录（①提供缴税所属时间在2024年1月至本项目投标文件提交截止时间前任意3个月的税务局税收通用缴款书或银行电子缴税（费）凭证或税务局出具纳税情况的相关证明，依法免税的，应提供依法免税的相关证明文件；若为新成立的公司，提供情况说明。②提供缴费所属时间在2024年1月至本项目投标文件提交截止时间前任意3个月的社会保险费缴款书或银行电子缴税（费）凭证或社保管理部门出具的有效的缴款证明，依法免缴的，应提供依法免缴的相关证明文件）。若为新成立的公司，提供情况说明。</w:t>
            </w:r>
          </w:p>
          <w:p w14:paraId="5D2F5874">
            <w:pPr>
              <w:pStyle w:val="24"/>
              <w:shd w:val="clear"/>
              <w:spacing w:line="320" w:lineRule="exact"/>
              <w:rPr>
                <w:rFonts w:hint="eastAsia" w:ascii="楷体" w:hAnsi="楷体" w:eastAsia="楷体" w:cs="楷体"/>
                <w:color w:val="auto"/>
                <w:kern w:val="2"/>
                <w:sz w:val="22"/>
                <w:szCs w:val="22"/>
                <w:highlight w:val="none"/>
              </w:rPr>
            </w:pPr>
            <w:r>
              <w:rPr>
                <w:rFonts w:hint="eastAsia" w:ascii="楷体" w:hAnsi="楷体" w:eastAsia="楷体" w:cs="楷体"/>
                <w:color w:val="auto"/>
                <w:kern w:val="2"/>
                <w:sz w:val="22"/>
                <w:szCs w:val="22"/>
                <w:highlight w:val="none"/>
                <w:lang w:val="en-US" w:eastAsia="zh-CN"/>
              </w:rPr>
              <w:t>1.5</w:t>
            </w:r>
            <w:r>
              <w:rPr>
                <w:rFonts w:hint="eastAsia" w:ascii="楷体" w:hAnsi="楷体" w:eastAsia="楷体" w:cs="楷体"/>
                <w:color w:val="auto"/>
                <w:kern w:val="2"/>
                <w:sz w:val="22"/>
                <w:szCs w:val="22"/>
                <w:highlight w:val="none"/>
              </w:rPr>
              <w:t>参加本次政府采购活动前三年内，在经营活动中没有重大违法记录（提供书面声明）；</w:t>
            </w:r>
          </w:p>
          <w:p w14:paraId="3D641A57">
            <w:pPr>
              <w:pStyle w:val="24"/>
              <w:shd w:val="clear"/>
              <w:spacing w:line="320" w:lineRule="exact"/>
              <w:rPr>
                <w:rFonts w:hint="eastAsia" w:ascii="楷体" w:hAnsi="楷体" w:eastAsia="楷体" w:cs="楷体"/>
                <w:color w:val="auto"/>
                <w:kern w:val="2"/>
                <w:sz w:val="22"/>
                <w:szCs w:val="22"/>
                <w:highlight w:val="none"/>
              </w:rPr>
            </w:pPr>
            <w:r>
              <w:rPr>
                <w:rFonts w:hint="eastAsia" w:ascii="楷体" w:hAnsi="楷体" w:eastAsia="楷体" w:cs="楷体"/>
                <w:color w:val="auto"/>
                <w:kern w:val="2"/>
                <w:sz w:val="22"/>
                <w:szCs w:val="22"/>
                <w:highlight w:val="none"/>
                <w:lang w:val="en-US" w:eastAsia="zh-CN"/>
              </w:rPr>
              <w:t>1.6</w:t>
            </w:r>
            <w:r>
              <w:rPr>
                <w:rFonts w:hint="eastAsia" w:ascii="楷体" w:hAnsi="楷体" w:eastAsia="楷体" w:cs="楷体"/>
                <w:color w:val="auto"/>
                <w:kern w:val="2"/>
                <w:sz w:val="22"/>
                <w:szCs w:val="22"/>
                <w:highlight w:val="none"/>
              </w:rPr>
              <w:t>法律、行政法规规定的其他条件（按照《财政部关于在政府采购活动中查询及使用信用记录有关问题的通知》(财库〔2016〕125号)的相关要求，采购人或采购代理机构在</w:t>
            </w:r>
            <w:r>
              <w:rPr>
                <w:rFonts w:hint="eastAsia" w:ascii="楷体" w:hAnsi="楷体" w:eastAsia="楷体" w:cs="楷体"/>
                <w:color w:val="auto"/>
                <w:kern w:val="2"/>
                <w:sz w:val="22"/>
                <w:szCs w:val="22"/>
                <w:highlight w:val="none"/>
                <w:lang w:eastAsia="zh-CN"/>
              </w:rPr>
              <w:t>投标文件</w:t>
            </w:r>
            <w:r>
              <w:rPr>
                <w:rFonts w:hint="eastAsia" w:ascii="楷体" w:hAnsi="楷体" w:eastAsia="楷体" w:cs="楷体"/>
                <w:color w:val="auto"/>
                <w:kern w:val="2"/>
                <w:sz w:val="22"/>
                <w:szCs w:val="22"/>
                <w:highlight w:val="none"/>
              </w:rPr>
              <w:t>递交截止时间后将通过“信用中国（网址：www.creditchina.gov.cn)”、“中国政府采购网（网址：www.ccgp.gov.cn）”、“国家企业信用信息公示系统（网址：http://www.gsxt.gov.cn/index.html）查询供应商信用记录，供应商如被列入“信用中国”失信被执行人（或失信惩戒人）或重大税收违法案件当事人名单的，或被列入“国家企业信用信息公示系统”严重违法失信企业名单（黑名单），或被列入“中国政府采购网”政府采购严重违法失信行为信息记录（被禁止在一定期限内参加政府采购活动，但期限届满的除外）名单的，不得参与本次政府采购活动）</w:t>
            </w:r>
            <w:r>
              <w:rPr>
                <w:rFonts w:hint="eastAsia" w:ascii="楷体" w:hAnsi="楷体" w:eastAsia="楷体" w:cs="楷体"/>
                <w:color w:val="auto"/>
                <w:kern w:val="0"/>
                <w:sz w:val="24"/>
                <w:highlight w:val="none"/>
                <w:lang w:eastAsia="zh-CN"/>
              </w:rPr>
              <w:t>，</w:t>
            </w:r>
            <w:r>
              <w:rPr>
                <w:rFonts w:hint="eastAsia" w:ascii="楷体" w:hAnsi="楷体" w:eastAsia="楷体" w:cs="楷体"/>
                <w:color w:val="auto"/>
                <w:kern w:val="0"/>
                <w:sz w:val="24"/>
                <w:highlight w:val="none"/>
                <w:lang w:val="en-US" w:eastAsia="zh-CN"/>
              </w:rPr>
              <w:t>以采购人或采购代理机构查询结果为准</w:t>
            </w:r>
            <w:r>
              <w:rPr>
                <w:rFonts w:hint="eastAsia" w:ascii="楷体" w:hAnsi="楷体" w:eastAsia="楷体" w:cs="楷体"/>
                <w:color w:val="auto"/>
                <w:kern w:val="2"/>
                <w:sz w:val="22"/>
                <w:szCs w:val="22"/>
                <w:highlight w:val="none"/>
              </w:rPr>
              <w:t>。</w:t>
            </w:r>
          </w:p>
          <w:p w14:paraId="195EBD77">
            <w:pPr>
              <w:pStyle w:val="24"/>
              <w:shd w:val="clear"/>
              <w:spacing w:line="320" w:lineRule="exact"/>
              <w:rPr>
                <w:rFonts w:hint="eastAsia" w:ascii="楷体" w:hAnsi="楷体" w:eastAsia="楷体" w:cs="楷体"/>
                <w:color w:val="auto"/>
                <w:kern w:val="2"/>
                <w:sz w:val="22"/>
                <w:szCs w:val="22"/>
                <w:highlight w:val="none"/>
              </w:rPr>
            </w:pPr>
            <w:r>
              <w:rPr>
                <w:rFonts w:hint="eastAsia" w:ascii="楷体" w:hAnsi="楷体" w:eastAsia="楷体" w:cs="楷体"/>
                <w:color w:val="auto"/>
                <w:kern w:val="2"/>
                <w:sz w:val="22"/>
                <w:szCs w:val="22"/>
                <w:highlight w:val="none"/>
              </w:rPr>
              <w:t>2.落实政府采购政策需满足的资格要求：（1）本项目非专门面向中小微企业采购；（2）本项目执行《</w:t>
            </w:r>
            <w:r>
              <w:rPr>
                <w:rFonts w:hint="eastAsia" w:ascii="楷体" w:hAnsi="楷体" w:eastAsia="楷体" w:cs="楷体"/>
                <w:color w:val="auto"/>
                <w:kern w:val="0"/>
                <w:sz w:val="24"/>
                <w:highlight w:val="none"/>
              </w:rPr>
              <w:t>关于进一步加大政府采购支持中小企业力度的通知（财库〔2022〕19号</w:t>
            </w:r>
            <w:r>
              <w:rPr>
                <w:rFonts w:hint="eastAsia" w:ascii="楷体" w:hAnsi="楷体" w:eastAsia="楷体" w:cs="楷体"/>
                <w:color w:val="auto"/>
                <w:kern w:val="0"/>
                <w:sz w:val="24"/>
                <w:highlight w:val="none"/>
                <w:lang w:eastAsia="zh-CN"/>
              </w:rPr>
              <w:t>）</w:t>
            </w:r>
            <w:r>
              <w:rPr>
                <w:rFonts w:hint="eastAsia" w:ascii="楷体" w:hAnsi="楷体" w:eastAsia="楷体" w:cs="楷体"/>
                <w:color w:val="auto"/>
                <w:kern w:val="2"/>
                <w:sz w:val="22"/>
                <w:szCs w:val="22"/>
                <w:highlight w:val="none"/>
              </w:rPr>
              <w:t>》、《三部门联合发布关于促进残疾人就业政府采购政策的通知（财库〔2017〕141号）》、《关于政府采购支持监狱企业发展有关问题的通知（财库〔2014〕68号）》，以及国家或行业现行法律、法规、规范。</w:t>
            </w:r>
            <w:r>
              <w:rPr>
                <w:rFonts w:hint="eastAsia" w:ascii="楷体" w:hAnsi="楷体" w:eastAsia="楷体" w:cs="楷体"/>
                <w:color w:val="auto"/>
                <w:kern w:val="2"/>
                <w:sz w:val="24"/>
                <w:szCs w:val="24"/>
                <w:highlight w:val="none"/>
                <w:lang w:eastAsia="zh-CN"/>
              </w:rPr>
              <w:t>供应商属于</w:t>
            </w:r>
            <w:r>
              <w:rPr>
                <w:rFonts w:hint="eastAsia" w:ascii="楷体" w:hAnsi="楷体" w:eastAsia="楷体" w:cs="楷体"/>
                <w:color w:val="auto"/>
                <w:kern w:val="2"/>
                <w:sz w:val="24"/>
                <w:szCs w:val="24"/>
                <w:highlight w:val="none"/>
                <w:lang w:val="en-US" w:eastAsia="zh-CN"/>
              </w:rPr>
              <w:t>中</w:t>
            </w:r>
            <w:r>
              <w:rPr>
                <w:rFonts w:hint="eastAsia" w:ascii="楷体" w:hAnsi="楷体" w:eastAsia="楷体" w:cs="楷体"/>
                <w:color w:val="auto"/>
                <w:kern w:val="2"/>
                <w:sz w:val="24"/>
                <w:szCs w:val="24"/>
                <w:highlight w:val="none"/>
                <w:lang w:eastAsia="zh-CN"/>
              </w:rPr>
              <w:t>小微企业并提供</w:t>
            </w:r>
            <w:r>
              <w:rPr>
                <w:rFonts w:hint="eastAsia" w:ascii="楷体" w:hAnsi="楷体" w:eastAsia="楷体" w:cs="楷体"/>
                <w:color w:val="auto"/>
                <w:kern w:val="2"/>
                <w:sz w:val="24"/>
                <w:szCs w:val="24"/>
                <w:highlight w:val="none"/>
                <w:lang w:val="en-US" w:eastAsia="zh-CN"/>
              </w:rPr>
              <w:t>声明函的</w:t>
            </w:r>
            <w:r>
              <w:rPr>
                <w:rFonts w:hint="eastAsia" w:ascii="楷体" w:hAnsi="楷体" w:eastAsia="楷体" w:cs="楷体"/>
                <w:color w:val="auto"/>
                <w:kern w:val="2"/>
                <w:sz w:val="24"/>
                <w:szCs w:val="24"/>
                <w:highlight w:val="none"/>
                <w:lang w:eastAsia="zh-CN"/>
              </w:rPr>
              <w:t>，符合国家法律法规规定，在评审时按照国家相关规定报价给予</w:t>
            </w:r>
            <w:r>
              <w:rPr>
                <w:rFonts w:hint="eastAsia" w:ascii="楷体" w:hAnsi="楷体" w:eastAsia="楷体" w:cs="楷体"/>
                <w:color w:val="auto"/>
                <w:kern w:val="2"/>
                <w:sz w:val="24"/>
                <w:szCs w:val="24"/>
                <w:highlight w:val="none"/>
                <w:lang w:val="en-US" w:eastAsia="zh-CN"/>
              </w:rPr>
              <w:t>10%</w:t>
            </w:r>
            <w:r>
              <w:rPr>
                <w:rFonts w:hint="eastAsia" w:ascii="楷体" w:hAnsi="楷体" w:eastAsia="楷体" w:cs="楷体"/>
                <w:color w:val="auto"/>
                <w:kern w:val="2"/>
                <w:sz w:val="24"/>
                <w:szCs w:val="24"/>
                <w:highlight w:val="none"/>
                <w:lang w:eastAsia="zh-CN"/>
              </w:rPr>
              <w:t>的价格折扣，</w:t>
            </w:r>
            <w:r>
              <w:rPr>
                <w:rFonts w:hint="eastAsia" w:ascii="楷体" w:hAnsi="楷体" w:eastAsia="楷体" w:cs="楷体"/>
                <w:color w:val="auto"/>
                <w:kern w:val="2"/>
                <w:sz w:val="24"/>
                <w:szCs w:val="24"/>
                <w:highlight w:val="none"/>
                <w:lang w:val="en-US" w:eastAsia="zh-CN"/>
              </w:rPr>
              <w:t>用扣除后的价格参与评审，监狱企业及残疾人福利单位视同于中小微企业，不再另行减免。</w:t>
            </w:r>
          </w:p>
          <w:p w14:paraId="60B3F2B0">
            <w:pPr>
              <w:pStyle w:val="24"/>
              <w:shd w:val="clear"/>
              <w:spacing w:line="320" w:lineRule="exact"/>
              <w:rPr>
                <w:rFonts w:hint="eastAsia" w:ascii="楷体" w:hAnsi="楷体" w:eastAsia="楷体" w:cs="楷体"/>
                <w:color w:val="auto"/>
                <w:kern w:val="2"/>
                <w:sz w:val="22"/>
                <w:szCs w:val="22"/>
                <w:highlight w:val="none"/>
                <w:lang w:val="en-US" w:eastAsia="zh-CN"/>
              </w:rPr>
            </w:pPr>
            <w:r>
              <w:rPr>
                <w:rFonts w:hint="eastAsia" w:ascii="楷体" w:hAnsi="楷体" w:eastAsia="楷体" w:cs="楷体"/>
                <w:color w:val="auto"/>
                <w:kern w:val="2"/>
                <w:sz w:val="22"/>
                <w:szCs w:val="22"/>
                <w:highlight w:val="none"/>
              </w:rPr>
              <w:t>3.本项目的特定资格要求：单位负责人为同一人或者存在直接控股、管理关系的不同供应商，不得参加同一合同项下的政府采购活动</w:t>
            </w:r>
            <w:r>
              <w:rPr>
                <w:rFonts w:hint="eastAsia" w:ascii="楷体" w:hAnsi="楷体" w:eastAsia="楷体" w:cs="楷体"/>
                <w:color w:val="auto"/>
                <w:kern w:val="2"/>
                <w:sz w:val="22"/>
                <w:szCs w:val="22"/>
                <w:highlight w:val="none"/>
                <w:lang w:val="en-US" w:eastAsia="zh-CN"/>
              </w:rPr>
              <w:t>。</w:t>
            </w:r>
          </w:p>
        </w:tc>
      </w:tr>
      <w:tr w14:paraId="3CAA6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Align w:val="center"/>
          </w:tcPr>
          <w:p w14:paraId="3C90E3FA">
            <w:pPr>
              <w:pStyle w:val="11"/>
              <w:shd w:val="clear"/>
              <w:jc w:val="cente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9</w:t>
            </w:r>
          </w:p>
        </w:tc>
        <w:tc>
          <w:tcPr>
            <w:tcW w:w="2268" w:type="dxa"/>
            <w:vAlign w:val="center"/>
          </w:tcPr>
          <w:p w14:paraId="2C9CE17E">
            <w:pPr>
              <w:shd w:val="clear"/>
              <w:autoSpaceDE w:val="0"/>
              <w:autoSpaceDN w:val="0"/>
              <w:snapToGrid w:val="0"/>
              <w:textAlignment w:val="bottom"/>
              <w:rPr>
                <w:rFonts w:hint="eastAsia" w:ascii="楷体" w:hAnsi="楷体" w:eastAsia="楷体" w:cs="楷体"/>
                <w:color w:val="auto"/>
                <w:sz w:val="24"/>
                <w:highlight w:val="none"/>
              </w:rPr>
            </w:pPr>
            <w:r>
              <w:rPr>
                <w:rFonts w:hint="eastAsia" w:ascii="楷体" w:hAnsi="楷体" w:eastAsia="楷体" w:cs="楷体"/>
                <w:color w:val="auto"/>
                <w:sz w:val="24"/>
                <w:highlight w:val="none"/>
              </w:rPr>
              <w:t>供应商要求澄清</w:t>
            </w:r>
            <w:r>
              <w:rPr>
                <w:rFonts w:hint="eastAsia" w:ascii="楷体" w:hAnsi="楷体" w:eastAsia="楷体" w:cs="楷体"/>
                <w:color w:val="auto"/>
                <w:sz w:val="24"/>
                <w:highlight w:val="none"/>
                <w:lang w:eastAsia="zh-CN"/>
              </w:rPr>
              <w:t>招标文件</w:t>
            </w:r>
            <w:r>
              <w:rPr>
                <w:rFonts w:hint="eastAsia" w:ascii="楷体" w:hAnsi="楷体" w:eastAsia="楷体" w:cs="楷体"/>
                <w:color w:val="auto"/>
                <w:sz w:val="24"/>
                <w:highlight w:val="none"/>
              </w:rPr>
              <w:t>截止时间</w:t>
            </w:r>
          </w:p>
        </w:tc>
        <w:tc>
          <w:tcPr>
            <w:tcW w:w="5731" w:type="dxa"/>
            <w:vAlign w:val="center"/>
          </w:tcPr>
          <w:p w14:paraId="29937DB4">
            <w:pPr>
              <w:pStyle w:val="11"/>
              <w:shd w:val="clear"/>
              <w:jc w:val="left"/>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提交投标文件截止时间十五日前</w:t>
            </w:r>
          </w:p>
          <w:p w14:paraId="65BDD9B9">
            <w:pPr>
              <w:pStyle w:val="11"/>
              <w:shd w:val="clear"/>
              <w:jc w:val="left"/>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形式：书面形式</w:t>
            </w:r>
          </w:p>
        </w:tc>
      </w:tr>
      <w:tr w14:paraId="590A0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Align w:val="center"/>
          </w:tcPr>
          <w:p w14:paraId="697C5923">
            <w:pPr>
              <w:pStyle w:val="11"/>
              <w:shd w:val="clear"/>
              <w:jc w:val="cente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13</w:t>
            </w:r>
          </w:p>
        </w:tc>
        <w:tc>
          <w:tcPr>
            <w:tcW w:w="2268" w:type="dxa"/>
            <w:vAlign w:val="center"/>
          </w:tcPr>
          <w:p w14:paraId="1D4FD9AA">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构成投标文件的其他资料</w:t>
            </w:r>
          </w:p>
        </w:tc>
        <w:tc>
          <w:tcPr>
            <w:tcW w:w="5731" w:type="dxa"/>
            <w:vAlign w:val="center"/>
          </w:tcPr>
          <w:p w14:paraId="36FAF5A6">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eastAsia="zh-CN"/>
              </w:rPr>
              <w:t>招标文件</w:t>
            </w:r>
            <w:r>
              <w:rPr>
                <w:rFonts w:hint="eastAsia" w:ascii="楷体" w:hAnsi="楷体" w:eastAsia="楷体" w:cs="楷体"/>
                <w:color w:val="auto"/>
                <w:kern w:val="2"/>
                <w:sz w:val="24"/>
                <w:szCs w:val="24"/>
                <w:highlight w:val="none"/>
              </w:rPr>
              <w:t>中所涉及到的相关资料及证明文件或供应商认为必须提供的其他相关资料。</w:t>
            </w:r>
          </w:p>
        </w:tc>
      </w:tr>
      <w:tr w14:paraId="01410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Align w:val="center"/>
          </w:tcPr>
          <w:p w14:paraId="111FDED8">
            <w:pPr>
              <w:pStyle w:val="11"/>
              <w:shd w:val="clear"/>
              <w:jc w:val="cente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17.1</w:t>
            </w:r>
          </w:p>
        </w:tc>
        <w:tc>
          <w:tcPr>
            <w:tcW w:w="2268" w:type="dxa"/>
            <w:vAlign w:val="center"/>
          </w:tcPr>
          <w:p w14:paraId="32C774DC">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投标文件有效期</w:t>
            </w:r>
          </w:p>
        </w:tc>
        <w:tc>
          <w:tcPr>
            <w:tcW w:w="5731" w:type="dxa"/>
            <w:vAlign w:val="center"/>
          </w:tcPr>
          <w:p w14:paraId="1FD706B7">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从提交投标文件截止之日起</w:t>
            </w:r>
            <w:r>
              <w:rPr>
                <w:rFonts w:hint="eastAsia" w:ascii="楷体" w:hAnsi="楷体" w:eastAsia="楷体" w:cs="楷体"/>
                <w:color w:val="auto"/>
                <w:kern w:val="2"/>
                <w:sz w:val="24"/>
                <w:szCs w:val="24"/>
                <w:highlight w:val="none"/>
                <w:u w:val="single"/>
              </w:rPr>
              <w:t>90</w:t>
            </w:r>
            <w:r>
              <w:rPr>
                <w:rFonts w:hint="eastAsia" w:ascii="楷体" w:hAnsi="楷体" w:eastAsia="楷体" w:cs="楷体"/>
                <w:color w:val="auto"/>
                <w:kern w:val="2"/>
                <w:sz w:val="24"/>
                <w:szCs w:val="24"/>
                <w:highlight w:val="none"/>
              </w:rPr>
              <w:t>日历天</w:t>
            </w:r>
          </w:p>
        </w:tc>
      </w:tr>
      <w:tr w14:paraId="5116B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Align w:val="center"/>
          </w:tcPr>
          <w:p w14:paraId="52DB3096">
            <w:pPr>
              <w:pStyle w:val="11"/>
              <w:shd w:val="clear"/>
              <w:jc w:val="cente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18</w:t>
            </w:r>
          </w:p>
        </w:tc>
        <w:tc>
          <w:tcPr>
            <w:tcW w:w="2268" w:type="dxa"/>
            <w:vAlign w:val="center"/>
          </w:tcPr>
          <w:p w14:paraId="1C77C73B">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投标保证金</w:t>
            </w:r>
          </w:p>
        </w:tc>
        <w:tc>
          <w:tcPr>
            <w:tcW w:w="5731" w:type="dxa"/>
            <w:vAlign w:val="center"/>
          </w:tcPr>
          <w:p w14:paraId="7575FF83">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本项目</w:t>
            </w:r>
            <w:r>
              <w:rPr>
                <w:rFonts w:hint="eastAsia" w:ascii="楷体" w:hAnsi="楷体" w:eastAsia="楷体" w:cs="楷体"/>
                <w:color w:val="auto"/>
                <w:kern w:val="2"/>
                <w:sz w:val="24"/>
                <w:szCs w:val="24"/>
                <w:highlight w:val="none"/>
                <w:lang w:val="en-US" w:eastAsia="zh-CN"/>
              </w:rPr>
              <w:t>不收取投标</w:t>
            </w:r>
            <w:r>
              <w:rPr>
                <w:rFonts w:hint="eastAsia" w:ascii="楷体" w:hAnsi="楷体" w:eastAsia="楷体" w:cs="楷体"/>
                <w:color w:val="auto"/>
                <w:kern w:val="2"/>
                <w:sz w:val="24"/>
                <w:szCs w:val="24"/>
                <w:highlight w:val="none"/>
              </w:rPr>
              <w:t>保证金。</w:t>
            </w:r>
          </w:p>
        </w:tc>
      </w:tr>
      <w:tr w14:paraId="63C58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Align w:val="center"/>
          </w:tcPr>
          <w:p w14:paraId="68E46B3E">
            <w:pPr>
              <w:pStyle w:val="11"/>
              <w:shd w:val="clear"/>
              <w:jc w:val="cente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19.1</w:t>
            </w:r>
          </w:p>
        </w:tc>
        <w:tc>
          <w:tcPr>
            <w:tcW w:w="2268" w:type="dxa"/>
            <w:vAlign w:val="center"/>
          </w:tcPr>
          <w:p w14:paraId="3FEBF62E">
            <w:pPr>
              <w:shd w:val="clear"/>
              <w:spacing w:before="40" w:after="4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投标文件递交及有关内容</w:t>
            </w:r>
          </w:p>
        </w:tc>
        <w:tc>
          <w:tcPr>
            <w:tcW w:w="5731" w:type="dxa"/>
            <w:vAlign w:val="center"/>
          </w:tcPr>
          <w:p w14:paraId="3D92A1A9">
            <w:pPr>
              <w:shd w:val="clear"/>
              <w:spacing w:before="40" w:after="4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见第一章“招标公告”</w:t>
            </w:r>
          </w:p>
        </w:tc>
      </w:tr>
      <w:tr w14:paraId="19C77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Align w:val="center"/>
          </w:tcPr>
          <w:p w14:paraId="192AE394">
            <w:pPr>
              <w:pStyle w:val="11"/>
              <w:shd w:val="clear"/>
              <w:jc w:val="cente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19.2</w:t>
            </w:r>
          </w:p>
        </w:tc>
        <w:tc>
          <w:tcPr>
            <w:tcW w:w="2268" w:type="dxa"/>
            <w:vAlign w:val="center"/>
          </w:tcPr>
          <w:p w14:paraId="767F59CC">
            <w:pPr>
              <w:shd w:val="clear"/>
              <w:spacing w:before="40" w:after="4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投标文件的密封</w:t>
            </w:r>
          </w:p>
        </w:tc>
        <w:tc>
          <w:tcPr>
            <w:tcW w:w="5731" w:type="dxa"/>
            <w:vAlign w:val="center"/>
          </w:tcPr>
          <w:p w14:paraId="7D377A39">
            <w:pPr>
              <w:shd w:val="clear"/>
              <w:spacing w:before="40" w:after="4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登录“政采云”平台（https://www.zcygov.cn），</w:t>
            </w:r>
            <w:r>
              <w:rPr>
                <w:rFonts w:hint="eastAsia" w:ascii="楷体" w:hAnsi="楷体" w:eastAsia="楷体" w:cs="楷体"/>
                <w:color w:val="auto"/>
                <w:sz w:val="24"/>
                <w:highlight w:val="none"/>
                <w:lang w:eastAsia="zh-CN"/>
              </w:rPr>
              <w:t>供应商</w:t>
            </w:r>
            <w:r>
              <w:rPr>
                <w:rFonts w:hint="eastAsia" w:ascii="楷体" w:hAnsi="楷体" w:eastAsia="楷体" w:cs="楷体"/>
                <w:color w:val="auto"/>
                <w:sz w:val="24"/>
                <w:highlight w:val="none"/>
              </w:rPr>
              <w:t>须在投标截止时间前完成投标文件的电子签章、加密及上传，投标截止时间前未完成投标文件上传的，视为撤回投标文件。</w:t>
            </w:r>
          </w:p>
        </w:tc>
      </w:tr>
      <w:tr w14:paraId="31BB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Align w:val="center"/>
          </w:tcPr>
          <w:p w14:paraId="4D242A44">
            <w:pPr>
              <w:pStyle w:val="11"/>
              <w:shd w:val="clear"/>
              <w:jc w:val="cente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20.1</w:t>
            </w:r>
          </w:p>
        </w:tc>
        <w:tc>
          <w:tcPr>
            <w:tcW w:w="2268" w:type="dxa"/>
            <w:vAlign w:val="center"/>
          </w:tcPr>
          <w:p w14:paraId="7B9BBE03">
            <w:pPr>
              <w:shd w:val="clear"/>
              <w:spacing w:before="40" w:after="4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投标文件递交截止时间（同投标截止时间）</w:t>
            </w:r>
          </w:p>
        </w:tc>
        <w:tc>
          <w:tcPr>
            <w:tcW w:w="5731" w:type="dxa"/>
            <w:vAlign w:val="center"/>
          </w:tcPr>
          <w:p w14:paraId="652C9108">
            <w:pPr>
              <w:shd w:val="clear"/>
              <w:spacing w:before="40" w:after="4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见第一章“招标公告”</w:t>
            </w:r>
          </w:p>
        </w:tc>
      </w:tr>
      <w:tr w14:paraId="7AFBB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Align w:val="center"/>
          </w:tcPr>
          <w:p w14:paraId="0F778D5F">
            <w:pPr>
              <w:pStyle w:val="11"/>
              <w:shd w:val="clear"/>
              <w:jc w:val="cente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20.2</w:t>
            </w:r>
          </w:p>
        </w:tc>
        <w:tc>
          <w:tcPr>
            <w:tcW w:w="2268" w:type="dxa"/>
            <w:vAlign w:val="center"/>
          </w:tcPr>
          <w:p w14:paraId="6251F223">
            <w:pPr>
              <w:pStyle w:val="11"/>
              <w:shd w:val="clear"/>
              <w:jc w:val="left"/>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投标文件递交地点</w:t>
            </w:r>
          </w:p>
        </w:tc>
        <w:tc>
          <w:tcPr>
            <w:tcW w:w="5731" w:type="dxa"/>
            <w:vAlign w:val="center"/>
          </w:tcPr>
          <w:p w14:paraId="5819DF7D">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见第一章“招标公告”</w:t>
            </w:r>
          </w:p>
        </w:tc>
      </w:tr>
      <w:tr w14:paraId="5A8EF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Align w:val="center"/>
          </w:tcPr>
          <w:p w14:paraId="14E487EF">
            <w:pPr>
              <w:pStyle w:val="11"/>
              <w:shd w:val="clear"/>
              <w:jc w:val="cente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20.3</w:t>
            </w:r>
          </w:p>
        </w:tc>
        <w:tc>
          <w:tcPr>
            <w:tcW w:w="2268" w:type="dxa"/>
            <w:vAlign w:val="center"/>
          </w:tcPr>
          <w:p w14:paraId="614B05D9">
            <w:pPr>
              <w:pStyle w:val="11"/>
              <w:shd w:val="clear"/>
              <w:jc w:val="left"/>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投标文件的退还</w:t>
            </w:r>
          </w:p>
        </w:tc>
        <w:tc>
          <w:tcPr>
            <w:tcW w:w="5731" w:type="dxa"/>
            <w:vAlign w:val="center"/>
          </w:tcPr>
          <w:p w14:paraId="67BBA8EF">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 xml:space="preserve">不予退还  </w:t>
            </w:r>
          </w:p>
        </w:tc>
      </w:tr>
      <w:tr w14:paraId="2C4A2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Align w:val="center"/>
          </w:tcPr>
          <w:p w14:paraId="2E871509">
            <w:pPr>
              <w:pStyle w:val="11"/>
              <w:shd w:val="clear"/>
              <w:jc w:val="center"/>
              <w:rPr>
                <w:rFonts w:hint="eastAsia" w:ascii="楷体" w:hAnsi="楷体" w:eastAsia="楷体" w:cs="楷体"/>
                <w:color w:val="auto"/>
                <w:kern w:val="2"/>
                <w:sz w:val="24"/>
                <w:szCs w:val="24"/>
                <w:highlight w:val="none"/>
                <w:lang w:val="en-US" w:eastAsia="zh-CN"/>
              </w:rPr>
            </w:pPr>
            <w:r>
              <w:rPr>
                <w:rFonts w:hint="eastAsia" w:ascii="楷体" w:hAnsi="楷体" w:eastAsia="楷体" w:cs="楷体"/>
                <w:color w:val="auto"/>
                <w:kern w:val="2"/>
                <w:sz w:val="24"/>
                <w:szCs w:val="24"/>
                <w:highlight w:val="none"/>
              </w:rPr>
              <w:t>2</w:t>
            </w:r>
            <w:r>
              <w:rPr>
                <w:rFonts w:hint="eastAsia" w:ascii="楷体" w:hAnsi="楷体" w:eastAsia="楷体" w:cs="楷体"/>
                <w:color w:val="auto"/>
                <w:kern w:val="2"/>
                <w:sz w:val="24"/>
                <w:szCs w:val="24"/>
                <w:highlight w:val="none"/>
                <w:lang w:val="en-US" w:eastAsia="zh-CN"/>
              </w:rPr>
              <w:t>1.1</w:t>
            </w:r>
          </w:p>
        </w:tc>
        <w:tc>
          <w:tcPr>
            <w:tcW w:w="2268" w:type="dxa"/>
            <w:vAlign w:val="center"/>
          </w:tcPr>
          <w:p w14:paraId="171C319C">
            <w:pPr>
              <w:pStyle w:val="11"/>
              <w:shd w:val="clear"/>
              <w:jc w:val="left"/>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开标时间和地点</w:t>
            </w:r>
          </w:p>
        </w:tc>
        <w:tc>
          <w:tcPr>
            <w:tcW w:w="5731" w:type="dxa"/>
            <w:vAlign w:val="center"/>
          </w:tcPr>
          <w:p w14:paraId="409E77FA">
            <w:pPr>
              <w:pStyle w:val="11"/>
              <w:shd w:val="clear"/>
              <w:ind w:left="0" w:leftChars="0" w:firstLine="0" w:firstLineChars="0"/>
              <w:jc w:val="left"/>
              <w:rPr>
                <w:rFonts w:hint="eastAsia" w:ascii="楷体" w:hAnsi="楷体" w:eastAsia="楷体" w:cs="楷体"/>
                <w:color w:val="auto"/>
                <w:kern w:val="2"/>
                <w:sz w:val="24"/>
                <w:szCs w:val="24"/>
                <w:highlight w:val="none"/>
                <w:u w:val="single"/>
              </w:rPr>
            </w:pPr>
            <w:r>
              <w:rPr>
                <w:rFonts w:hint="eastAsia" w:ascii="楷体" w:hAnsi="楷体" w:eastAsia="楷体" w:cs="楷体"/>
                <w:color w:val="auto"/>
                <w:kern w:val="2"/>
                <w:sz w:val="24"/>
                <w:szCs w:val="24"/>
                <w:highlight w:val="none"/>
                <w:u w:val="none"/>
              </w:rPr>
              <w:t>同提交投标文件截止时间和地点</w:t>
            </w:r>
          </w:p>
        </w:tc>
      </w:tr>
      <w:tr w14:paraId="662E3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Align w:val="center"/>
          </w:tcPr>
          <w:p w14:paraId="2A43395F">
            <w:pPr>
              <w:pStyle w:val="11"/>
              <w:shd w:val="clear"/>
              <w:jc w:val="cente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22.3</w:t>
            </w:r>
          </w:p>
        </w:tc>
        <w:tc>
          <w:tcPr>
            <w:tcW w:w="2268" w:type="dxa"/>
            <w:vAlign w:val="center"/>
          </w:tcPr>
          <w:p w14:paraId="1AE93C31">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评标方法</w:t>
            </w:r>
          </w:p>
        </w:tc>
        <w:tc>
          <w:tcPr>
            <w:tcW w:w="5731" w:type="dxa"/>
            <w:vAlign w:val="center"/>
          </w:tcPr>
          <w:p w14:paraId="5768E5DE">
            <w:pPr>
              <w:shd w:val="clear"/>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lang w:eastAsia="zh-CN"/>
              </w:rPr>
              <w:t>综合评分法</w:t>
            </w:r>
          </w:p>
        </w:tc>
      </w:tr>
      <w:tr w14:paraId="7C207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Align w:val="center"/>
          </w:tcPr>
          <w:p w14:paraId="21D5C988">
            <w:pPr>
              <w:pStyle w:val="11"/>
              <w:shd w:val="clear"/>
              <w:jc w:val="cente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27</w:t>
            </w:r>
          </w:p>
        </w:tc>
        <w:tc>
          <w:tcPr>
            <w:tcW w:w="2268" w:type="dxa"/>
            <w:vAlign w:val="center"/>
          </w:tcPr>
          <w:p w14:paraId="16E37623">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bCs/>
                <w:color w:val="auto"/>
                <w:kern w:val="2"/>
                <w:sz w:val="24"/>
                <w:szCs w:val="24"/>
                <w:highlight w:val="none"/>
              </w:rPr>
              <w:t>履约保证金</w:t>
            </w:r>
          </w:p>
        </w:tc>
        <w:tc>
          <w:tcPr>
            <w:tcW w:w="5731" w:type="dxa"/>
            <w:vAlign w:val="center"/>
          </w:tcPr>
          <w:p w14:paraId="2AAA8FE4">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合同总金额的10%。</w:t>
            </w:r>
          </w:p>
        </w:tc>
      </w:tr>
      <w:tr w14:paraId="22513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jc w:val="center"/>
        </w:trPr>
        <w:tc>
          <w:tcPr>
            <w:tcW w:w="1480" w:type="dxa"/>
            <w:vAlign w:val="center"/>
          </w:tcPr>
          <w:p w14:paraId="6FA6CA72">
            <w:pPr>
              <w:pStyle w:val="11"/>
              <w:shd w:val="clear"/>
              <w:jc w:val="cente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28</w:t>
            </w:r>
          </w:p>
        </w:tc>
        <w:tc>
          <w:tcPr>
            <w:tcW w:w="2268" w:type="dxa"/>
            <w:vAlign w:val="center"/>
          </w:tcPr>
          <w:p w14:paraId="17B03CD6">
            <w:pPr>
              <w:pStyle w:val="11"/>
              <w:shd w:val="clea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 xml:space="preserve">采购代理服务费 </w:t>
            </w:r>
          </w:p>
        </w:tc>
        <w:tc>
          <w:tcPr>
            <w:tcW w:w="5731" w:type="dxa"/>
            <w:vAlign w:val="center"/>
          </w:tcPr>
          <w:p w14:paraId="13F1E8A3">
            <w:pPr>
              <w:shd w:val="clear"/>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本项目代理服务费：7000.00元。具体收费金额以中标人的中标金额为基数参照国家发展计划委员会计价格[2002]1980号及发改价[2011]534号文件、《云南省建设工程招标代理服务收费指导意见（试行）》云建招协〔2023〕51号文件收费标准下浮20%，向中标人/成交人收取。</w:t>
            </w:r>
          </w:p>
        </w:tc>
      </w:tr>
      <w:tr w14:paraId="107FC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Align w:val="center"/>
          </w:tcPr>
          <w:p w14:paraId="15C993D8">
            <w:pPr>
              <w:pStyle w:val="11"/>
              <w:shd w:val="clear"/>
              <w:jc w:val="center"/>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30.3</w:t>
            </w:r>
          </w:p>
        </w:tc>
        <w:tc>
          <w:tcPr>
            <w:tcW w:w="2268" w:type="dxa"/>
            <w:vAlign w:val="center"/>
          </w:tcPr>
          <w:p w14:paraId="77813EEA">
            <w:pPr>
              <w:pStyle w:val="11"/>
              <w:shd w:val="clear"/>
              <w:jc w:val="left"/>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需要补充的其他内容</w:t>
            </w:r>
          </w:p>
        </w:tc>
        <w:tc>
          <w:tcPr>
            <w:tcW w:w="5731" w:type="dxa"/>
            <w:vAlign w:val="center"/>
          </w:tcPr>
          <w:p w14:paraId="1DBDDA62">
            <w:pPr>
              <w:pStyle w:val="11"/>
              <w:shd w:val="clear"/>
              <w:rPr>
                <w:rFonts w:hint="eastAsia" w:ascii="楷体" w:hAnsi="楷体" w:eastAsia="楷体" w:cs="楷体"/>
                <w:color w:val="auto"/>
                <w:kern w:val="2"/>
                <w:sz w:val="24"/>
                <w:szCs w:val="24"/>
                <w:highlight w:val="none"/>
                <w:lang w:eastAsia="zh-CN"/>
              </w:rPr>
            </w:pPr>
            <w:r>
              <w:rPr>
                <w:rFonts w:hint="eastAsia" w:ascii="楷体" w:hAnsi="楷体" w:eastAsia="楷体" w:cs="楷体"/>
                <w:color w:val="auto"/>
                <w:kern w:val="2"/>
                <w:sz w:val="24"/>
                <w:szCs w:val="24"/>
                <w:highlight w:val="none"/>
                <w:lang w:eastAsia="zh-CN"/>
              </w:rPr>
              <w:t>1</w:t>
            </w:r>
            <w:r>
              <w:rPr>
                <w:rFonts w:hint="eastAsia" w:ascii="楷体" w:hAnsi="楷体" w:eastAsia="楷体" w:cs="楷体"/>
                <w:color w:val="auto"/>
                <w:kern w:val="2"/>
                <w:sz w:val="24"/>
                <w:szCs w:val="24"/>
                <w:highlight w:val="none"/>
                <w:lang w:val="en-US" w:eastAsia="zh-CN"/>
              </w:rPr>
              <w:t>.</w:t>
            </w:r>
            <w:r>
              <w:rPr>
                <w:rFonts w:hint="eastAsia" w:ascii="楷体" w:hAnsi="楷体" w:eastAsia="楷体" w:cs="楷体"/>
                <w:color w:val="auto"/>
                <w:kern w:val="2"/>
                <w:sz w:val="24"/>
                <w:szCs w:val="24"/>
                <w:highlight w:val="none"/>
                <w:lang w:eastAsia="zh-CN"/>
              </w:rPr>
              <w:t>供应商属于小微企业并提供</w:t>
            </w:r>
            <w:r>
              <w:rPr>
                <w:rFonts w:hint="eastAsia" w:ascii="楷体" w:hAnsi="楷体" w:eastAsia="楷体" w:cs="楷体"/>
                <w:color w:val="auto"/>
                <w:kern w:val="2"/>
                <w:sz w:val="24"/>
                <w:szCs w:val="24"/>
                <w:highlight w:val="none"/>
                <w:lang w:val="en-US" w:eastAsia="zh-CN"/>
              </w:rPr>
              <w:t>声明函的</w:t>
            </w:r>
            <w:r>
              <w:rPr>
                <w:rFonts w:hint="eastAsia" w:ascii="楷体" w:hAnsi="楷体" w:eastAsia="楷体" w:cs="楷体"/>
                <w:color w:val="auto"/>
                <w:kern w:val="2"/>
                <w:sz w:val="24"/>
                <w:szCs w:val="24"/>
                <w:highlight w:val="none"/>
                <w:lang w:eastAsia="zh-CN"/>
              </w:rPr>
              <w:t>，符合国家法律法规规定，在评审时按照国家相关规定报价给予</w:t>
            </w:r>
            <w:r>
              <w:rPr>
                <w:rFonts w:hint="eastAsia" w:ascii="楷体" w:hAnsi="楷体" w:eastAsia="楷体" w:cs="楷体"/>
                <w:color w:val="auto"/>
                <w:kern w:val="2"/>
                <w:sz w:val="24"/>
                <w:szCs w:val="24"/>
                <w:highlight w:val="none"/>
                <w:lang w:val="en-US" w:eastAsia="zh-CN"/>
              </w:rPr>
              <w:t>10%</w:t>
            </w:r>
            <w:r>
              <w:rPr>
                <w:rFonts w:hint="eastAsia" w:ascii="楷体" w:hAnsi="楷体" w:eastAsia="楷体" w:cs="楷体"/>
                <w:color w:val="auto"/>
                <w:kern w:val="2"/>
                <w:sz w:val="24"/>
                <w:szCs w:val="24"/>
                <w:highlight w:val="none"/>
                <w:lang w:eastAsia="zh-CN"/>
              </w:rPr>
              <w:t>的价格折扣，</w:t>
            </w:r>
            <w:r>
              <w:rPr>
                <w:rFonts w:hint="eastAsia" w:ascii="楷体" w:hAnsi="楷体" w:eastAsia="楷体" w:cs="楷体"/>
                <w:color w:val="auto"/>
                <w:kern w:val="2"/>
                <w:sz w:val="24"/>
                <w:szCs w:val="24"/>
                <w:highlight w:val="none"/>
                <w:lang w:val="en-US" w:eastAsia="zh-CN"/>
              </w:rPr>
              <w:t>用扣除后的价格参与评审，监狱企业及残疾人福利单位视同于中小微企业，不再另行减免</w:t>
            </w:r>
            <w:r>
              <w:rPr>
                <w:rFonts w:hint="eastAsia" w:ascii="楷体" w:hAnsi="楷体" w:eastAsia="楷体" w:cs="楷体"/>
                <w:color w:val="auto"/>
                <w:kern w:val="2"/>
                <w:sz w:val="24"/>
                <w:szCs w:val="24"/>
                <w:highlight w:val="none"/>
                <w:lang w:eastAsia="zh-CN"/>
              </w:rPr>
              <w:t>；</w:t>
            </w:r>
          </w:p>
          <w:p w14:paraId="61037EBA">
            <w:pPr>
              <w:pStyle w:val="11"/>
              <w:shd w:val="clear"/>
              <w:rPr>
                <w:rFonts w:hint="eastAsia" w:ascii="楷体" w:hAnsi="楷体" w:eastAsia="楷体" w:cs="楷体"/>
                <w:color w:val="auto"/>
                <w:kern w:val="2"/>
                <w:sz w:val="24"/>
                <w:szCs w:val="24"/>
                <w:highlight w:val="none"/>
                <w:lang w:eastAsia="zh-CN"/>
              </w:rPr>
            </w:pPr>
            <w:r>
              <w:rPr>
                <w:rFonts w:hint="eastAsia" w:ascii="楷体" w:hAnsi="楷体" w:eastAsia="楷体" w:cs="楷体"/>
                <w:color w:val="auto"/>
                <w:kern w:val="2"/>
                <w:sz w:val="24"/>
                <w:szCs w:val="24"/>
                <w:highlight w:val="none"/>
                <w:lang w:eastAsia="zh-CN"/>
              </w:rPr>
              <w:t>2</w:t>
            </w:r>
            <w:r>
              <w:rPr>
                <w:rFonts w:hint="eastAsia" w:ascii="楷体" w:hAnsi="楷体" w:eastAsia="楷体" w:cs="楷体"/>
                <w:color w:val="auto"/>
                <w:kern w:val="2"/>
                <w:sz w:val="24"/>
                <w:szCs w:val="24"/>
                <w:highlight w:val="none"/>
                <w:lang w:val="en-US" w:eastAsia="zh-CN"/>
              </w:rPr>
              <w:t>.</w:t>
            </w:r>
            <w:r>
              <w:rPr>
                <w:rFonts w:hint="eastAsia" w:ascii="楷体" w:hAnsi="楷体" w:eastAsia="楷体" w:cs="楷体"/>
                <w:color w:val="auto"/>
                <w:kern w:val="2"/>
                <w:sz w:val="24"/>
                <w:szCs w:val="24"/>
                <w:highlight w:val="none"/>
                <w:lang w:eastAsia="zh-CN"/>
              </w:rPr>
              <w:t>若供应商提供的产品是国家法律法规要求的节能环保产品，并提供相关真实、有效的证明资料，在评审中，优先采购节能环保产品。</w:t>
            </w:r>
          </w:p>
          <w:p w14:paraId="6995F5CE">
            <w:pPr>
              <w:shd w:val="clear"/>
              <w:rPr>
                <w:rFonts w:hint="eastAsia" w:ascii="楷体" w:hAnsi="楷体" w:eastAsia="楷体" w:cs="楷体"/>
                <w:color w:val="auto"/>
                <w:highlight w:val="none"/>
                <w:lang w:val="en-US" w:eastAsia="zh-CN"/>
              </w:rPr>
            </w:pPr>
            <w:r>
              <w:rPr>
                <w:rFonts w:hint="eastAsia" w:ascii="楷体" w:hAnsi="楷体" w:eastAsia="楷体" w:cs="楷体"/>
                <w:color w:val="auto"/>
                <w:kern w:val="2"/>
                <w:sz w:val="24"/>
                <w:szCs w:val="24"/>
                <w:highlight w:val="none"/>
                <w:lang w:val="en-US" w:eastAsia="zh-CN"/>
              </w:rPr>
              <w:t>3.</w:t>
            </w:r>
            <w:r>
              <w:rPr>
                <w:rFonts w:hint="eastAsia" w:ascii="楷体" w:hAnsi="楷体" w:eastAsia="楷体" w:cs="楷体"/>
                <w:b/>
                <w:bCs/>
                <w:color w:val="auto"/>
                <w:sz w:val="24"/>
                <w:szCs w:val="24"/>
                <w:highlight w:val="none"/>
              </w:rPr>
              <w:t>投标</w:t>
            </w:r>
            <w:r>
              <w:rPr>
                <w:rFonts w:hint="eastAsia" w:ascii="楷体" w:hAnsi="楷体" w:eastAsia="楷体" w:cs="楷体"/>
                <w:b/>
                <w:bCs/>
                <w:color w:val="auto"/>
                <w:sz w:val="24"/>
                <w:szCs w:val="24"/>
                <w:highlight w:val="none"/>
                <w:lang w:val="en-US" w:eastAsia="zh-CN"/>
              </w:rPr>
              <w:t>报价</w:t>
            </w:r>
            <w:r>
              <w:rPr>
                <w:rFonts w:hint="eastAsia" w:ascii="楷体" w:hAnsi="楷体" w:eastAsia="楷体" w:cs="楷体"/>
                <w:b/>
                <w:bCs/>
                <w:color w:val="auto"/>
                <w:sz w:val="24"/>
                <w:szCs w:val="24"/>
                <w:highlight w:val="none"/>
              </w:rPr>
              <w:t>以</w:t>
            </w:r>
            <w:r>
              <w:rPr>
                <w:rFonts w:hint="eastAsia" w:ascii="楷体" w:hAnsi="楷体" w:eastAsia="楷体" w:cs="楷体"/>
                <w:b/>
                <w:bCs/>
                <w:color w:val="auto"/>
                <w:kern w:val="2"/>
                <w:sz w:val="24"/>
                <w:szCs w:val="24"/>
                <w:highlight w:val="none"/>
                <w:lang w:val="en-US" w:eastAsia="zh-CN"/>
              </w:rPr>
              <w:t>采购品目进行单价报价（所有单价报价不得超过第五章采购需求中给出的单价限价，超过单价限价的作废标处理），在价格评审时以单价报价的合价进行评审。供应商在填写分项报价表时根据自身情况（含税金等进行报价）不得出现恶意竞争的情况（如哄抬报价或低于市场报价或低于成本价的报价）在评审时评标委员会将对所有分项报价进行清标，对于明显低于其他供应商的报价评标委员会将要求供应商在规定的时间内作出相关报价的情况说明，必要时提供相应证明材料，供应商不能按时作出相关报价说明的应当将其作为无效报价处理。分项报价表将作为签订合同的重要组成部分。</w:t>
            </w:r>
          </w:p>
        </w:tc>
      </w:tr>
    </w:tbl>
    <w:p w14:paraId="67A0060E">
      <w:pPr>
        <w:pStyle w:val="5"/>
        <w:numPr>
          <w:ilvl w:val="1"/>
          <w:numId w:val="0"/>
        </w:numPr>
        <w:shd w:val="clear"/>
        <w:spacing w:before="0" w:after="120" w:afterLines="50"/>
        <w:jc w:val="center"/>
        <w:rPr>
          <w:rFonts w:hint="eastAsia" w:ascii="楷体" w:hAnsi="楷体" w:eastAsia="楷体" w:cs="楷体"/>
          <w:color w:val="auto"/>
          <w:sz w:val="21"/>
          <w:szCs w:val="21"/>
          <w:highlight w:val="none"/>
        </w:rPr>
      </w:pPr>
      <w:r>
        <w:rPr>
          <w:rFonts w:hint="eastAsia" w:ascii="楷体" w:hAnsi="楷体" w:eastAsia="楷体" w:cs="楷体"/>
          <w:color w:val="auto"/>
          <w:highlight w:val="none"/>
        </w:rPr>
        <w:br w:type="page"/>
      </w:r>
      <w:bookmarkStart w:id="28" w:name="_Toc373252446"/>
      <w:bookmarkStart w:id="29" w:name="_Toc17303"/>
      <w:bookmarkStart w:id="30" w:name="_Toc22406"/>
      <w:bookmarkStart w:id="31" w:name="_Toc22813245"/>
      <w:bookmarkStart w:id="32" w:name="_Toc509407320"/>
      <w:bookmarkStart w:id="33" w:name="_Toc21578"/>
      <w:bookmarkStart w:id="34" w:name="_Toc6897"/>
      <w:r>
        <w:rPr>
          <w:rFonts w:hint="eastAsia" w:ascii="楷体" w:hAnsi="楷体" w:eastAsia="楷体" w:cs="楷体"/>
          <w:b w:val="0"/>
          <w:color w:val="auto"/>
          <w:sz w:val="32"/>
          <w:szCs w:val="32"/>
          <w:highlight w:val="none"/>
        </w:rPr>
        <w:t>一、总  则</w:t>
      </w:r>
      <w:bookmarkEnd w:id="28"/>
      <w:bookmarkEnd w:id="29"/>
      <w:bookmarkEnd w:id="30"/>
      <w:bookmarkEnd w:id="31"/>
      <w:bookmarkEnd w:id="32"/>
      <w:bookmarkEnd w:id="33"/>
      <w:bookmarkEnd w:id="34"/>
    </w:p>
    <w:p w14:paraId="6A0197F9">
      <w:pPr>
        <w:pStyle w:val="11"/>
        <w:shd w:val="clear"/>
        <w:spacing w:line="360" w:lineRule="auto"/>
        <w:ind w:left="243" w:hanging="243" w:hangingChars="101"/>
        <w:jc w:val="left"/>
        <w:rPr>
          <w:rFonts w:hint="eastAsia" w:ascii="楷体" w:hAnsi="楷体" w:eastAsia="楷体" w:cs="楷体"/>
          <w:color w:val="auto"/>
          <w:sz w:val="24"/>
          <w:szCs w:val="24"/>
          <w:highlight w:val="none"/>
        </w:rPr>
      </w:pPr>
      <w:r>
        <w:rPr>
          <w:rFonts w:hint="eastAsia" w:ascii="楷体" w:hAnsi="楷体" w:eastAsia="楷体" w:cs="楷体"/>
          <w:b/>
          <w:color w:val="auto"/>
          <w:sz w:val="24"/>
          <w:szCs w:val="24"/>
          <w:highlight w:val="none"/>
        </w:rPr>
        <w:t>1.采购人、采购代理机构、项目名称及项目编号</w:t>
      </w:r>
    </w:p>
    <w:p w14:paraId="2A365A75">
      <w:pPr>
        <w:pStyle w:val="11"/>
        <w:shd w:val="clear"/>
        <w:spacing w:line="360" w:lineRule="auto"/>
        <w:ind w:left="210" w:leftChars="100" w:firstLine="120" w:firstLineChars="5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详见</w:t>
      </w:r>
      <w:r>
        <w:rPr>
          <w:rFonts w:hint="eastAsia" w:ascii="楷体" w:hAnsi="楷体" w:eastAsia="楷体" w:cs="楷体"/>
          <w:color w:val="auto"/>
          <w:sz w:val="24"/>
          <w:szCs w:val="24"/>
          <w:highlight w:val="none"/>
          <w:lang w:eastAsia="zh-CN"/>
        </w:rPr>
        <w:t>招标文件</w:t>
      </w:r>
      <w:r>
        <w:rPr>
          <w:rFonts w:hint="eastAsia" w:ascii="楷体" w:hAnsi="楷体" w:eastAsia="楷体" w:cs="楷体"/>
          <w:color w:val="auto"/>
          <w:sz w:val="24"/>
          <w:szCs w:val="24"/>
          <w:highlight w:val="none"/>
        </w:rPr>
        <w:t>“</w:t>
      </w:r>
      <w:r>
        <w:rPr>
          <w:rFonts w:hint="eastAsia" w:ascii="楷体" w:hAnsi="楷体" w:eastAsia="楷体" w:cs="楷体"/>
          <w:b/>
          <w:color w:val="auto"/>
          <w:sz w:val="24"/>
          <w:szCs w:val="24"/>
          <w:highlight w:val="none"/>
        </w:rPr>
        <w:t>供应商须知前附表</w:t>
      </w:r>
      <w:r>
        <w:rPr>
          <w:rFonts w:hint="eastAsia" w:ascii="楷体" w:hAnsi="楷体" w:eastAsia="楷体" w:cs="楷体"/>
          <w:color w:val="auto"/>
          <w:sz w:val="24"/>
          <w:szCs w:val="24"/>
          <w:highlight w:val="none"/>
        </w:rPr>
        <w:t>”。</w:t>
      </w:r>
    </w:p>
    <w:p w14:paraId="7157FDB2">
      <w:pPr>
        <w:shd w:val="clear"/>
        <w:spacing w:line="360" w:lineRule="auto"/>
        <w:jc w:val="left"/>
        <w:rPr>
          <w:rFonts w:hint="eastAsia" w:ascii="楷体" w:hAnsi="楷体" w:eastAsia="楷体" w:cs="楷体"/>
          <w:b/>
          <w:color w:val="auto"/>
          <w:sz w:val="24"/>
          <w:highlight w:val="none"/>
        </w:rPr>
      </w:pPr>
      <w:r>
        <w:rPr>
          <w:rFonts w:hint="eastAsia" w:ascii="楷体" w:hAnsi="楷体" w:eastAsia="楷体" w:cs="楷体"/>
          <w:b/>
          <w:color w:val="auto"/>
          <w:sz w:val="24"/>
          <w:highlight w:val="none"/>
        </w:rPr>
        <w:t>2.资金来源</w:t>
      </w:r>
    </w:p>
    <w:p w14:paraId="52BD4908">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eastAsia="zh-CN"/>
        </w:rPr>
        <w:t>自筹资金</w:t>
      </w:r>
      <w:r>
        <w:rPr>
          <w:rFonts w:hint="eastAsia" w:ascii="楷体" w:hAnsi="楷体" w:eastAsia="楷体" w:cs="楷体"/>
          <w:color w:val="auto"/>
          <w:sz w:val="24"/>
          <w:highlight w:val="none"/>
        </w:rPr>
        <w:t>。</w:t>
      </w:r>
    </w:p>
    <w:p w14:paraId="05FFAD9E">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2.2本项目采购预算详见“第一章 招标公告”。</w:t>
      </w:r>
    </w:p>
    <w:p w14:paraId="582200B9">
      <w:pPr>
        <w:shd w:val="clear"/>
        <w:spacing w:line="360" w:lineRule="auto"/>
        <w:jc w:val="left"/>
        <w:rPr>
          <w:rFonts w:hint="eastAsia" w:ascii="楷体" w:hAnsi="楷体" w:eastAsia="楷体" w:cs="楷体"/>
          <w:b/>
          <w:color w:val="auto"/>
          <w:sz w:val="24"/>
          <w:highlight w:val="none"/>
        </w:rPr>
      </w:pPr>
      <w:r>
        <w:rPr>
          <w:rFonts w:hint="eastAsia" w:ascii="楷体" w:hAnsi="楷体" w:eastAsia="楷体" w:cs="楷体"/>
          <w:b/>
          <w:color w:val="auto"/>
          <w:sz w:val="24"/>
          <w:highlight w:val="none"/>
        </w:rPr>
        <w:t>3.招标范围</w:t>
      </w:r>
    </w:p>
    <w:p w14:paraId="1E4395EF">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3.1本项目采购范围：见“</w:t>
      </w:r>
      <w:r>
        <w:rPr>
          <w:rFonts w:hint="eastAsia" w:ascii="楷体" w:hAnsi="楷体" w:eastAsia="楷体" w:cs="楷体"/>
          <w:b/>
          <w:color w:val="auto"/>
          <w:sz w:val="24"/>
          <w:highlight w:val="none"/>
        </w:rPr>
        <w:t>供应商须知前附表</w:t>
      </w:r>
      <w:r>
        <w:rPr>
          <w:rFonts w:hint="eastAsia" w:ascii="楷体" w:hAnsi="楷体" w:eastAsia="楷体" w:cs="楷体"/>
          <w:color w:val="auto"/>
          <w:sz w:val="24"/>
          <w:highlight w:val="none"/>
        </w:rPr>
        <w:t>”。</w:t>
      </w:r>
    </w:p>
    <w:p w14:paraId="3A2D22E3">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3.2本项目</w:t>
      </w:r>
      <w:r>
        <w:rPr>
          <w:rFonts w:hint="eastAsia" w:ascii="楷体" w:hAnsi="楷体" w:eastAsia="楷体" w:cs="楷体"/>
          <w:color w:val="auto"/>
          <w:sz w:val="24"/>
          <w:highlight w:val="none"/>
          <w:lang w:eastAsia="zh-CN"/>
        </w:rPr>
        <w:t>交货时间及交货地点</w:t>
      </w:r>
      <w:r>
        <w:rPr>
          <w:rFonts w:hint="eastAsia" w:ascii="楷体" w:hAnsi="楷体" w:eastAsia="楷体" w:cs="楷体"/>
          <w:color w:val="auto"/>
          <w:sz w:val="24"/>
          <w:highlight w:val="none"/>
        </w:rPr>
        <w:t>：见“</w:t>
      </w:r>
      <w:r>
        <w:rPr>
          <w:rFonts w:hint="eastAsia" w:ascii="楷体" w:hAnsi="楷体" w:eastAsia="楷体" w:cs="楷体"/>
          <w:b/>
          <w:color w:val="auto"/>
          <w:sz w:val="24"/>
          <w:highlight w:val="none"/>
        </w:rPr>
        <w:t>供应商须知前附表</w:t>
      </w:r>
      <w:r>
        <w:rPr>
          <w:rFonts w:hint="eastAsia" w:ascii="楷体" w:hAnsi="楷体" w:eastAsia="楷体" w:cs="楷体"/>
          <w:color w:val="auto"/>
          <w:sz w:val="24"/>
          <w:highlight w:val="none"/>
        </w:rPr>
        <w:t>”。</w:t>
      </w:r>
    </w:p>
    <w:p w14:paraId="7C6671CD">
      <w:pPr>
        <w:shd w:val="clear"/>
        <w:spacing w:line="360" w:lineRule="auto"/>
        <w:jc w:val="left"/>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4.合格的供应商  </w:t>
      </w:r>
    </w:p>
    <w:p w14:paraId="6087B019">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详见</w:t>
      </w:r>
      <w:r>
        <w:rPr>
          <w:rFonts w:hint="eastAsia" w:ascii="楷体" w:hAnsi="楷体" w:eastAsia="楷体" w:cs="楷体"/>
          <w:color w:val="auto"/>
          <w:sz w:val="24"/>
          <w:highlight w:val="none"/>
          <w:lang w:eastAsia="zh-CN"/>
        </w:rPr>
        <w:t>招标公告</w:t>
      </w:r>
      <w:r>
        <w:rPr>
          <w:rFonts w:hint="eastAsia" w:ascii="楷体" w:hAnsi="楷体" w:eastAsia="楷体" w:cs="楷体"/>
          <w:color w:val="auto"/>
          <w:sz w:val="24"/>
          <w:highlight w:val="none"/>
        </w:rPr>
        <w:t>供应商资格要求。</w:t>
      </w:r>
    </w:p>
    <w:p w14:paraId="47CD35B1">
      <w:pPr>
        <w:shd w:val="clear"/>
        <w:spacing w:line="360" w:lineRule="auto"/>
        <w:jc w:val="left"/>
        <w:rPr>
          <w:rFonts w:hint="eastAsia" w:ascii="楷体" w:hAnsi="楷体" w:eastAsia="楷体" w:cs="楷体"/>
          <w:b/>
          <w:color w:val="auto"/>
          <w:sz w:val="24"/>
          <w:highlight w:val="none"/>
        </w:rPr>
      </w:pPr>
      <w:r>
        <w:rPr>
          <w:rFonts w:hint="eastAsia" w:ascii="楷体" w:hAnsi="楷体" w:eastAsia="楷体" w:cs="楷体"/>
          <w:b/>
          <w:color w:val="auto"/>
          <w:sz w:val="24"/>
          <w:highlight w:val="none"/>
        </w:rPr>
        <w:t>5.投标费用</w:t>
      </w:r>
    </w:p>
    <w:p w14:paraId="71657596">
      <w:pPr>
        <w:pStyle w:val="11"/>
        <w:shd w:val="clear"/>
        <w:spacing w:line="360" w:lineRule="auto"/>
        <w:ind w:firstLine="480" w:firstLineChars="200"/>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不论投标结果如何，供应商均应自行承担所有与准备和参加投标活动有关的全部费用。</w:t>
      </w:r>
    </w:p>
    <w:p w14:paraId="751912FA">
      <w:pPr>
        <w:shd w:val="clear"/>
        <w:spacing w:line="360" w:lineRule="auto"/>
        <w:jc w:val="left"/>
        <w:rPr>
          <w:rFonts w:hint="eastAsia" w:ascii="楷体" w:hAnsi="楷体" w:eastAsia="楷体" w:cs="楷体"/>
          <w:b/>
          <w:color w:val="auto"/>
          <w:sz w:val="24"/>
          <w:highlight w:val="none"/>
        </w:rPr>
      </w:pPr>
      <w:bookmarkStart w:id="35" w:name="_Toc321836356"/>
      <w:r>
        <w:rPr>
          <w:rFonts w:hint="eastAsia" w:ascii="楷体" w:hAnsi="楷体" w:eastAsia="楷体" w:cs="楷体"/>
          <w:b/>
          <w:color w:val="auto"/>
          <w:sz w:val="24"/>
          <w:highlight w:val="none"/>
        </w:rPr>
        <w:t>6.质疑</w:t>
      </w:r>
      <w:bookmarkEnd w:id="35"/>
    </w:p>
    <w:p w14:paraId="3DFE213E">
      <w:pPr>
        <w:pStyle w:val="11"/>
        <w:shd w:val="clear"/>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6.1 供应商认为</w:t>
      </w:r>
      <w:r>
        <w:rPr>
          <w:rFonts w:hint="eastAsia" w:ascii="楷体" w:hAnsi="楷体" w:eastAsia="楷体" w:cs="楷体"/>
          <w:color w:val="auto"/>
          <w:kern w:val="2"/>
          <w:sz w:val="24"/>
          <w:szCs w:val="24"/>
          <w:highlight w:val="none"/>
          <w:lang w:eastAsia="zh-CN"/>
        </w:rPr>
        <w:t>招标文件</w:t>
      </w:r>
      <w:r>
        <w:rPr>
          <w:rFonts w:hint="eastAsia" w:ascii="楷体" w:hAnsi="楷体" w:eastAsia="楷体" w:cs="楷体"/>
          <w:color w:val="auto"/>
          <w:kern w:val="2"/>
          <w:sz w:val="24"/>
          <w:szCs w:val="24"/>
          <w:highlight w:val="none"/>
        </w:rPr>
        <w:t>、招标过程和中标结果使自己的权益受到损害的，应当在知道或者应知其权益受到损害之日起7个工作日内，以书面形式向采购代理机构或采购人提出质疑。质疑内容不得含有虚假、恶意成分。当事人对自己提出的主张，有责任提供证据，提出质疑时应同时提交相关证据材料和注明证据的确切来源。</w:t>
      </w:r>
    </w:p>
    <w:p w14:paraId="018CF458">
      <w:pPr>
        <w:pStyle w:val="11"/>
        <w:shd w:val="clear"/>
        <w:spacing w:line="440" w:lineRule="exact"/>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6.2供应商应知其权益受到损害之日，是指：</w:t>
      </w:r>
    </w:p>
    <w:p w14:paraId="4FC3D47E">
      <w:pPr>
        <w:pStyle w:val="11"/>
        <w:shd w:val="clear"/>
        <w:spacing w:line="440" w:lineRule="exact"/>
        <w:ind w:firstLine="480" w:firstLineChars="200"/>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对可以质疑的</w:t>
      </w:r>
      <w:r>
        <w:rPr>
          <w:rFonts w:hint="eastAsia" w:ascii="楷体" w:hAnsi="楷体" w:eastAsia="楷体" w:cs="楷体"/>
          <w:color w:val="auto"/>
          <w:kern w:val="2"/>
          <w:sz w:val="24"/>
          <w:szCs w:val="24"/>
          <w:highlight w:val="none"/>
          <w:lang w:eastAsia="zh-CN"/>
        </w:rPr>
        <w:t>招标文件</w:t>
      </w:r>
      <w:r>
        <w:rPr>
          <w:rFonts w:hint="eastAsia" w:ascii="楷体" w:hAnsi="楷体" w:eastAsia="楷体" w:cs="楷体"/>
          <w:color w:val="auto"/>
          <w:kern w:val="2"/>
          <w:sz w:val="24"/>
          <w:szCs w:val="24"/>
          <w:highlight w:val="none"/>
        </w:rPr>
        <w:t>提出质疑的，为供应商获取</w:t>
      </w:r>
      <w:r>
        <w:rPr>
          <w:rFonts w:hint="eastAsia" w:ascii="楷体" w:hAnsi="楷体" w:eastAsia="楷体" w:cs="楷体"/>
          <w:color w:val="auto"/>
          <w:kern w:val="2"/>
          <w:sz w:val="24"/>
          <w:szCs w:val="24"/>
          <w:highlight w:val="none"/>
          <w:lang w:eastAsia="zh-CN"/>
        </w:rPr>
        <w:t>招标文件</w:t>
      </w:r>
      <w:r>
        <w:rPr>
          <w:rFonts w:hint="eastAsia" w:ascii="楷体" w:hAnsi="楷体" w:eastAsia="楷体" w:cs="楷体"/>
          <w:color w:val="auto"/>
          <w:kern w:val="2"/>
          <w:sz w:val="24"/>
          <w:szCs w:val="24"/>
          <w:highlight w:val="none"/>
        </w:rPr>
        <w:t>之日；</w:t>
      </w:r>
    </w:p>
    <w:p w14:paraId="4CE8997B">
      <w:pPr>
        <w:pStyle w:val="11"/>
        <w:shd w:val="clear"/>
        <w:spacing w:line="440" w:lineRule="exact"/>
        <w:ind w:firstLine="480" w:firstLineChars="200"/>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对采购过程提出质疑的，为各采购程序环节结束之日；</w:t>
      </w:r>
    </w:p>
    <w:p w14:paraId="3B129017">
      <w:pPr>
        <w:pStyle w:val="11"/>
        <w:shd w:val="clear"/>
        <w:spacing w:line="440" w:lineRule="exact"/>
        <w:ind w:firstLine="480" w:firstLineChars="200"/>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对中标结果提出质疑的，为中标结果公告期限届满之日。</w:t>
      </w:r>
    </w:p>
    <w:p w14:paraId="2D3314D0">
      <w:pPr>
        <w:shd w:val="clear"/>
        <w:spacing w:line="440" w:lineRule="exact"/>
        <w:jc w:val="left"/>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6.3</w:t>
      </w:r>
      <w:r>
        <w:rPr>
          <w:rFonts w:hint="eastAsia" w:ascii="楷体" w:hAnsi="楷体" w:eastAsia="楷体" w:cs="楷体"/>
          <w:b/>
          <w:bCs/>
          <w:color w:val="auto"/>
          <w:sz w:val="24"/>
          <w:highlight w:val="none"/>
          <w:u w:val="single"/>
        </w:rPr>
        <w:t>供应商提供的质疑书应符合中华人民共和国财政部《政府采购质疑和投诉办法》的规定</w:t>
      </w:r>
      <w:r>
        <w:rPr>
          <w:rFonts w:hint="eastAsia" w:ascii="楷体" w:hAnsi="楷体" w:eastAsia="楷体" w:cs="楷体"/>
          <w:color w:val="auto"/>
          <w:sz w:val="24"/>
          <w:highlight w:val="none"/>
          <w:u w:val="single"/>
        </w:rPr>
        <w:t>，</w:t>
      </w:r>
      <w:r>
        <w:rPr>
          <w:rFonts w:hint="eastAsia" w:ascii="楷体" w:hAnsi="楷体" w:eastAsia="楷体" w:cs="楷体"/>
          <w:color w:val="auto"/>
          <w:sz w:val="24"/>
          <w:highlight w:val="none"/>
        </w:rPr>
        <w:t>供应商提供的质疑书（如材料中有外文资料应同时附上中文译本）应当包括以下主要内容：</w:t>
      </w:r>
    </w:p>
    <w:p w14:paraId="3120AF24">
      <w:pPr>
        <w:widowControl/>
        <w:shd w:val="clear" w:color="auto"/>
        <w:spacing w:line="440" w:lineRule="exact"/>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供应商的姓名或者名称、地址、邮编、联系人及联系电话；</w:t>
      </w:r>
    </w:p>
    <w:p w14:paraId="5ECC4297">
      <w:pPr>
        <w:widowControl/>
        <w:shd w:val="clear" w:color="auto"/>
        <w:spacing w:line="440" w:lineRule="exact"/>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质疑项目的名称、编号；</w:t>
      </w:r>
    </w:p>
    <w:p w14:paraId="2A2A9A94">
      <w:pPr>
        <w:widowControl/>
        <w:shd w:val="clear" w:color="auto"/>
        <w:spacing w:line="440" w:lineRule="exact"/>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具体、明确的质疑事项和与质疑事项相关的请求；</w:t>
      </w:r>
    </w:p>
    <w:p w14:paraId="28D9FB12">
      <w:pPr>
        <w:widowControl/>
        <w:shd w:val="clear" w:color="auto"/>
        <w:spacing w:line="440" w:lineRule="exact"/>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事实依据；</w:t>
      </w:r>
    </w:p>
    <w:p w14:paraId="30F665D6">
      <w:pPr>
        <w:widowControl/>
        <w:shd w:val="clear" w:color="auto"/>
        <w:spacing w:line="440" w:lineRule="exact"/>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必要的法律依据；</w:t>
      </w:r>
    </w:p>
    <w:p w14:paraId="73D226C5">
      <w:pPr>
        <w:widowControl/>
        <w:shd w:val="clear" w:color="auto"/>
        <w:spacing w:line="440" w:lineRule="exact"/>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提出质疑的日期。</w:t>
      </w:r>
    </w:p>
    <w:p w14:paraId="6F2584D3">
      <w:pPr>
        <w:shd w:val="clear"/>
        <w:spacing w:line="440" w:lineRule="exact"/>
        <w:ind w:firstLine="482" w:firstLineChars="200"/>
        <w:jc w:val="left"/>
        <w:rPr>
          <w:rFonts w:hint="eastAsia" w:ascii="楷体" w:hAnsi="楷体" w:eastAsia="楷体" w:cs="楷体"/>
          <w:b/>
          <w:bCs/>
          <w:color w:val="auto"/>
          <w:sz w:val="24"/>
          <w:highlight w:val="none"/>
          <w:u w:val="single"/>
        </w:rPr>
      </w:pPr>
      <w:r>
        <w:rPr>
          <w:rFonts w:hint="eastAsia" w:ascii="楷体" w:hAnsi="楷体" w:eastAsia="楷体" w:cs="楷体"/>
          <w:b/>
          <w:bCs/>
          <w:color w:val="auto"/>
          <w:sz w:val="24"/>
          <w:highlight w:val="none"/>
          <w:u w:val="single"/>
        </w:rPr>
        <w:t>质疑书实行实名制，并提交由法定代表人或其委托代理人签字且盖单位章的原件。</w:t>
      </w:r>
    </w:p>
    <w:p w14:paraId="498F6C43">
      <w:pPr>
        <w:shd w:val="clear"/>
        <w:spacing w:line="360" w:lineRule="auto"/>
        <w:jc w:val="left"/>
        <w:rPr>
          <w:rFonts w:hint="eastAsia" w:ascii="楷体" w:hAnsi="楷体" w:eastAsia="楷体" w:cs="楷体"/>
          <w:color w:val="auto"/>
          <w:sz w:val="24"/>
          <w:highlight w:val="none"/>
          <w:lang w:val="zh-TW"/>
        </w:rPr>
      </w:pPr>
      <w:r>
        <w:rPr>
          <w:rFonts w:hint="eastAsia" w:ascii="楷体" w:hAnsi="楷体" w:eastAsia="楷体" w:cs="楷体"/>
          <w:color w:val="auto"/>
          <w:sz w:val="24"/>
          <w:highlight w:val="none"/>
          <w:lang w:val="zh-TW"/>
        </w:rPr>
        <w:t>6.4采购人、采购代理机构将在收到供应商的书面质疑后7个工作日内作出答复，但答复的内容不涉及商业秘密。</w:t>
      </w:r>
    </w:p>
    <w:p w14:paraId="3F9F9071">
      <w:pPr>
        <w:pStyle w:val="11"/>
        <w:shd w:val="clear"/>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6.5参与政府采购活动的供应商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p>
    <w:p w14:paraId="3AE91D71">
      <w:pPr>
        <w:shd w:val="clear"/>
        <w:spacing w:line="360" w:lineRule="auto"/>
        <w:jc w:val="left"/>
        <w:rPr>
          <w:rFonts w:hint="eastAsia" w:ascii="楷体" w:hAnsi="楷体" w:eastAsia="楷体" w:cs="楷体"/>
          <w:b/>
          <w:color w:val="auto"/>
          <w:sz w:val="24"/>
          <w:highlight w:val="none"/>
        </w:rPr>
      </w:pPr>
      <w:bookmarkStart w:id="36" w:name="_Toc321836357"/>
      <w:r>
        <w:rPr>
          <w:rFonts w:hint="eastAsia" w:ascii="楷体" w:hAnsi="楷体" w:eastAsia="楷体" w:cs="楷体"/>
          <w:b/>
          <w:color w:val="auto"/>
          <w:sz w:val="24"/>
          <w:highlight w:val="none"/>
        </w:rPr>
        <w:t>7.投诉</w:t>
      </w:r>
      <w:bookmarkEnd w:id="36"/>
    </w:p>
    <w:p w14:paraId="3ACA9F2E">
      <w:pPr>
        <w:pStyle w:val="11"/>
        <w:shd w:val="clear"/>
        <w:spacing w:line="360" w:lineRule="auto"/>
        <w:ind w:firstLine="480" w:firstLineChars="200"/>
        <w:rPr>
          <w:rFonts w:hint="eastAsia" w:ascii="楷体" w:hAnsi="楷体" w:eastAsia="楷体" w:cs="楷体"/>
          <w:color w:val="auto"/>
          <w:kern w:val="2"/>
          <w:sz w:val="24"/>
          <w:szCs w:val="24"/>
          <w:highlight w:val="none"/>
          <w:lang w:val="zh-TW"/>
        </w:rPr>
      </w:pPr>
      <w:r>
        <w:rPr>
          <w:rFonts w:hint="eastAsia" w:ascii="楷体" w:hAnsi="楷体" w:eastAsia="楷体" w:cs="楷体"/>
          <w:color w:val="auto"/>
          <w:kern w:val="2"/>
          <w:sz w:val="24"/>
          <w:szCs w:val="24"/>
          <w:highlight w:val="none"/>
          <w:lang w:val="zh-TW"/>
        </w:rPr>
        <w:t>投诉必须首先经过质疑程序。质疑人对采购人、采购代理机构的答复不满意，或者采购人、采购代理机构未在规定的时间内做出答复的，可以在答复期满后十五个工作日内书面向同级财政部门提出投诉。</w:t>
      </w:r>
    </w:p>
    <w:p w14:paraId="5E167E62">
      <w:pPr>
        <w:pStyle w:val="5"/>
        <w:numPr>
          <w:ilvl w:val="1"/>
          <w:numId w:val="0"/>
        </w:numPr>
        <w:shd w:val="clear"/>
        <w:spacing w:before="0" w:after="120" w:afterLines="50"/>
        <w:jc w:val="center"/>
        <w:rPr>
          <w:rFonts w:hint="eastAsia" w:ascii="楷体" w:hAnsi="楷体" w:eastAsia="楷体" w:cs="楷体"/>
          <w:b w:val="0"/>
          <w:color w:val="auto"/>
          <w:sz w:val="32"/>
          <w:szCs w:val="32"/>
          <w:highlight w:val="none"/>
          <w:lang w:eastAsia="zh-CN"/>
        </w:rPr>
      </w:pPr>
      <w:bookmarkStart w:id="37" w:name="_Toc22813246"/>
      <w:bookmarkStart w:id="38" w:name="_Toc509407321"/>
      <w:bookmarkStart w:id="39" w:name="_Toc373252447"/>
      <w:bookmarkStart w:id="40" w:name="_Toc15556"/>
      <w:bookmarkStart w:id="41" w:name="_Toc11259"/>
      <w:bookmarkStart w:id="42" w:name="_Toc19203"/>
      <w:bookmarkStart w:id="43" w:name="_Toc30562"/>
      <w:r>
        <w:rPr>
          <w:rFonts w:hint="eastAsia" w:ascii="楷体" w:hAnsi="楷体" w:eastAsia="楷体" w:cs="楷体"/>
          <w:b w:val="0"/>
          <w:color w:val="auto"/>
          <w:sz w:val="32"/>
          <w:szCs w:val="32"/>
          <w:highlight w:val="none"/>
        </w:rPr>
        <w:t>二、</w:t>
      </w:r>
      <w:bookmarkEnd w:id="37"/>
      <w:bookmarkEnd w:id="38"/>
      <w:bookmarkEnd w:id="39"/>
      <w:r>
        <w:rPr>
          <w:rFonts w:hint="eastAsia" w:ascii="楷体" w:hAnsi="楷体" w:eastAsia="楷体" w:cs="楷体"/>
          <w:b w:val="0"/>
          <w:color w:val="auto"/>
          <w:sz w:val="32"/>
          <w:szCs w:val="32"/>
          <w:highlight w:val="none"/>
          <w:lang w:eastAsia="zh-CN"/>
        </w:rPr>
        <w:t>招标文件</w:t>
      </w:r>
      <w:bookmarkEnd w:id="40"/>
      <w:bookmarkEnd w:id="41"/>
      <w:bookmarkEnd w:id="42"/>
      <w:bookmarkEnd w:id="43"/>
    </w:p>
    <w:p w14:paraId="3AB3EAE0">
      <w:pPr>
        <w:pStyle w:val="11"/>
        <w:shd w:val="clear"/>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8.</w:t>
      </w:r>
      <w:r>
        <w:rPr>
          <w:rFonts w:hint="eastAsia" w:ascii="楷体" w:hAnsi="楷体" w:eastAsia="楷体" w:cs="楷体"/>
          <w:b/>
          <w:bCs/>
          <w:color w:val="auto"/>
          <w:sz w:val="24"/>
          <w:szCs w:val="24"/>
          <w:highlight w:val="none"/>
          <w:lang w:eastAsia="zh-CN"/>
        </w:rPr>
        <w:t>招标文件</w:t>
      </w:r>
      <w:r>
        <w:rPr>
          <w:rFonts w:hint="eastAsia" w:ascii="楷体" w:hAnsi="楷体" w:eastAsia="楷体" w:cs="楷体"/>
          <w:b/>
          <w:bCs/>
          <w:color w:val="auto"/>
          <w:sz w:val="24"/>
          <w:szCs w:val="24"/>
          <w:highlight w:val="none"/>
        </w:rPr>
        <w:t>构成</w:t>
      </w:r>
    </w:p>
    <w:p w14:paraId="4095D742">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要求提供的货物、采购过程及合同条款在</w:t>
      </w:r>
      <w:r>
        <w:rPr>
          <w:rFonts w:hint="eastAsia" w:ascii="楷体" w:hAnsi="楷体" w:eastAsia="楷体" w:cs="楷体"/>
          <w:color w:val="auto"/>
          <w:sz w:val="24"/>
          <w:highlight w:val="none"/>
          <w:lang w:eastAsia="zh-CN"/>
        </w:rPr>
        <w:t>招标文件</w:t>
      </w:r>
      <w:r>
        <w:rPr>
          <w:rFonts w:hint="eastAsia" w:ascii="楷体" w:hAnsi="楷体" w:eastAsia="楷体" w:cs="楷体"/>
          <w:color w:val="auto"/>
          <w:sz w:val="24"/>
          <w:highlight w:val="none"/>
        </w:rPr>
        <w:t>中均有说明，</w:t>
      </w:r>
      <w:r>
        <w:rPr>
          <w:rFonts w:hint="eastAsia" w:ascii="楷体" w:hAnsi="楷体" w:eastAsia="楷体" w:cs="楷体"/>
          <w:color w:val="auto"/>
          <w:sz w:val="24"/>
          <w:highlight w:val="none"/>
          <w:lang w:eastAsia="zh-CN"/>
        </w:rPr>
        <w:t>招标文件</w:t>
      </w:r>
      <w:r>
        <w:rPr>
          <w:rFonts w:hint="eastAsia" w:ascii="楷体" w:hAnsi="楷体" w:eastAsia="楷体" w:cs="楷体"/>
          <w:color w:val="auto"/>
          <w:sz w:val="24"/>
          <w:highlight w:val="none"/>
        </w:rPr>
        <w:t>共六章，各章的内容如下：</w:t>
      </w:r>
    </w:p>
    <w:p w14:paraId="74B4B303">
      <w:pPr>
        <w:shd w:val="clear"/>
        <w:spacing w:line="360" w:lineRule="auto"/>
        <w:ind w:firstLine="480" w:firstLineChars="200"/>
        <w:jc w:val="left"/>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 xml:space="preserve">第一章  </w:t>
      </w:r>
      <w:r>
        <w:rPr>
          <w:rFonts w:hint="eastAsia" w:ascii="楷体" w:hAnsi="楷体" w:eastAsia="楷体" w:cs="楷体"/>
          <w:color w:val="auto"/>
          <w:sz w:val="24"/>
          <w:highlight w:val="none"/>
          <w:lang w:eastAsia="zh-CN"/>
        </w:rPr>
        <w:t>招标公告</w:t>
      </w:r>
    </w:p>
    <w:p w14:paraId="74348198">
      <w:pPr>
        <w:pStyle w:val="11"/>
        <w:shd w:val="clear"/>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 xml:space="preserve">    第二章  供应商须知</w:t>
      </w:r>
    </w:p>
    <w:p w14:paraId="649EBD5B">
      <w:pPr>
        <w:pStyle w:val="11"/>
        <w:shd w:val="clear"/>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 xml:space="preserve">    第三章  合同书样式及主要条款</w:t>
      </w:r>
    </w:p>
    <w:p w14:paraId="695D081D">
      <w:pPr>
        <w:pStyle w:val="11"/>
        <w:shd w:val="clear"/>
        <w:spacing w:line="360" w:lineRule="auto"/>
        <w:ind w:firstLine="480" w:firstLineChars="200"/>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第四章  投标文件格式</w:t>
      </w:r>
    </w:p>
    <w:p w14:paraId="633B0E5B">
      <w:pPr>
        <w:pStyle w:val="11"/>
        <w:shd w:val="clear"/>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 xml:space="preserve">    第五章  采购需求及技术要求</w:t>
      </w:r>
    </w:p>
    <w:p w14:paraId="18858702">
      <w:pPr>
        <w:pStyle w:val="11"/>
        <w:shd w:val="clear"/>
        <w:spacing w:line="360" w:lineRule="auto"/>
        <w:ind w:firstLine="480" w:firstLineChars="200"/>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第六章  评标方法</w:t>
      </w:r>
    </w:p>
    <w:p w14:paraId="3BA251E2">
      <w:pPr>
        <w:pStyle w:val="11"/>
        <w:shd w:val="clear"/>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9.对</w:t>
      </w:r>
      <w:r>
        <w:rPr>
          <w:rFonts w:hint="eastAsia" w:ascii="楷体" w:hAnsi="楷体" w:eastAsia="楷体" w:cs="楷体"/>
          <w:b/>
          <w:bCs/>
          <w:color w:val="auto"/>
          <w:sz w:val="24"/>
          <w:szCs w:val="24"/>
          <w:highlight w:val="none"/>
          <w:lang w:eastAsia="zh-CN"/>
        </w:rPr>
        <w:t>招标文件</w:t>
      </w:r>
      <w:r>
        <w:rPr>
          <w:rFonts w:hint="eastAsia" w:ascii="楷体" w:hAnsi="楷体" w:eastAsia="楷体" w:cs="楷体"/>
          <w:b/>
          <w:bCs/>
          <w:color w:val="auto"/>
          <w:sz w:val="24"/>
          <w:szCs w:val="24"/>
          <w:highlight w:val="none"/>
        </w:rPr>
        <w:t>提出澄清要求</w:t>
      </w:r>
    </w:p>
    <w:p w14:paraId="79B07726">
      <w:pPr>
        <w:pStyle w:val="11"/>
        <w:shd w:val="clear"/>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9.1</w:t>
      </w:r>
      <w:r>
        <w:rPr>
          <w:rFonts w:hint="eastAsia" w:ascii="楷体" w:hAnsi="楷体" w:eastAsia="楷体" w:cs="楷体"/>
          <w:color w:val="auto"/>
          <w:kern w:val="2"/>
          <w:sz w:val="24"/>
          <w:szCs w:val="24"/>
          <w:highlight w:val="none"/>
          <w:lang w:eastAsia="zh-CN"/>
        </w:rPr>
        <w:t>供应商</w:t>
      </w:r>
      <w:r>
        <w:rPr>
          <w:rFonts w:hint="eastAsia" w:ascii="楷体" w:hAnsi="楷体" w:eastAsia="楷体" w:cs="楷体"/>
          <w:color w:val="auto"/>
          <w:kern w:val="2"/>
          <w:sz w:val="24"/>
          <w:szCs w:val="24"/>
          <w:highlight w:val="none"/>
        </w:rPr>
        <w:t>应仔细阅读和检查招标文件的全部内容。如发现缺页或附件不全，应及时向采购人提出，以便补齐。如有疑问，应在</w:t>
      </w:r>
      <w:r>
        <w:rPr>
          <w:rFonts w:hint="eastAsia" w:ascii="楷体" w:hAnsi="楷体" w:eastAsia="楷体" w:cs="楷体"/>
          <w:color w:val="auto"/>
          <w:kern w:val="2"/>
          <w:sz w:val="24"/>
          <w:szCs w:val="24"/>
          <w:highlight w:val="none"/>
          <w:lang w:eastAsia="zh-CN"/>
        </w:rPr>
        <w:t>供应商</w:t>
      </w:r>
      <w:r>
        <w:rPr>
          <w:rFonts w:hint="eastAsia" w:ascii="楷体" w:hAnsi="楷体" w:eastAsia="楷体" w:cs="楷体"/>
          <w:color w:val="auto"/>
          <w:kern w:val="2"/>
          <w:sz w:val="24"/>
          <w:szCs w:val="24"/>
          <w:highlight w:val="none"/>
        </w:rPr>
        <w:t xml:space="preserve">须知前附表规定的时间前以在线不署名提交方式登录政采云平台https://www.zcygov.cn，要求采购人对招标文件予以澄清。 </w:t>
      </w:r>
    </w:p>
    <w:p w14:paraId="23D8B61B">
      <w:pPr>
        <w:pStyle w:val="11"/>
        <w:shd w:val="clear"/>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9.2招标澄清和补遗全部通过网络送达，请</w:t>
      </w:r>
      <w:r>
        <w:rPr>
          <w:rFonts w:hint="eastAsia" w:ascii="楷体" w:hAnsi="楷体" w:eastAsia="楷体" w:cs="楷体"/>
          <w:color w:val="auto"/>
          <w:kern w:val="2"/>
          <w:sz w:val="24"/>
          <w:szCs w:val="24"/>
          <w:highlight w:val="none"/>
          <w:lang w:eastAsia="zh-CN"/>
        </w:rPr>
        <w:t>供应商</w:t>
      </w:r>
      <w:r>
        <w:rPr>
          <w:rFonts w:hint="eastAsia" w:ascii="楷体" w:hAnsi="楷体" w:eastAsia="楷体" w:cs="楷体"/>
          <w:color w:val="auto"/>
          <w:kern w:val="2"/>
          <w:sz w:val="24"/>
          <w:szCs w:val="24"/>
          <w:highlight w:val="none"/>
        </w:rPr>
        <w:t>在开标截止日前，务必查询网站信息，</w:t>
      </w:r>
      <w:r>
        <w:rPr>
          <w:rFonts w:hint="eastAsia" w:ascii="楷体" w:hAnsi="楷体" w:eastAsia="楷体" w:cs="楷体"/>
          <w:color w:val="auto"/>
          <w:kern w:val="2"/>
          <w:sz w:val="24"/>
          <w:szCs w:val="24"/>
          <w:highlight w:val="none"/>
          <w:lang w:eastAsia="zh-CN"/>
        </w:rPr>
        <w:t>供应商</w:t>
      </w:r>
      <w:r>
        <w:rPr>
          <w:rFonts w:hint="eastAsia" w:ascii="楷体" w:hAnsi="楷体" w:eastAsia="楷体" w:cs="楷体"/>
          <w:color w:val="auto"/>
          <w:kern w:val="2"/>
          <w:sz w:val="24"/>
          <w:szCs w:val="24"/>
          <w:highlight w:val="none"/>
        </w:rPr>
        <w:t>自行登录政采云平台https://www.zcygov.cn获取澄清，无须回复确认已收到该澄清。</w:t>
      </w:r>
    </w:p>
    <w:p w14:paraId="356144E4">
      <w:pPr>
        <w:pStyle w:val="11"/>
        <w:shd w:val="clear"/>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10.</w:t>
      </w:r>
      <w:r>
        <w:rPr>
          <w:rFonts w:hint="eastAsia" w:ascii="楷体" w:hAnsi="楷体" w:eastAsia="楷体" w:cs="楷体"/>
          <w:b/>
          <w:bCs/>
          <w:color w:val="auto"/>
          <w:sz w:val="24"/>
          <w:szCs w:val="24"/>
          <w:highlight w:val="none"/>
          <w:lang w:eastAsia="zh-CN"/>
        </w:rPr>
        <w:t>招标文件</w:t>
      </w:r>
      <w:r>
        <w:rPr>
          <w:rFonts w:hint="eastAsia" w:ascii="楷体" w:hAnsi="楷体" w:eastAsia="楷体" w:cs="楷体"/>
          <w:b/>
          <w:bCs/>
          <w:color w:val="auto"/>
          <w:sz w:val="24"/>
          <w:szCs w:val="24"/>
          <w:highlight w:val="none"/>
        </w:rPr>
        <w:t>的澄清或者修改</w:t>
      </w:r>
    </w:p>
    <w:p w14:paraId="66987897">
      <w:pPr>
        <w:pStyle w:val="11"/>
        <w:shd w:val="clear"/>
        <w:spacing w:line="360" w:lineRule="auto"/>
        <w:rPr>
          <w:rFonts w:hint="eastAsia" w:ascii="楷体" w:hAnsi="楷体" w:eastAsia="楷体" w:cs="楷体"/>
          <w:color w:val="auto"/>
          <w:kern w:val="2"/>
          <w:sz w:val="24"/>
          <w:szCs w:val="24"/>
          <w:highlight w:val="none"/>
        </w:rPr>
      </w:pPr>
      <w:bookmarkStart w:id="44" w:name="_Toc15098"/>
      <w:bookmarkStart w:id="45" w:name="_Toc373252448"/>
      <w:bookmarkStart w:id="46" w:name="_Toc22813247"/>
      <w:bookmarkStart w:id="47" w:name="_Toc509407322"/>
      <w:r>
        <w:rPr>
          <w:rFonts w:hint="eastAsia" w:ascii="楷体" w:hAnsi="楷体" w:eastAsia="楷体" w:cs="楷体"/>
          <w:color w:val="auto"/>
          <w:kern w:val="2"/>
          <w:sz w:val="24"/>
          <w:szCs w:val="24"/>
          <w:highlight w:val="none"/>
          <w:lang w:val="en-US" w:eastAsia="zh-CN"/>
        </w:rPr>
        <w:t>10</w:t>
      </w:r>
      <w:r>
        <w:rPr>
          <w:rFonts w:hint="eastAsia" w:ascii="楷体" w:hAnsi="楷体" w:eastAsia="楷体" w:cs="楷体"/>
          <w:color w:val="auto"/>
          <w:kern w:val="2"/>
          <w:sz w:val="24"/>
          <w:szCs w:val="24"/>
          <w:highlight w:val="none"/>
        </w:rPr>
        <w:t>.1 在投标截止时间15天前，确需要变更招标文件内容的，采购人可主动或在解答</w:t>
      </w:r>
      <w:r>
        <w:rPr>
          <w:rFonts w:hint="eastAsia" w:ascii="楷体" w:hAnsi="楷体" w:eastAsia="楷体" w:cs="楷体"/>
          <w:color w:val="auto"/>
          <w:kern w:val="2"/>
          <w:sz w:val="24"/>
          <w:szCs w:val="24"/>
          <w:highlight w:val="none"/>
          <w:lang w:eastAsia="zh-CN"/>
        </w:rPr>
        <w:t>供应商</w:t>
      </w:r>
      <w:r>
        <w:rPr>
          <w:rFonts w:hint="eastAsia" w:ascii="楷体" w:hAnsi="楷体" w:eastAsia="楷体" w:cs="楷体"/>
          <w:color w:val="auto"/>
          <w:kern w:val="2"/>
          <w:sz w:val="24"/>
          <w:szCs w:val="24"/>
          <w:highlight w:val="none"/>
        </w:rPr>
        <w:t>提出的澄清问题时对招标文件进行修改，并同时报主管部门备案。无论对评标办法、评审项目等重要评审内容作何种变更，都要重新制作技术标电子招标文件，并重新备案，同时发布补遗文件进行说明以保证各</w:t>
      </w:r>
      <w:r>
        <w:rPr>
          <w:rFonts w:hint="eastAsia" w:ascii="楷体" w:hAnsi="楷体" w:eastAsia="楷体" w:cs="楷体"/>
          <w:color w:val="auto"/>
          <w:kern w:val="2"/>
          <w:sz w:val="24"/>
          <w:szCs w:val="24"/>
          <w:highlight w:val="none"/>
          <w:lang w:eastAsia="zh-CN"/>
        </w:rPr>
        <w:t>供应商</w:t>
      </w:r>
      <w:r>
        <w:rPr>
          <w:rFonts w:hint="eastAsia" w:ascii="楷体" w:hAnsi="楷体" w:eastAsia="楷体" w:cs="楷体"/>
          <w:color w:val="auto"/>
          <w:kern w:val="2"/>
          <w:sz w:val="24"/>
          <w:szCs w:val="24"/>
          <w:highlight w:val="none"/>
        </w:rPr>
        <w:t>都能重新下载最新的电子招标文件用于编制电子投标文件。招标文件的修改将在“云南省政采购网、政采云平台https://www.zcygov.cn”发布，招标文件的修改作为招标文件的组成部分，并具有约束力。</w:t>
      </w:r>
    </w:p>
    <w:p w14:paraId="5FE4B0EF">
      <w:pPr>
        <w:pStyle w:val="11"/>
        <w:shd w:val="clear"/>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10</w:t>
      </w:r>
      <w:r>
        <w:rPr>
          <w:rFonts w:hint="eastAsia" w:ascii="楷体" w:hAnsi="楷体" w:eastAsia="楷体" w:cs="楷体"/>
          <w:color w:val="auto"/>
          <w:kern w:val="2"/>
          <w:sz w:val="24"/>
          <w:szCs w:val="24"/>
          <w:highlight w:val="none"/>
        </w:rPr>
        <w:t xml:space="preserve">.2 </w:t>
      </w:r>
      <w:r>
        <w:rPr>
          <w:rFonts w:hint="eastAsia" w:ascii="楷体" w:hAnsi="楷体" w:eastAsia="楷体" w:cs="楷体"/>
          <w:color w:val="auto"/>
          <w:kern w:val="2"/>
          <w:sz w:val="24"/>
          <w:szCs w:val="24"/>
          <w:highlight w:val="none"/>
          <w:lang w:eastAsia="zh-CN"/>
        </w:rPr>
        <w:t>供应商</w:t>
      </w:r>
      <w:r>
        <w:rPr>
          <w:rFonts w:hint="eastAsia" w:ascii="楷体" w:hAnsi="楷体" w:eastAsia="楷体" w:cs="楷体"/>
          <w:color w:val="auto"/>
          <w:kern w:val="2"/>
          <w:sz w:val="24"/>
          <w:szCs w:val="24"/>
          <w:highlight w:val="none"/>
        </w:rPr>
        <w:t>自行登录政采云平台https://www.zcygov.cn收取修改内容，无须回复确认已收到该修改。</w:t>
      </w:r>
      <w:r>
        <w:rPr>
          <w:rFonts w:hint="eastAsia" w:ascii="楷体" w:hAnsi="楷体" w:eastAsia="楷体" w:cs="楷体"/>
          <w:color w:val="auto"/>
          <w:kern w:val="2"/>
          <w:sz w:val="24"/>
          <w:szCs w:val="24"/>
          <w:highlight w:val="none"/>
          <w:lang w:eastAsia="zh-CN"/>
        </w:rPr>
        <w:t>供应商</w:t>
      </w:r>
      <w:r>
        <w:rPr>
          <w:rFonts w:hint="eastAsia" w:ascii="楷体" w:hAnsi="楷体" w:eastAsia="楷体" w:cs="楷体"/>
          <w:color w:val="auto"/>
          <w:kern w:val="2"/>
          <w:sz w:val="24"/>
          <w:szCs w:val="24"/>
          <w:highlight w:val="none"/>
        </w:rPr>
        <w:t>应在截标时间前随时查看“政采云平台https://www.zcygov.cn”中有关该项目招标文件的答疑、补遗内容。否则，由此引起的投标损失自负。</w:t>
      </w:r>
    </w:p>
    <w:p w14:paraId="55204054">
      <w:pPr>
        <w:pStyle w:val="11"/>
        <w:shd w:val="clear"/>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10</w:t>
      </w:r>
      <w:r>
        <w:rPr>
          <w:rFonts w:hint="eastAsia" w:ascii="楷体" w:hAnsi="楷体" w:eastAsia="楷体" w:cs="楷体"/>
          <w:color w:val="auto"/>
          <w:kern w:val="2"/>
          <w:sz w:val="24"/>
          <w:szCs w:val="24"/>
          <w:highlight w:val="none"/>
        </w:rPr>
        <w:t>.3 招标文件、招标文件澄清、招标文件修改文件内容均以网上发布的为准，当招标文件、 招标文件澄清、招标文件修改文件内容相互矛盾时，以最后发出的为准。</w:t>
      </w:r>
    </w:p>
    <w:p w14:paraId="47AFC6A4">
      <w:pPr>
        <w:shd w:val="clear"/>
        <w:rPr>
          <w:rFonts w:hint="eastAsia" w:ascii="楷体" w:hAnsi="楷体" w:eastAsia="楷体" w:cs="楷体"/>
          <w:color w:val="auto"/>
          <w:highlight w:val="none"/>
        </w:rPr>
      </w:pPr>
    </w:p>
    <w:p w14:paraId="3FE14A75">
      <w:pPr>
        <w:pStyle w:val="5"/>
        <w:numPr>
          <w:ilvl w:val="1"/>
          <w:numId w:val="0"/>
        </w:numPr>
        <w:shd w:val="clear"/>
        <w:spacing w:before="0" w:after="120" w:afterLines="50"/>
        <w:jc w:val="center"/>
        <w:rPr>
          <w:rFonts w:hint="eastAsia" w:ascii="楷体" w:hAnsi="楷体" w:eastAsia="楷体" w:cs="楷体"/>
          <w:b w:val="0"/>
          <w:color w:val="auto"/>
          <w:sz w:val="32"/>
          <w:szCs w:val="32"/>
          <w:highlight w:val="none"/>
          <w:lang w:eastAsia="zh-CN"/>
        </w:rPr>
      </w:pPr>
      <w:bookmarkStart w:id="48" w:name="_Toc17941"/>
      <w:bookmarkStart w:id="49" w:name="_Toc18282"/>
      <w:bookmarkStart w:id="50" w:name="_Toc28646"/>
      <w:r>
        <w:rPr>
          <w:rFonts w:hint="eastAsia" w:ascii="楷体" w:hAnsi="楷体" w:eastAsia="楷体" w:cs="楷体"/>
          <w:b w:val="0"/>
          <w:color w:val="auto"/>
          <w:sz w:val="32"/>
          <w:szCs w:val="32"/>
          <w:highlight w:val="none"/>
          <w:lang w:eastAsia="zh-CN"/>
        </w:rPr>
        <w:t>三、投标文件</w:t>
      </w:r>
      <w:bookmarkEnd w:id="44"/>
      <w:bookmarkEnd w:id="45"/>
      <w:bookmarkEnd w:id="46"/>
      <w:bookmarkEnd w:id="47"/>
      <w:bookmarkEnd w:id="48"/>
      <w:bookmarkEnd w:id="49"/>
      <w:bookmarkEnd w:id="50"/>
    </w:p>
    <w:p w14:paraId="3F807050">
      <w:pPr>
        <w:shd w:val="clear"/>
        <w:spacing w:line="360" w:lineRule="auto"/>
        <w:jc w:val="left"/>
        <w:rPr>
          <w:rFonts w:hint="eastAsia" w:ascii="楷体" w:hAnsi="楷体" w:eastAsia="楷体" w:cs="楷体"/>
          <w:b/>
          <w:color w:val="auto"/>
          <w:sz w:val="24"/>
          <w:highlight w:val="none"/>
        </w:rPr>
      </w:pPr>
      <w:r>
        <w:rPr>
          <w:rFonts w:hint="eastAsia" w:ascii="楷体" w:hAnsi="楷体" w:eastAsia="楷体" w:cs="楷体"/>
          <w:b/>
          <w:color w:val="auto"/>
          <w:sz w:val="24"/>
          <w:highlight w:val="none"/>
        </w:rPr>
        <w:t>11.投标文件编写注意事项</w:t>
      </w:r>
    </w:p>
    <w:p w14:paraId="4CB44A87">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11.1供应商应仔细阅读</w:t>
      </w:r>
      <w:r>
        <w:rPr>
          <w:rFonts w:hint="eastAsia" w:ascii="楷体" w:hAnsi="楷体" w:eastAsia="楷体" w:cs="楷体"/>
          <w:color w:val="auto"/>
          <w:sz w:val="24"/>
          <w:highlight w:val="none"/>
          <w:lang w:eastAsia="zh-CN"/>
        </w:rPr>
        <w:t>招标文件</w:t>
      </w:r>
      <w:r>
        <w:rPr>
          <w:rFonts w:hint="eastAsia" w:ascii="楷体" w:hAnsi="楷体" w:eastAsia="楷体" w:cs="楷体"/>
          <w:color w:val="auto"/>
          <w:sz w:val="24"/>
          <w:highlight w:val="none"/>
        </w:rPr>
        <w:t>，在完全了解采购的内容、技术性能要求(详见“</w:t>
      </w:r>
      <w:r>
        <w:rPr>
          <w:rFonts w:hint="eastAsia" w:ascii="楷体" w:hAnsi="楷体" w:eastAsia="楷体" w:cs="楷体"/>
          <w:b/>
          <w:color w:val="auto"/>
          <w:sz w:val="24"/>
          <w:highlight w:val="none"/>
        </w:rPr>
        <w:t>采购需求及技术要求”</w:t>
      </w:r>
      <w:r>
        <w:rPr>
          <w:rFonts w:hint="eastAsia" w:ascii="楷体" w:hAnsi="楷体" w:eastAsia="楷体" w:cs="楷体"/>
          <w:color w:val="auto"/>
          <w:sz w:val="24"/>
          <w:highlight w:val="none"/>
        </w:rPr>
        <w:t>)和商务条件后，编写投标文件。</w:t>
      </w:r>
      <w:r>
        <w:rPr>
          <w:rFonts w:hint="eastAsia" w:ascii="楷体" w:hAnsi="楷体" w:eastAsia="楷体" w:cs="楷体"/>
          <w:color w:val="auto"/>
          <w:sz w:val="24"/>
          <w:highlight w:val="none"/>
          <w:u w:val="single"/>
        </w:rPr>
        <w:t>投标文件必须响应</w:t>
      </w:r>
      <w:r>
        <w:rPr>
          <w:rFonts w:hint="eastAsia" w:ascii="楷体" w:hAnsi="楷体" w:eastAsia="楷体" w:cs="楷体"/>
          <w:color w:val="auto"/>
          <w:sz w:val="24"/>
          <w:highlight w:val="none"/>
          <w:u w:val="single"/>
          <w:lang w:eastAsia="zh-CN"/>
        </w:rPr>
        <w:t>招标文件</w:t>
      </w:r>
      <w:r>
        <w:rPr>
          <w:rFonts w:hint="eastAsia" w:ascii="楷体" w:hAnsi="楷体" w:eastAsia="楷体" w:cs="楷体"/>
          <w:color w:val="auto"/>
          <w:sz w:val="24"/>
          <w:highlight w:val="none"/>
          <w:u w:val="single"/>
        </w:rPr>
        <w:t>的实质性要求和条件，不满足任何一条将导致投标无效</w:t>
      </w:r>
      <w:r>
        <w:rPr>
          <w:rFonts w:hint="eastAsia" w:ascii="楷体" w:hAnsi="楷体" w:eastAsia="楷体" w:cs="楷体"/>
          <w:color w:val="auto"/>
          <w:sz w:val="24"/>
          <w:highlight w:val="none"/>
        </w:rPr>
        <w:t>。</w:t>
      </w:r>
    </w:p>
    <w:p w14:paraId="1B6BFD6D">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11.2 对</w:t>
      </w:r>
      <w:r>
        <w:rPr>
          <w:rFonts w:hint="eastAsia" w:ascii="楷体" w:hAnsi="楷体" w:eastAsia="楷体" w:cs="楷体"/>
          <w:color w:val="auto"/>
          <w:sz w:val="24"/>
          <w:highlight w:val="none"/>
          <w:lang w:eastAsia="zh-CN"/>
        </w:rPr>
        <w:t>招标文件</w:t>
      </w:r>
      <w:r>
        <w:rPr>
          <w:rFonts w:hint="eastAsia" w:ascii="楷体" w:hAnsi="楷体" w:eastAsia="楷体" w:cs="楷体"/>
          <w:color w:val="auto"/>
          <w:sz w:val="24"/>
          <w:highlight w:val="none"/>
        </w:rPr>
        <w:t>提出的实质性要求和条件作出响应是指：供应商必须对</w:t>
      </w:r>
      <w:r>
        <w:rPr>
          <w:rFonts w:hint="eastAsia" w:ascii="楷体" w:hAnsi="楷体" w:eastAsia="楷体" w:cs="楷体"/>
          <w:color w:val="auto"/>
          <w:sz w:val="24"/>
          <w:highlight w:val="none"/>
          <w:lang w:eastAsia="zh-CN"/>
        </w:rPr>
        <w:t>招标文件</w:t>
      </w:r>
      <w:r>
        <w:rPr>
          <w:rFonts w:hint="eastAsia" w:ascii="楷体" w:hAnsi="楷体" w:eastAsia="楷体" w:cs="楷体"/>
          <w:color w:val="auto"/>
          <w:sz w:val="24"/>
          <w:highlight w:val="none"/>
        </w:rPr>
        <w:t>中的实质性要求和条件的内容作出满足或者优于原要求和条件的承诺，并提供相应的证明材料。</w:t>
      </w:r>
    </w:p>
    <w:p w14:paraId="57F9B08F">
      <w:pPr>
        <w:shd w:val="clear"/>
        <w:spacing w:line="360" w:lineRule="auto"/>
        <w:jc w:val="left"/>
        <w:rPr>
          <w:rFonts w:hint="eastAsia" w:ascii="楷体" w:hAnsi="楷体" w:eastAsia="楷体" w:cs="楷体"/>
          <w:b/>
          <w:color w:val="auto"/>
          <w:sz w:val="24"/>
          <w:highlight w:val="none"/>
        </w:rPr>
      </w:pPr>
      <w:r>
        <w:rPr>
          <w:rFonts w:hint="eastAsia" w:ascii="楷体" w:hAnsi="楷体" w:eastAsia="楷体" w:cs="楷体"/>
          <w:b/>
          <w:color w:val="auto"/>
          <w:sz w:val="24"/>
          <w:highlight w:val="none"/>
        </w:rPr>
        <w:t>12.投标的语言及计量单位</w:t>
      </w:r>
    </w:p>
    <w:p w14:paraId="3E578645">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12.1供应商的投标文件以及供应商与采购代理机构就有关投标的所有来往函电统一使用中文（特别规定除外）。</w:t>
      </w:r>
    </w:p>
    <w:p w14:paraId="412173F1">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12.2投标文件中使用的计量单位除</w:t>
      </w:r>
      <w:r>
        <w:rPr>
          <w:rFonts w:hint="eastAsia" w:ascii="楷体" w:hAnsi="楷体" w:eastAsia="楷体" w:cs="楷体"/>
          <w:color w:val="auto"/>
          <w:sz w:val="24"/>
          <w:highlight w:val="none"/>
          <w:lang w:eastAsia="zh-CN"/>
        </w:rPr>
        <w:t>招标文件</w:t>
      </w:r>
      <w:r>
        <w:rPr>
          <w:rFonts w:hint="eastAsia" w:ascii="楷体" w:hAnsi="楷体" w:eastAsia="楷体" w:cs="楷体"/>
          <w:color w:val="auto"/>
          <w:sz w:val="24"/>
          <w:highlight w:val="none"/>
        </w:rPr>
        <w:t>中有特殊规定外，一律使用中国法定计量单位。</w:t>
      </w:r>
    </w:p>
    <w:p w14:paraId="200972F4">
      <w:pPr>
        <w:shd w:val="clear"/>
        <w:spacing w:line="360" w:lineRule="auto"/>
        <w:jc w:val="left"/>
        <w:rPr>
          <w:rFonts w:hint="eastAsia" w:ascii="楷体" w:hAnsi="楷体" w:eastAsia="楷体" w:cs="楷体"/>
          <w:b/>
          <w:color w:val="auto"/>
          <w:sz w:val="24"/>
          <w:highlight w:val="none"/>
        </w:rPr>
      </w:pPr>
      <w:r>
        <w:rPr>
          <w:rFonts w:hint="eastAsia" w:ascii="楷体" w:hAnsi="楷体" w:eastAsia="楷体" w:cs="楷体"/>
          <w:b/>
          <w:color w:val="auto"/>
          <w:sz w:val="24"/>
          <w:highlight w:val="none"/>
        </w:rPr>
        <w:t>13.投标文件构成</w:t>
      </w:r>
    </w:p>
    <w:p w14:paraId="68BE3A1F">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供应商编写的投标文件按第四章</w:t>
      </w:r>
      <w:r>
        <w:rPr>
          <w:rFonts w:hint="eastAsia" w:ascii="楷体" w:hAnsi="楷体" w:eastAsia="楷体" w:cs="楷体"/>
          <w:b/>
          <w:color w:val="auto"/>
          <w:kern w:val="0"/>
          <w:sz w:val="24"/>
          <w:highlight w:val="none"/>
        </w:rPr>
        <w:t>“投标文件格式”</w:t>
      </w:r>
      <w:r>
        <w:rPr>
          <w:rFonts w:hint="eastAsia" w:ascii="楷体" w:hAnsi="楷体" w:eastAsia="楷体" w:cs="楷体"/>
          <w:color w:val="auto"/>
          <w:sz w:val="24"/>
          <w:highlight w:val="none"/>
        </w:rPr>
        <w:t>要求填写。</w:t>
      </w:r>
    </w:p>
    <w:p w14:paraId="6313A5CD">
      <w:pPr>
        <w:shd w:val="clear"/>
        <w:spacing w:line="360" w:lineRule="auto"/>
        <w:jc w:val="left"/>
        <w:rPr>
          <w:rFonts w:hint="eastAsia" w:ascii="楷体" w:hAnsi="楷体" w:eastAsia="楷体" w:cs="楷体"/>
          <w:b/>
          <w:color w:val="auto"/>
          <w:sz w:val="24"/>
          <w:highlight w:val="none"/>
        </w:rPr>
      </w:pPr>
      <w:r>
        <w:rPr>
          <w:rFonts w:hint="eastAsia" w:ascii="楷体" w:hAnsi="楷体" w:eastAsia="楷体" w:cs="楷体"/>
          <w:b/>
          <w:color w:val="auto"/>
          <w:sz w:val="24"/>
          <w:highlight w:val="none"/>
        </w:rPr>
        <w:t>14.投标文件的格式要求</w:t>
      </w:r>
    </w:p>
    <w:p w14:paraId="3DE9CFCD">
      <w:pPr>
        <w:pStyle w:val="11"/>
        <w:shd w:val="clear"/>
        <w:tabs>
          <w:tab w:val="left" w:pos="3030"/>
        </w:tabs>
        <w:spacing w:line="360" w:lineRule="auto"/>
        <w:ind w:firstLine="480" w:firstLineChars="200"/>
        <w:rPr>
          <w:rFonts w:hint="eastAsia" w:ascii="楷体" w:hAnsi="楷体" w:eastAsia="楷体" w:cs="楷体"/>
          <w:bCs/>
          <w:color w:val="auto"/>
          <w:sz w:val="24"/>
          <w:szCs w:val="24"/>
          <w:highlight w:val="none"/>
        </w:rPr>
      </w:pPr>
      <w:r>
        <w:rPr>
          <w:rFonts w:hint="eastAsia" w:ascii="楷体" w:hAnsi="楷体" w:eastAsia="楷体" w:cs="楷体"/>
          <w:color w:val="auto"/>
          <w:sz w:val="24"/>
          <w:szCs w:val="24"/>
          <w:highlight w:val="none"/>
        </w:rPr>
        <w:t>供应商应按第四章</w:t>
      </w:r>
      <w:r>
        <w:rPr>
          <w:rFonts w:hint="eastAsia" w:ascii="楷体" w:hAnsi="楷体" w:eastAsia="楷体" w:cs="楷体"/>
          <w:b/>
          <w:bCs/>
          <w:color w:val="auto"/>
          <w:sz w:val="24"/>
          <w:szCs w:val="24"/>
          <w:highlight w:val="none"/>
        </w:rPr>
        <w:t>“投标文件格式”</w:t>
      </w:r>
      <w:r>
        <w:rPr>
          <w:rFonts w:hint="eastAsia" w:ascii="楷体" w:hAnsi="楷体" w:eastAsia="楷体" w:cs="楷体"/>
          <w:color w:val="auto"/>
          <w:sz w:val="24"/>
          <w:szCs w:val="24"/>
          <w:highlight w:val="none"/>
        </w:rPr>
        <w:t>提供的格式完整地填写。</w:t>
      </w:r>
    </w:p>
    <w:p w14:paraId="5639F6F2">
      <w:pPr>
        <w:keepNext w:val="0"/>
        <w:keepLines w:val="0"/>
        <w:pageBreakBefore w:val="0"/>
        <w:widowControl w:val="0"/>
        <w:shd w:val="clear"/>
        <w:kinsoku/>
        <w:wordWrap/>
        <w:overflowPunct/>
        <w:topLinePunct w:val="0"/>
        <w:autoSpaceDE/>
        <w:autoSpaceDN/>
        <w:bidi w:val="0"/>
        <w:adjustRightInd/>
        <w:snapToGrid/>
        <w:spacing w:line="400" w:lineRule="exact"/>
        <w:jc w:val="left"/>
        <w:textAlignment w:val="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15.投标报价</w:t>
      </w:r>
    </w:p>
    <w:p w14:paraId="7CC620FB">
      <w:pPr>
        <w:keepNext w:val="0"/>
        <w:keepLines w:val="0"/>
        <w:pageBreakBefore w:val="0"/>
        <w:widowControl w:val="0"/>
        <w:shd w:val="clear"/>
        <w:kinsoku/>
        <w:wordWrap/>
        <w:overflowPunct/>
        <w:topLinePunct w:val="0"/>
        <w:autoSpaceDE/>
        <w:autoSpaceDN/>
        <w:bidi w:val="0"/>
        <w:adjustRightInd/>
        <w:snapToGrid/>
        <w:spacing w:line="400" w:lineRule="exact"/>
        <w:jc w:val="left"/>
        <w:textAlignment w:val="auto"/>
        <w:rPr>
          <w:rFonts w:hint="eastAsia" w:ascii="楷体" w:hAnsi="楷体" w:eastAsia="楷体" w:cs="楷体"/>
          <w:b/>
          <w:color w:val="auto"/>
          <w:sz w:val="24"/>
          <w:highlight w:val="none"/>
        </w:rPr>
      </w:pPr>
      <w:r>
        <w:rPr>
          <w:rFonts w:hint="eastAsia" w:ascii="楷体" w:hAnsi="楷体" w:eastAsia="楷体" w:cs="楷体"/>
          <w:bCs/>
          <w:color w:val="auto"/>
          <w:sz w:val="24"/>
          <w:highlight w:val="none"/>
        </w:rPr>
        <w:t>15.1</w:t>
      </w:r>
      <w:r>
        <w:rPr>
          <w:rFonts w:hint="eastAsia" w:ascii="楷体" w:hAnsi="楷体" w:eastAsia="楷体" w:cs="楷体"/>
          <w:b/>
          <w:color w:val="auto"/>
          <w:sz w:val="24"/>
          <w:highlight w:val="none"/>
        </w:rPr>
        <w:t>供应商须就“采购需求及技术要求”中的所投货物内容作完整唯一报价。</w:t>
      </w:r>
    </w:p>
    <w:p w14:paraId="2D1F899F">
      <w:pPr>
        <w:keepNext w:val="0"/>
        <w:keepLines w:val="0"/>
        <w:pageBreakBefore w:val="0"/>
        <w:widowControl w:val="0"/>
        <w:shd w:val="clear"/>
        <w:kinsoku/>
        <w:wordWrap/>
        <w:overflowPunct/>
        <w:topLinePunct w:val="0"/>
        <w:autoSpaceDE/>
        <w:autoSpaceDN/>
        <w:bidi w:val="0"/>
        <w:adjustRightInd/>
        <w:snapToGrid/>
        <w:spacing w:line="400" w:lineRule="exact"/>
        <w:jc w:val="left"/>
        <w:textAlignment w:val="auto"/>
        <w:rPr>
          <w:rFonts w:hint="eastAsia" w:ascii="楷体" w:hAnsi="楷体" w:eastAsia="楷体" w:cs="楷体"/>
          <w:color w:val="auto"/>
          <w:sz w:val="24"/>
          <w:highlight w:val="none"/>
        </w:rPr>
      </w:pPr>
      <w:r>
        <w:rPr>
          <w:rFonts w:hint="eastAsia" w:ascii="楷体" w:hAnsi="楷体" w:eastAsia="楷体" w:cs="楷体"/>
          <w:color w:val="auto"/>
          <w:sz w:val="24"/>
          <w:highlight w:val="none"/>
        </w:rPr>
        <w:t>15.2供应商的投标报价应依据</w:t>
      </w:r>
      <w:r>
        <w:rPr>
          <w:rFonts w:hint="eastAsia" w:ascii="楷体" w:hAnsi="楷体" w:eastAsia="楷体" w:cs="楷体"/>
          <w:color w:val="auto"/>
          <w:sz w:val="24"/>
          <w:highlight w:val="none"/>
          <w:lang w:eastAsia="zh-CN"/>
        </w:rPr>
        <w:t>招标文件</w:t>
      </w:r>
      <w:r>
        <w:rPr>
          <w:rFonts w:hint="eastAsia" w:ascii="楷体" w:hAnsi="楷体" w:eastAsia="楷体" w:cs="楷体"/>
          <w:color w:val="auto"/>
          <w:sz w:val="24"/>
          <w:highlight w:val="none"/>
        </w:rPr>
        <w:t>的要求及有关资料，执行国家规定的现行技术、经济标准、定额及规范，由供应商自行测算出现行市场的各类价格。投标报价应包括提供本项目所需的货物的设计、制造、材料采购、运输交货、安装调试、技术服务、质保期内缺陷的修复补救、市场价格的变化、利润、税金以及系统开发、技术支持、售后服务、人员培训费用、税金等所有与实施项目相关所需费用的总和。该报价应符合国内行情并能保证供应商完成履行合同所需的一切工作。合同一旦签订，此合同价格在合同实施期间将不因市场价格的变化而调整。</w:t>
      </w:r>
    </w:p>
    <w:p w14:paraId="3BB4E48D">
      <w:pPr>
        <w:keepNext w:val="0"/>
        <w:keepLines w:val="0"/>
        <w:pageBreakBefore w:val="0"/>
        <w:widowControl w:val="0"/>
        <w:shd w:val="clear"/>
        <w:kinsoku/>
        <w:wordWrap/>
        <w:overflowPunct/>
        <w:topLinePunct w:val="0"/>
        <w:autoSpaceDE/>
        <w:autoSpaceDN/>
        <w:bidi w:val="0"/>
        <w:adjustRightInd/>
        <w:snapToGrid/>
        <w:spacing w:line="400" w:lineRule="exact"/>
        <w:jc w:val="left"/>
        <w:textAlignment w:val="auto"/>
        <w:rPr>
          <w:rFonts w:hint="eastAsia" w:ascii="楷体" w:hAnsi="楷体" w:eastAsia="楷体" w:cs="楷体"/>
          <w:color w:val="auto"/>
          <w:sz w:val="24"/>
          <w:highlight w:val="none"/>
        </w:rPr>
      </w:pPr>
      <w:r>
        <w:rPr>
          <w:rFonts w:hint="eastAsia" w:ascii="楷体" w:hAnsi="楷体" w:eastAsia="楷体" w:cs="楷体"/>
          <w:color w:val="auto"/>
          <w:sz w:val="24"/>
          <w:highlight w:val="none"/>
        </w:rPr>
        <w:t>15.3供应商不得哄抬报价，也不应低于成本价（或进价）报价。</w:t>
      </w:r>
    </w:p>
    <w:p w14:paraId="18302E6C">
      <w:pPr>
        <w:keepNext w:val="0"/>
        <w:keepLines w:val="0"/>
        <w:pageBreakBefore w:val="0"/>
        <w:widowControl w:val="0"/>
        <w:shd w:val="clear"/>
        <w:kinsoku/>
        <w:wordWrap/>
        <w:overflowPunct/>
        <w:topLinePunct w:val="0"/>
        <w:autoSpaceDE/>
        <w:autoSpaceDN/>
        <w:bidi w:val="0"/>
        <w:adjustRightInd/>
        <w:snapToGrid/>
        <w:spacing w:line="400" w:lineRule="exact"/>
        <w:jc w:val="left"/>
        <w:textAlignment w:val="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15.4供应商应对“第五章 </w:t>
      </w:r>
      <w:r>
        <w:rPr>
          <w:rFonts w:hint="eastAsia" w:ascii="楷体" w:hAnsi="楷体" w:eastAsia="楷体" w:cs="楷体"/>
          <w:b/>
          <w:color w:val="auto"/>
          <w:sz w:val="24"/>
          <w:highlight w:val="none"/>
        </w:rPr>
        <w:t>采购需求及技术要求</w:t>
      </w:r>
      <w:r>
        <w:rPr>
          <w:rFonts w:hint="eastAsia" w:ascii="楷体" w:hAnsi="楷体" w:eastAsia="楷体" w:cs="楷体"/>
          <w:color w:val="auto"/>
          <w:sz w:val="24"/>
          <w:highlight w:val="none"/>
        </w:rPr>
        <w:t>”中的采购内容作完整唯一报价，即对“第五章 采购需求及技术要求”中的所有项目内容进行整体投标，不得缺项漏项，否则作废标处理。</w:t>
      </w:r>
    </w:p>
    <w:p w14:paraId="1025FB09">
      <w:pPr>
        <w:shd w:val="clear"/>
        <w:spacing w:line="360" w:lineRule="auto"/>
        <w:jc w:val="left"/>
        <w:rPr>
          <w:rFonts w:hint="eastAsia" w:ascii="楷体" w:hAnsi="楷体" w:eastAsia="楷体" w:cs="楷体"/>
          <w:b/>
          <w:color w:val="auto"/>
          <w:sz w:val="24"/>
          <w:highlight w:val="none"/>
        </w:rPr>
      </w:pPr>
      <w:r>
        <w:rPr>
          <w:rFonts w:hint="eastAsia" w:ascii="楷体" w:hAnsi="楷体" w:eastAsia="楷体" w:cs="楷体"/>
          <w:b/>
          <w:color w:val="auto"/>
          <w:sz w:val="24"/>
          <w:highlight w:val="none"/>
        </w:rPr>
        <w:t>16.投标货币</w:t>
      </w:r>
    </w:p>
    <w:p w14:paraId="7C8FA206">
      <w:pPr>
        <w:pStyle w:val="11"/>
        <w:shd w:val="clear"/>
        <w:spacing w:line="360" w:lineRule="auto"/>
        <w:ind w:firstLine="482" w:firstLineChars="200"/>
        <w:rPr>
          <w:rFonts w:hint="eastAsia" w:ascii="楷体" w:hAnsi="楷体" w:eastAsia="楷体" w:cs="楷体"/>
          <w:color w:val="auto"/>
          <w:highlight w:val="none"/>
        </w:rPr>
      </w:pPr>
      <w:r>
        <w:rPr>
          <w:rFonts w:hint="eastAsia" w:ascii="楷体" w:hAnsi="楷体" w:eastAsia="楷体" w:cs="楷体"/>
          <w:b/>
          <w:bCs/>
          <w:color w:val="auto"/>
          <w:sz w:val="24"/>
          <w:szCs w:val="24"/>
          <w:highlight w:val="none"/>
        </w:rPr>
        <w:t>投标</w:t>
      </w:r>
      <w:r>
        <w:rPr>
          <w:rFonts w:hint="eastAsia" w:ascii="楷体" w:hAnsi="楷体" w:eastAsia="楷体" w:cs="楷体"/>
          <w:b/>
          <w:bCs/>
          <w:color w:val="auto"/>
          <w:sz w:val="24"/>
          <w:szCs w:val="24"/>
          <w:highlight w:val="none"/>
          <w:lang w:val="en-US" w:eastAsia="zh-CN"/>
        </w:rPr>
        <w:t>报价</w:t>
      </w:r>
      <w:r>
        <w:rPr>
          <w:rFonts w:hint="eastAsia" w:ascii="楷体" w:hAnsi="楷体" w:eastAsia="楷体" w:cs="楷体"/>
          <w:b/>
          <w:bCs/>
          <w:color w:val="auto"/>
          <w:sz w:val="24"/>
          <w:szCs w:val="24"/>
          <w:highlight w:val="none"/>
        </w:rPr>
        <w:t>以</w:t>
      </w:r>
      <w:r>
        <w:rPr>
          <w:rFonts w:hint="eastAsia" w:ascii="楷体" w:hAnsi="楷体" w:eastAsia="楷体" w:cs="楷体"/>
          <w:b/>
          <w:bCs/>
          <w:color w:val="auto"/>
          <w:kern w:val="2"/>
          <w:sz w:val="24"/>
          <w:szCs w:val="24"/>
          <w:highlight w:val="none"/>
          <w:lang w:val="en-US" w:eastAsia="zh-CN"/>
        </w:rPr>
        <w:t>采购品目进行单价报价（所有单价报价不得超过第五章采购需求中给出的单价限价，超过单价限价的作废标处理），在价格评审时以单价报价的合价进行评审。供应商在填写分项报价表时根据自身情况（含税金等进行报价）不得出现恶意竞争的情况（如哄抬报价或低于市场报价或低于成本价的报价）在评审时评标委员会将对所有分项报价进行清标，对于明显低于其他供应商的报价评标委员会将要求供应商在规定的时间内作出相关报价的情况说明，必要时提供相应证明材料，供应商不能按时作出相关报价说明的应当将其作为无效报价处理。分项报价表将作为签订合同的重要组成部分。</w:t>
      </w:r>
    </w:p>
    <w:p w14:paraId="78443327">
      <w:pPr>
        <w:shd w:val="clear"/>
        <w:spacing w:line="360" w:lineRule="auto"/>
        <w:jc w:val="left"/>
        <w:rPr>
          <w:rFonts w:hint="eastAsia" w:ascii="楷体" w:hAnsi="楷体" w:eastAsia="楷体" w:cs="楷体"/>
          <w:b/>
          <w:color w:val="auto"/>
          <w:sz w:val="24"/>
          <w:highlight w:val="none"/>
        </w:rPr>
      </w:pPr>
      <w:r>
        <w:rPr>
          <w:rFonts w:hint="eastAsia" w:ascii="楷体" w:hAnsi="楷体" w:eastAsia="楷体" w:cs="楷体"/>
          <w:b/>
          <w:color w:val="auto"/>
          <w:sz w:val="24"/>
          <w:highlight w:val="none"/>
        </w:rPr>
        <w:t>17.投标文件有效期</w:t>
      </w:r>
    </w:p>
    <w:p w14:paraId="28D46641">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17.1在“</w:t>
      </w:r>
      <w:r>
        <w:rPr>
          <w:rFonts w:hint="eastAsia" w:ascii="楷体" w:hAnsi="楷体" w:eastAsia="楷体" w:cs="楷体"/>
          <w:b/>
          <w:color w:val="auto"/>
          <w:sz w:val="24"/>
          <w:highlight w:val="none"/>
        </w:rPr>
        <w:t>供应商须知前附表</w:t>
      </w:r>
      <w:r>
        <w:rPr>
          <w:rFonts w:hint="eastAsia" w:ascii="楷体" w:hAnsi="楷体" w:eastAsia="楷体" w:cs="楷体"/>
          <w:color w:val="auto"/>
          <w:sz w:val="24"/>
          <w:highlight w:val="none"/>
        </w:rPr>
        <w:t>”规定的投标有效期内，供应商不得要求撤销或修改其投标文件。</w:t>
      </w:r>
    </w:p>
    <w:p w14:paraId="199EF158">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17.2投标有效期从提交投标文件的截止之日起算。投标文件中承诺的投标有效期应当不少于</w:t>
      </w:r>
      <w:r>
        <w:rPr>
          <w:rFonts w:hint="eastAsia" w:ascii="楷体" w:hAnsi="楷体" w:eastAsia="楷体" w:cs="楷体"/>
          <w:color w:val="auto"/>
          <w:sz w:val="24"/>
          <w:highlight w:val="none"/>
          <w:lang w:eastAsia="zh-CN"/>
        </w:rPr>
        <w:t>招标文件</w:t>
      </w:r>
      <w:r>
        <w:rPr>
          <w:rFonts w:hint="eastAsia" w:ascii="楷体" w:hAnsi="楷体" w:eastAsia="楷体" w:cs="楷体"/>
          <w:color w:val="auto"/>
          <w:sz w:val="24"/>
          <w:highlight w:val="none"/>
        </w:rPr>
        <w:t>中载明的投标有效期。投标有效期内供应商撤销投标文件的，采购代理机构不予退还投标保证金。</w:t>
      </w:r>
    </w:p>
    <w:p w14:paraId="7ED0B6F7">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17.3特殊情况需要延长投标有效期的，采购人应以书面形式通知所有供应商延长投标有效期。供应商同意延长的，应相应延长其投标保证金的有效期，但不得要求或被允许修改或撤销其投标文件；供应商拒绝延长的，其投标文件失效，但供应商有权收回其投标保证金。</w:t>
      </w:r>
    </w:p>
    <w:p w14:paraId="6539A70D">
      <w:pPr>
        <w:shd w:val="clear"/>
        <w:spacing w:line="360" w:lineRule="auto"/>
        <w:jc w:val="left"/>
        <w:rPr>
          <w:rFonts w:hint="eastAsia" w:ascii="楷体" w:hAnsi="楷体" w:eastAsia="楷体" w:cs="楷体"/>
          <w:b/>
          <w:color w:val="auto"/>
          <w:sz w:val="24"/>
          <w:highlight w:val="none"/>
        </w:rPr>
      </w:pPr>
      <w:r>
        <w:rPr>
          <w:rFonts w:hint="eastAsia" w:ascii="楷体" w:hAnsi="楷体" w:eastAsia="楷体" w:cs="楷体"/>
          <w:b/>
          <w:color w:val="auto"/>
          <w:sz w:val="24"/>
          <w:highlight w:val="none"/>
        </w:rPr>
        <w:t>18.投标保证金</w:t>
      </w:r>
    </w:p>
    <w:p w14:paraId="66C334E0">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18.1投标保证金为人民币。供应商应在提交投标文件截止时间以前按“</w:t>
      </w:r>
      <w:r>
        <w:rPr>
          <w:rFonts w:hint="eastAsia" w:ascii="楷体" w:hAnsi="楷体" w:eastAsia="楷体" w:cs="楷体"/>
          <w:b/>
          <w:bCs/>
          <w:color w:val="auto"/>
          <w:sz w:val="24"/>
          <w:highlight w:val="none"/>
        </w:rPr>
        <w:t>供应商须知前附表</w:t>
      </w:r>
      <w:r>
        <w:rPr>
          <w:rFonts w:hint="eastAsia" w:ascii="楷体" w:hAnsi="楷体" w:eastAsia="楷体" w:cs="楷体"/>
          <w:color w:val="auto"/>
          <w:sz w:val="24"/>
          <w:highlight w:val="none"/>
        </w:rPr>
        <w:t>”规定的金额交至</w:t>
      </w:r>
      <w:r>
        <w:rPr>
          <w:rFonts w:hint="eastAsia" w:ascii="楷体" w:hAnsi="楷体" w:eastAsia="楷体" w:cs="楷体"/>
          <w:color w:val="auto"/>
          <w:sz w:val="24"/>
          <w:highlight w:val="none"/>
          <w:lang w:eastAsia="zh-CN"/>
        </w:rPr>
        <w:t>云南建协招标有限责任公司</w:t>
      </w:r>
      <w:r>
        <w:rPr>
          <w:rFonts w:hint="eastAsia" w:ascii="楷体" w:hAnsi="楷体" w:eastAsia="楷体" w:cs="楷体"/>
          <w:color w:val="auto"/>
          <w:sz w:val="24"/>
          <w:highlight w:val="none"/>
        </w:rPr>
        <w:t>基本账户，并在规定的时间内保持有效。</w:t>
      </w:r>
    </w:p>
    <w:p w14:paraId="10BFAE2B">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18.2投标保证金形式：投标保证金应按“</w:t>
      </w:r>
      <w:r>
        <w:rPr>
          <w:rFonts w:hint="eastAsia" w:ascii="楷体" w:hAnsi="楷体" w:eastAsia="楷体" w:cs="楷体"/>
          <w:b/>
          <w:bCs/>
          <w:color w:val="auto"/>
          <w:sz w:val="24"/>
          <w:highlight w:val="none"/>
        </w:rPr>
        <w:t>供应商须知前附表</w:t>
      </w:r>
      <w:r>
        <w:rPr>
          <w:rFonts w:hint="eastAsia" w:ascii="楷体" w:hAnsi="楷体" w:eastAsia="楷体" w:cs="楷体"/>
          <w:color w:val="auto"/>
          <w:sz w:val="24"/>
          <w:highlight w:val="none"/>
        </w:rPr>
        <w:t>”规定的形式提交。</w:t>
      </w:r>
    </w:p>
    <w:p w14:paraId="381F66D8">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18.3办理缴纳投标保证金手续时，请务必在银行进账单或电汇单的用途栏或空白栏上注明采购项目名称及项目编号。</w:t>
      </w:r>
    </w:p>
    <w:p w14:paraId="48FF57AB">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18.4投标保证金退还程序及资料</w:t>
      </w:r>
    </w:p>
    <w:p w14:paraId="05242243">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18.4.1非中标人应退款项退回程序</w:t>
      </w:r>
    </w:p>
    <w:p w14:paraId="341E1EA4">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公示期满无异议后，将非中标人的应退款项退回原缴纳账户，非中标人无需上门办理。</w:t>
      </w:r>
    </w:p>
    <w:p w14:paraId="055ED614">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18.4.2中标人应退款项退回程序</w:t>
      </w:r>
    </w:p>
    <w:p w14:paraId="4EC1B0A9">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中标人由釆购单位出具的已签合同证明（加盖采购单位公章）原件，将中标人的应退款项退回原缴纳账户。一个项目可统一出具一个证明。</w:t>
      </w:r>
    </w:p>
    <w:p w14:paraId="12704B96">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18.5已缴纳投标保证金，而无故不参加投标或者出现不廉洁行为的供应商，其保证金予以没收。</w:t>
      </w:r>
    </w:p>
    <w:p w14:paraId="630DBCF9">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18.6投标保证金统一由</w:t>
      </w:r>
      <w:r>
        <w:rPr>
          <w:rFonts w:hint="eastAsia" w:ascii="楷体" w:hAnsi="楷体" w:eastAsia="楷体" w:cs="楷体"/>
          <w:color w:val="auto"/>
          <w:sz w:val="24"/>
          <w:highlight w:val="none"/>
          <w:lang w:eastAsia="zh-CN"/>
        </w:rPr>
        <w:t>云南建协招标有限责任公司</w:t>
      </w:r>
      <w:r>
        <w:rPr>
          <w:rFonts w:hint="eastAsia" w:ascii="楷体" w:hAnsi="楷体" w:eastAsia="楷体" w:cs="楷体"/>
          <w:color w:val="auto"/>
          <w:sz w:val="24"/>
          <w:highlight w:val="none"/>
        </w:rPr>
        <w:t>收取和退还。</w:t>
      </w:r>
    </w:p>
    <w:p w14:paraId="56E124A4">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18.7下列情况发生时，投标保证金将不予退还：</w:t>
      </w:r>
    </w:p>
    <w:p w14:paraId="7DA14F12">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供应商在投标有效期内撤销投标的；</w:t>
      </w:r>
    </w:p>
    <w:p w14:paraId="33AEDD96">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中标人中标后无正当理由不与采购人签订合同的；</w:t>
      </w:r>
      <w:r>
        <w:rPr>
          <w:rFonts w:hint="eastAsia" w:ascii="楷体" w:hAnsi="楷体" w:eastAsia="楷体" w:cs="楷体"/>
          <w:color w:val="auto"/>
          <w:sz w:val="24"/>
          <w:highlight w:val="none"/>
        </w:rPr>
        <w:tab/>
      </w:r>
    </w:p>
    <w:p w14:paraId="2F5DB7A5">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中标人将中标项目转让给他人，或者将中标项目分包给他人的；</w:t>
      </w:r>
    </w:p>
    <w:p w14:paraId="2C60B66B">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中标人拒绝履行合同义务的。</w:t>
      </w:r>
    </w:p>
    <w:p w14:paraId="5308B8A9">
      <w:pPr>
        <w:pStyle w:val="5"/>
        <w:numPr>
          <w:ilvl w:val="1"/>
          <w:numId w:val="0"/>
        </w:numPr>
        <w:shd w:val="clear"/>
        <w:spacing w:before="0" w:after="120" w:afterLines="50"/>
        <w:jc w:val="center"/>
        <w:rPr>
          <w:rFonts w:hint="eastAsia" w:ascii="楷体" w:hAnsi="楷体" w:eastAsia="楷体" w:cs="楷体"/>
          <w:b w:val="0"/>
          <w:color w:val="auto"/>
          <w:sz w:val="32"/>
          <w:szCs w:val="32"/>
          <w:highlight w:val="none"/>
        </w:rPr>
      </w:pPr>
      <w:bookmarkStart w:id="51" w:name="_Toc373252449"/>
      <w:bookmarkStart w:id="52" w:name="_Toc22813248"/>
      <w:bookmarkStart w:id="53" w:name="_Toc8981"/>
      <w:bookmarkStart w:id="54" w:name="_Toc16669"/>
      <w:bookmarkStart w:id="55" w:name="_Toc509407323"/>
      <w:bookmarkStart w:id="56" w:name="_Toc29387"/>
      <w:bookmarkStart w:id="57" w:name="_Toc25300"/>
      <w:r>
        <w:rPr>
          <w:rFonts w:hint="eastAsia" w:ascii="楷体" w:hAnsi="楷体" w:eastAsia="楷体" w:cs="楷体"/>
          <w:b w:val="0"/>
          <w:color w:val="auto"/>
          <w:sz w:val="32"/>
          <w:szCs w:val="32"/>
          <w:highlight w:val="none"/>
        </w:rPr>
        <w:t>四、投标文件的提交</w:t>
      </w:r>
      <w:bookmarkEnd w:id="51"/>
      <w:bookmarkEnd w:id="52"/>
      <w:bookmarkEnd w:id="53"/>
      <w:bookmarkEnd w:id="54"/>
      <w:bookmarkEnd w:id="55"/>
      <w:bookmarkEnd w:id="56"/>
      <w:bookmarkEnd w:id="57"/>
    </w:p>
    <w:p w14:paraId="50E01E59">
      <w:pPr>
        <w:shd w:val="clear"/>
        <w:spacing w:line="360" w:lineRule="auto"/>
        <w:jc w:val="left"/>
        <w:rPr>
          <w:rFonts w:hint="eastAsia" w:ascii="楷体" w:hAnsi="楷体" w:eastAsia="楷体" w:cs="楷体"/>
          <w:b/>
          <w:color w:val="auto"/>
          <w:sz w:val="24"/>
          <w:highlight w:val="none"/>
        </w:rPr>
      </w:pPr>
      <w:bookmarkStart w:id="58" w:name="_Toc373252450"/>
      <w:r>
        <w:rPr>
          <w:rFonts w:hint="eastAsia" w:ascii="楷体" w:hAnsi="楷体" w:eastAsia="楷体" w:cs="楷体"/>
          <w:b/>
          <w:color w:val="auto"/>
          <w:sz w:val="24"/>
          <w:highlight w:val="none"/>
        </w:rPr>
        <w:t>19. 投标文件递交及有关内容</w:t>
      </w:r>
    </w:p>
    <w:p w14:paraId="4B67BAA3">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19.1投标文件递交及有关内容：见</w:t>
      </w:r>
      <w:r>
        <w:rPr>
          <w:rFonts w:hint="eastAsia" w:ascii="楷体" w:hAnsi="楷体" w:eastAsia="楷体" w:cs="楷体"/>
          <w:b/>
          <w:bCs/>
          <w:color w:val="auto"/>
          <w:sz w:val="24"/>
          <w:highlight w:val="none"/>
        </w:rPr>
        <w:t>供应商须知前附表</w:t>
      </w:r>
      <w:r>
        <w:rPr>
          <w:rFonts w:hint="eastAsia" w:ascii="楷体" w:hAnsi="楷体" w:eastAsia="楷体" w:cs="楷体"/>
          <w:color w:val="auto"/>
          <w:sz w:val="24"/>
          <w:highlight w:val="none"/>
        </w:rPr>
        <w:t>。</w:t>
      </w:r>
    </w:p>
    <w:p w14:paraId="7CD87F8A">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19.2投标文件的密封：见</w:t>
      </w:r>
      <w:r>
        <w:rPr>
          <w:rFonts w:hint="eastAsia" w:ascii="楷体" w:hAnsi="楷体" w:eastAsia="楷体" w:cs="楷体"/>
          <w:b/>
          <w:bCs/>
          <w:color w:val="auto"/>
          <w:sz w:val="24"/>
          <w:highlight w:val="none"/>
        </w:rPr>
        <w:t>供应商须知前附表</w:t>
      </w:r>
      <w:r>
        <w:rPr>
          <w:rFonts w:hint="eastAsia" w:ascii="楷体" w:hAnsi="楷体" w:eastAsia="楷体" w:cs="楷体"/>
          <w:color w:val="auto"/>
          <w:sz w:val="24"/>
          <w:highlight w:val="none"/>
        </w:rPr>
        <w:t>。</w:t>
      </w:r>
    </w:p>
    <w:p w14:paraId="59F95E6B">
      <w:pPr>
        <w:shd w:val="clear"/>
        <w:spacing w:line="360" w:lineRule="auto"/>
        <w:jc w:val="left"/>
        <w:rPr>
          <w:rFonts w:hint="eastAsia" w:ascii="楷体" w:hAnsi="楷体" w:eastAsia="楷体" w:cs="楷体"/>
          <w:b/>
          <w:color w:val="auto"/>
          <w:sz w:val="24"/>
          <w:highlight w:val="none"/>
        </w:rPr>
      </w:pPr>
      <w:r>
        <w:rPr>
          <w:rFonts w:hint="eastAsia" w:ascii="楷体" w:hAnsi="楷体" w:eastAsia="楷体" w:cs="楷体"/>
          <w:b/>
          <w:color w:val="auto"/>
          <w:sz w:val="24"/>
          <w:highlight w:val="none"/>
        </w:rPr>
        <w:t>20. 截止时间及有关内容</w:t>
      </w:r>
    </w:p>
    <w:p w14:paraId="2E0B4AB9">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20.1投标文件递交截止时间（同投标截止时间）：见</w:t>
      </w:r>
      <w:r>
        <w:rPr>
          <w:rFonts w:hint="eastAsia" w:ascii="楷体" w:hAnsi="楷体" w:eastAsia="楷体" w:cs="楷体"/>
          <w:b/>
          <w:bCs/>
          <w:color w:val="auto"/>
          <w:sz w:val="24"/>
          <w:highlight w:val="none"/>
        </w:rPr>
        <w:t>供应商须知前附表</w:t>
      </w:r>
      <w:r>
        <w:rPr>
          <w:rFonts w:hint="eastAsia" w:ascii="楷体" w:hAnsi="楷体" w:eastAsia="楷体" w:cs="楷体"/>
          <w:color w:val="auto"/>
          <w:sz w:val="24"/>
          <w:highlight w:val="none"/>
        </w:rPr>
        <w:t>。</w:t>
      </w:r>
    </w:p>
    <w:p w14:paraId="301323B8">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20.2投标文件递交地点：见</w:t>
      </w:r>
      <w:r>
        <w:rPr>
          <w:rFonts w:hint="eastAsia" w:ascii="楷体" w:hAnsi="楷体" w:eastAsia="楷体" w:cs="楷体"/>
          <w:b/>
          <w:bCs/>
          <w:color w:val="auto"/>
          <w:sz w:val="24"/>
          <w:highlight w:val="none"/>
        </w:rPr>
        <w:t>供应商须知前附表</w:t>
      </w:r>
      <w:r>
        <w:rPr>
          <w:rFonts w:hint="eastAsia" w:ascii="楷体" w:hAnsi="楷体" w:eastAsia="楷体" w:cs="楷体"/>
          <w:color w:val="auto"/>
          <w:sz w:val="24"/>
          <w:highlight w:val="none"/>
        </w:rPr>
        <w:t>。</w:t>
      </w:r>
    </w:p>
    <w:p w14:paraId="596A62DF">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20.3投标文件的退还：见</w:t>
      </w:r>
      <w:r>
        <w:rPr>
          <w:rFonts w:hint="eastAsia" w:ascii="楷体" w:hAnsi="楷体" w:eastAsia="楷体" w:cs="楷体"/>
          <w:b/>
          <w:bCs/>
          <w:color w:val="auto"/>
          <w:sz w:val="24"/>
          <w:highlight w:val="none"/>
        </w:rPr>
        <w:t>供应商须知前附表</w:t>
      </w:r>
      <w:r>
        <w:rPr>
          <w:rFonts w:hint="eastAsia" w:ascii="楷体" w:hAnsi="楷体" w:eastAsia="楷体" w:cs="楷体"/>
          <w:color w:val="auto"/>
          <w:sz w:val="24"/>
          <w:highlight w:val="none"/>
        </w:rPr>
        <w:t>。</w:t>
      </w:r>
    </w:p>
    <w:p w14:paraId="3EBA082E">
      <w:pPr>
        <w:pStyle w:val="5"/>
        <w:numPr>
          <w:ilvl w:val="1"/>
          <w:numId w:val="0"/>
        </w:numPr>
        <w:shd w:val="clear"/>
        <w:spacing w:before="0" w:after="120" w:afterLines="50"/>
        <w:jc w:val="center"/>
        <w:rPr>
          <w:rFonts w:hint="eastAsia" w:ascii="楷体" w:hAnsi="楷体" w:eastAsia="楷体" w:cs="楷体"/>
          <w:b w:val="0"/>
          <w:color w:val="auto"/>
          <w:sz w:val="32"/>
          <w:szCs w:val="32"/>
          <w:highlight w:val="none"/>
        </w:rPr>
      </w:pPr>
      <w:bookmarkStart w:id="59" w:name="_Toc509407324"/>
      <w:bookmarkStart w:id="60" w:name="_Toc31590"/>
      <w:bookmarkStart w:id="61" w:name="_Toc7593"/>
      <w:bookmarkStart w:id="62" w:name="_Toc22813249"/>
      <w:bookmarkStart w:id="63" w:name="_Toc27739"/>
      <w:bookmarkStart w:id="64" w:name="_Toc19616"/>
      <w:r>
        <w:rPr>
          <w:rFonts w:hint="eastAsia" w:ascii="楷体" w:hAnsi="楷体" w:eastAsia="楷体" w:cs="楷体"/>
          <w:b w:val="0"/>
          <w:color w:val="auto"/>
          <w:sz w:val="32"/>
          <w:szCs w:val="32"/>
          <w:highlight w:val="none"/>
        </w:rPr>
        <w:t>五、开标与评标</w:t>
      </w:r>
      <w:bookmarkEnd w:id="58"/>
      <w:bookmarkEnd w:id="59"/>
      <w:bookmarkEnd w:id="60"/>
      <w:bookmarkEnd w:id="61"/>
      <w:bookmarkEnd w:id="62"/>
      <w:bookmarkEnd w:id="63"/>
      <w:bookmarkEnd w:id="64"/>
    </w:p>
    <w:p w14:paraId="493CC7CA">
      <w:pPr>
        <w:shd w:val="clear"/>
        <w:spacing w:line="360" w:lineRule="auto"/>
        <w:jc w:val="left"/>
        <w:rPr>
          <w:rFonts w:hint="eastAsia" w:ascii="楷体" w:hAnsi="楷体" w:eastAsia="楷体" w:cs="楷体"/>
          <w:b/>
          <w:color w:val="auto"/>
          <w:sz w:val="24"/>
          <w:highlight w:val="none"/>
        </w:rPr>
      </w:pPr>
      <w:r>
        <w:rPr>
          <w:rFonts w:hint="eastAsia" w:ascii="楷体" w:hAnsi="楷体" w:eastAsia="楷体" w:cs="楷体"/>
          <w:b/>
          <w:color w:val="auto"/>
          <w:sz w:val="24"/>
          <w:highlight w:val="none"/>
        </w:rPr>
        <w:t>21. 开标</w:t>
      </w:r>
    </w:p>
    <w:p w14:paraId="6F3132FC">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21.1采购代理机构将在“</w:t>
      </w:r>
      <w:r>
        <w:rPr>
          <w:rFonts w:hint="eastAsia" w:ascii="楷体" w:hAnsi="楷体" w:eastAsia="楷体" w:cs="楷体"/>
          <w:color w:val="auto"/>
          <w:sz w:val="24"/>
          <w:highlight w:val="none"/>
          <w:lang w:eastAsia="zh-CN"/>
        </w:rPr>
        <w:t>供应商</w:t>
      </w:r>
      <w:r>
        <w:rPr>
          <w:rFonts w:hint="eastAsia" w:ascii="楷体" w:hAnsi="楷体" w:eastAsia="楷体" w:cs="楷体"/>
          <w:color w:val="auto"/>
          <w:sz w:val="24"/>
          <w:highlight w:val="none"/>
        </w:rPr>
        <w:t>须知前附表”规定的时间和地点进行开标。</w:t>
      </w:r>
    </w:p>
    <w:p w14:paraId="1A5705F2">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2</w:t>
      </w:r>
      <w:r>
        <w:rPr>
          <w:rFonts w:hint="eastAsia" w:ascii="楷体" w:hAnsi="楷体" w:eastAsia="楷体" w:cs="楷体"/>
          <w:color w:val="auto"/>
          <w:sz w:val="24"/>
          <w:highlight w:val="none"/>
          <w:lang w:val="en-US" w:eastAsia="zh-CN"/>
        </w:rPr>
        <w:t>1</w:t>
      </w:r>
      <w:r>
        <w:rPr>
          <w:rFonts w:hint="eastAsia" w:ascii="楷体" w:hAnsi="楷体" w:eastAsia="楷体" w:cs="楷体"/>
          <w:color w:val="auto"/>
          <w:sz w:val="24"/>
          <w:highlight w:val="none"/>
        </w:rPr>
        <w:t>.2开标程序</w:t>
      </w:r>
    </w:p>
    <w:p w14:paraId="7CB479B3">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（1）宣布开标纪律；</w:t>
      </w:r>
    </w:p>
    <w:p w14:paraId="2D90FACF">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（2）介绍有关参会人员；</w:t>
      </w:r>
    </w:p>
    <w:p w14:paraId="680321A9">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（3）按照政采云平台自动提取</w:t>
      </w:r>
      <w:r>
        <w:rPr>
          <w:rFonts w:hint="eastAsia" w:ascii="楷体" w:hAnsi="楷体" w:eastAsia="楷体" w:cs="楷体"/>
          <w:color w:val="auto"/>
          <w:sz w:val="24"/>
          <w:highlight w:val="none"/>
          <w:lang w:eastAsia="zh-CN"/>
        </w:rPr>
        <w:t>供应商</w:t>
      </w:r>
      <w:r>
        <w:rPr>
          <w:rFonts w:hint="eastAsia" w:ascii="楷体" w:hAnsi="楷体" w:eastAsia="楷体" w:cs="楷体"/>
          <w:color w:val="auto"/>
          <w:sz w:val="24"/>
          <w:highlight w:val="none"/>
        </w:rPr>
        <w:t>的顺序当众开标，依次导入有效</w:t>
      </w:r>
      <w:r>
        <w:rPr>
          <w:rFonts w:hint="eastAsia" w:ascii="楷体" w:hAnsi="楷体" w:eastAsia="楷体" w:cs="楷体"/>
          <w:color w:val="auto"/>
          <w:sz w:val="24"/>
          <w:highlight w:val="none"/>
          <w:lang w:eastAsia="zh-CN"/>
        </w:rPr>
        <w:t>供应商</w:t>
      </w:r>
      <w:r>
        <w:rPr>
          <w:rFonts w:hint="eastAsia" w:ascii="楷体" w:hAnsi="楷体" w:eastAsia="楷体" w:cs="楷体"/>
          <w:color w:val="auto"/>
          <w:sz w:val="24"/>
          <w:highlight w:val="none"/>
        </w:rPr>
        <w:t>的电子投标文件。同时，由</w:t>
      </w:r>
      <w:r>
        <w:rPr>
          <w:rFonts w:hint="eastAsia" w:ascii="楷体" w:hAnsi="楷体" w:eastAsia="楷体" w:cs="楷体"/>
          <w:color w:val="auto"/>
          <w:sz w:val="24"/>
          <w:highlight w:val="none"/>
          <w:lang w:eastAsia="zh-CN"/>
        </w:rPr>
        <w:t>供应商</w:t>
      </w:r>
      <w:r>
        <w:rPr>
          <w:rFonts w:hint="eastAsia" w:ascii="楷体" w:hAnsi="楷体" w:eastAsia="楷体" w:cs="楷体"/>
          <w:color w:val="auto"/>
          <w:sz w:val="24"/>
          <w:highlight w:val="none"/>
        </w:rPr>
        <w:t>对网上递交已加密的投标文件进行网上解密，解密完成后，系统公布各投标文件开标一览表内容。因</w:t>
      </w:r>
      <w:r>
        <w:rPr>
          <w:rFonts w:hint="eastAsia" w:ascii="楷体" w:hAnsi="楷体" w:eastAsia="楷体" w:cs="楷体"/>
          <w:color w:val="auto"/>
          <w:sz w:val="24"/>
          <w:highlight w:val="none"/>
          <w:lang w:eastAsia="zh-CN"/>
        </w:rPr>
        <w:t>供应商</w:t>
      </w:r>
      <w:r>
        <w:rPr>
          <w:rFonts w:hint="eastAsia" w:ascii="楷体" w:hAnsi="楷体" w:eastAsia="楷体" w:cs="楷体"/>
          <w:color w:val="auto"/>
          <w:sz w:val="24"/>
          <w:highlight w:val="none"/>
        </w:rPr>
        <w:t>原因造成投标文件未解密的，视为撤销其投标文件；</w:t>
      </w:r>
    </w:p>
    <w:p w14:paraId="29764DDD">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（4）投标单位在开标记录上签字确认；</w:t>
      </w:r>
    </w:p>
    <w:p w14:paraId="61A0922A">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（5）开标会议异议询问。</w:t>
      </w:r>
    </w:p>
    <w:p w14:paraId="14C6792A">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（6）开标结束。</w:t>
      </w:r>
    </w:p>
    <w:p w14:paraId="57664BA2">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2</w:t>
      </w:r>
      <w:r>
        <w:rPr>
          <w:rFonts w:hint="eastAsia" w:ascii="楷体" w:hAnsi="楷体" w:eastAsia="楷体" w:cs="楷体"/>
          <w:color w:val="auto"/>
          <w:sz w:val="24"/>
          <w:highlight w:val="none"/>
          <w:lang w:val="en-US" w:eastAsia="zh-CN"/>
        </w:rPr>
        <w:t>1</w:t>
      </w:r>
      <w:r>
        <w:rPr>
          <w:rFonts w:hint="eastAsia" w:ascii="楷体" w:hAnsi="楷体" w:eastAsia="楷体" w:cs="楷体"/>
          <w:color w:val="auto"/>
          <w:sz w:val="24"/>
          <w:highlight w:val="none"/>
        </w:rPr>
        <w:t>.3 投标文件如果出现计算或表达上的错误，按照下列规定修正：</w:t>
      </w:r>
    </w:p>
    <w:p w14:paraId="393C81C3">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（1）投标文件中开标一览表（报价表）内容与投标文件中相应内容不一致的，以开标一览表（报价表）为准。</w:t>
      </w:r>
    </w:p>
    <w:p w14:paraId="20B298FB">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（2）大写金额和小写金额不一致的，以大写金额为准；</w:t>
      </w:r>
    </w:p>
    <w:p w14:paraId="71DF2056">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（3）单价金额小数点或者百分比有明显错位的，以开标一览表的总价为准，并修改单价；</w:t>
      </w:r>
    </w:p>
    <w:p w14:paraId="0DAECB45">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（4）总价金额与按单价汇总金额不一致的，以单价金额计算结果为准；</w:t>
      </w:r>
    </w:p>
    <w:p w14:paraId="6B7D3723">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（5）对不同文字文本投标文件的解释发生异议的，以中文文本为准。</w:t>
      </w:r>
    </w:p>
    <w:p w14:paraId="4BB24589">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同时出现两种以上不一致的，按照前款规定的顺序修正。按上述规定修正后的报价经</w:t>
      </w:r>
      <w:r>
        <w:rPr>
          <w:rFonts w:hint="eastAsia" w:ascii="楷体" w:hAnsi="楷体" w:eastAsia="楷体" w:cs="楷体"/>
          <w:color w:val="auto"/>
          <w:sz w:val="24"/>
          <w:highlight w:val="none"/>
          <w:lang w:eastAsia="zh-CN"/>
        </w:rPr>
        <w:t>供应商</w:t>
      </w:r>
      <w:r>
        <w:rPr>
          <w:rFonts w:hint="eastAsia" w:ascii="楷体" w:hAnsi="楷体" w:eastAsia="楷体" w:cs="楷体"/>
          <w:color w:val="auto"/>
          <w:sz w:val="24"/>
          <w:highlight w:val="none"/>
        </w:rPr>
        <w:t>确认后对</w:t>
      </w:r>
      <w:r>
        <w:rPr>
          <w:rFonts w:hint="eastAsia" w:ascii="楷体" w:hAnsi="楷体" w:eastAsia="楷体" w:cs="楷体"/>
          <w:color w:val="auto"/>
          <w:sz w:val="24"/>
          <w:highlight w:val="none"/>
          <w:lang w:eastAsia="zh-CN"/>
        </w:rPr>
        <w:t>供应商</w:t>
      </w:r>
      <w:r>
        <w:rPr>
          <w:rFonts w:hint="eastAsia" w:ascii="楷体" w:hAnsi="楷体" w:eastAsia="楷体" w:cs="楷体"/>
          <w:color w:val="auto"/>
          <w:sz w:val="24"/>
          <w:highlight w:val="none"/>
        </w:rPr>
        <w:t>起约束作用。如果</w:t>
      </w:r>
      <w:r>
        <w:rPr>
          <w:rFonts w:hint="eastAsia" w:ascii="楷体" w:hAnsi="楷体" w:eastAsia="楷体" w:cs="楷体"/>
          <w:color w:val="auto"/>
          <w:sz w:val="24"/>
          <w:highlight w:val="none"/>
          <w:lang w:eastAsia="zh-CN"/>
        </w:rPr>
        <w:t>供应商</w:t>
      </w:r>
      <w:r>
        <w:rPr>
          <w:rFonts w:hint="eastAsia" w:ascii="楷体" w:hAnsi="楷体" w:eastAsia="楷体" w:cs="楷体"/>
          <w:color w:val="auto"/>
          <w:sz w:val="24"/>
          <w:highlight w:val="none"/>
        </w:rPr>
        <w:t>不确认修正后的报价，则其投标无效。</w:t>
      </w:r>
    </w:p>
    <w:p w14:paraId="59116CFC">
      <w:pPr>
        <w:shd w:val="clear"/>
        <w:spacing w:line="360" w:lineRule="auto"/>
        <w:jc w:val="left"/>
        <w:rPr>
          <w:rFonts w:hint="eastAsia" w:ascii="楷体" w:hAnsi="楷体" w:eastAsia="楷体" w:cs="楷体"/>
          <w:b/>
          <w:color w:val="auto"/>
          <w:sz w:val="24"/>
          <w:highlight w:val="none"/>
        </w:rPr>
      </w:pPr>
      <w:r>
        <w:rPr>
          <w:rFonts w:hint="eastAsia" w:ascii="楷体" w:hAnsi="楷体" w:eastAsia="楷体" w:cs="楷体"/>
          <w:b/>
          <w:color w:val="auto"/>
          <w:sz w:val="24"/>
          <w:highlight w:val="none"/>
        </w:rPr>
        <w:t>22. 评标</w:t>
      </w:r>
    </w:p>
    <w:p w14:paraId="7EF3656D">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22.1评标由依法组建的评标委员会负责</w:t>
      </w:r>
    </w:p>
    <w:p w14:paraId="03D69944">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评标委员会由采购人代表和有关技术、经济等方面的专家组成，成员人数应当为五人以上单数。其中，技术、经济等方面的专家不得少于成员总数的三分之二。评标委员会应当推选组长，但采购人代表不得担任组长。</w:t>
      </w:r>
    </w:p>
    <w:p w14:paraId="4063EA40">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采购人委派代表参加评标委员会的，要向采购代理机构出具授权函。除授权代表外，采购人可以委派纪检监察等相关人员进入评审现场，对评审工作实施监督，但不得超过2人。</w:t>
      </w:r>
    </w:p>
    <w:p w14:paraId="21CE4442">
      <w:pPr>
        <w:shd w:val="clear"/>
        <w:spacing w:line="360" w:lineRule="auto"/>
        <w:jc w:val="left"/>
        <w:rPr>
          <w:rFonts w:hint="eastAsia" w:ascii="楷体" w:hAnsi="楷体" w:eastAsia="楷体" w:cs="楷体"/>
          <w:color w:val="auto"/>
          <w:sz w:val="24"/>
          <w:highlight w:val="none"/>
        </w:rPr>
      </w:pPr>
      <w:bookmarkStart w:id="65" w:name="_Toc191374422"/>
      <w:r>
        <w:rPr>
          <w:rFonts w:hint="eastAsia" w:ascii="楷体" w:hAnsi="楷体" w:eastAsia="楷体" w:cs="楷体"/>
          <w:color w:val="auto"/>
          <w:sz w:val="24"/>
          <w:highlight w:val="none"/>
        </w:rPr>
        <w:t>22.2评标原则</w:t>
      </w:r>
      <w:bookmarkEnd w:id="65"/>
      <w:r>
        <w:rPr>
          <w:rFonts w:hint="eastAsia" w:ascii="楷体" w:hAnsi="楷体" w:eastAsia="楷体" w:cs="楷体"/>
          <w:color w:val="auto"/>
          <w:sz w:val="24"/>
          <w:highlight w:val="none"/>
        </w:rPr>
        <w:t>及方法</w:t>
      </w:r>
    </w:p>
    <w:p w14:paraId="59235D77">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评标活动遵循公平、公正、科学和择优的原则。</w:t>
      </w:r>
    </w:p>
    <w:p w14:paraId="29F362AC">
      <w:pPr>
        <w:shd w:val="clear"/>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22.3评标方法</w:t>
      </w:r>
    </w:p>
    <w:p w14:paraId="270B8F2E">
      <w:pPr>
        <w:shd w:val="clear"/>
        <w:spacing w:line="360" w:lineRule="auto"/>
        <w:ind w:firstLine="540" w:firstLineChars="225"/>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本项目按“</w:t>
      </w:r>
      <w:r>
        <w:rPr>
          <w:rFonts w:hint="eastAsia" w:ascii="楷体" w:hAnsi="楷体" w:eastAsia="楷体" w:cs="楷体"/>
          <w:b/>
          <w:bCs/>
          <w:color w:val="auto"/>
          <w:sz w:val="24"/>
          <w:highlight w:val="none"/>
        </w:rPr>
        <w:t>供应商须知前附表</w:t>
      </w:r>
      <w:r>
        <w:rPr>
          <w:rFonts w:hint="eastAsia" w:ascii="楷体" w:hAnsi="楷体" w:eastAsia="楷体" w:cs="楷体"/>
          <w:color w:val="auto"/>
          <w:sz w:val="24"/>
          <w:highlight w:val="none"/>
        </w:rPr>
        <w:t>”规定的评标方法评标。在评标中，不得改变</w:t>
      </w:r>
      <w:r>
        <w:rPr>
          <w:rFonts w:hint="eastAsia" w:ascii="楷体" w:hAnsi="楷体" w:eastAsia="楷体" w:cs="楷体"/>
          <w:color w:val="auto"/>
          <w:sz w:val="24"/>
          <w:highlight w:val="none"/>
          <w:lang w:eastAsia="zh-CN"/>
        </w:rPr>
        <w:t>招标文件</w:t>
      </w:r>
      <w:r>
        <w:rPr>
          <w:rFonts w:hint="eastAsia" w:ascii="楷体" w:hAnsi="楷体" w:eastAsia="楷体" w:cs="楷体"/>
          <w:color w:val="auto"/>
          <w:sz w:val="24"/>
          <w:highlight w:val="none"/>
        </w:rPr>
        <w:t>中规定的评标标准、方法和中标条件。第六章“</w:t>
      </w:r>
      <w:r>
        <w:rPr>
          <w:rFonts w:hint="eastAsia" w:ascii="楷体" w:hAnsi="楷体" w:eastAsia="楷体" w:cs="楷体"/>
          <w:b/>
          <w:color w:val="auto"/>
          <w:sz w:val="24"/>
          <w:highlight w:val="none"/>
        </w:rPr>
        <w:t>评标方法</w:t>
      </w:r>
      <w:r>
        <w:rPr>
          <w:rFonts w:hint="eastAsia" w:ascii="楷体" w:hAnsi="楷体" w:eastAsia="楷体" w:cs="楷体"/>
          <w:color w:val="auto"/>
          <w:sz w:val="24"/>
          <w:highlight w:val="none"/>
        </w:rPr>
        <w:t>”没有规定的评审因素和标准，不作为评标依据。</w:t>
      </w:r>
    </w:p>
    <w:p w14:paraId="5AB04F76">
      <w:pPr>
        <w:shd w:val="clea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22.4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311F59DA">
      <w:pPr>
        <w:shd w:val="clear"/>
        <w:spacing w:line="360" w:lineRule="auto"/>
        <w:rPr>
          <w:rFonts w:hint="eastAsia" w:ascii="楷体" w:hAnsi="楷体" w:eastAsia="楷体" w:cs="楷体"/>
          <w:color w:val="auto"/>
          <w:kern w:val="0"/>
          <w:sz w:val="24"/>
          <w:highlight w:val="none"/>
        </w:rPr>
      </w:pPr>
      <w:r>
        <w:rPr>
          <w:rFonts w:hint="eastAsia" w:ascii="楷体" w:hAnsi="楷体" w:eastAsia="楷体" w:cs="楷体"/>
          <w:color w:val="auto"/>
          <w:sz w:val="24"/>
          <w:highlight w:val="none"/>
        </w:rPr>
        <w:t>22.5</w:t>
      </w:r>
      <w:r>
        <w:rPr>
          <w:rFonts w:hint="eastAsia" w:ascii="楷体" w:hAnsi="楷体" w:eastAsia="楷体" w:cs="楷体"/>
          <w:color w:val="auto"/>
          <w:kern w:val="0"/>
          <w:sz w:val="24"/>
          <w:highlight w:val="none"/>
        </w:rPr>
        <w:t>在评标过程中，评标委员会发现供应商有本须知22.6条款规定的情形，应当认定其投标无效，并书面报告本级财政部门。</w:t>
      </w:r>
    </w:p>
    <w:p w14:paraId="6593C2C4">
      <w:pPr>
        <w:shd w:val="clear"/>
        <w:spacing w:line="360" w:lineRule="auto"/>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rPr>
        <w:t>22.6有下列情形之一的，视为供应商串通投标，其投标无效：</w:t>
      </w:r>
    </w:p>
    <w:p w14:paraId="557D44A3">
      <w:pPr>
        <w:widowControl/>
        <w:shd w:val="clear"/>
        <w:spacing w:line="360" w:lineRule="auto"/>
        <w:ind w:firstLine="480" w:firstLineChars="200"/>
        <w:jc w:val="left"/>
        <w:textAlignment w:val="baseline"/>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rPr>
        <w:t>不同供应商的投标文件由同一单位或者个人编制；</w:t>
      </w:r>
    </w:p>
    <w:p w14:paraId="5BEBCDC5">
      <w:pPr>
        <w:widowControl/>
        <w:shd w:val="clear"/>
        <w:spacing w:line="360" w:lineRule="auto"/>
        <w:ind w:firstLine="480" w:firstLineChars="200"/>
        <w:jc w:val="left"/>
        <w:textAlignment w:val="baseline"/>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rPr>
        <w:t>不同供应商委托同一单位或者个人办理投标事宜；</w:t>
      </w:r>
    </w:p>
    <w:p w14:paraId="4E05C34E">
      <w:pPr>
        <w:widowControl/>
        <w:shd w:val="clear"/>
        <w:spacing w:line="360" w:lineRule="auto"/>
        <w:ind w:firstLine="480" w:firstLineChars="200"/>
        <w:jc w:val="left"/>
        <w:textAlignment w:val="baseline"/>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rPr>
        <w:t>不同供应商的投标文件载明的项目管理成员或者联系人员为同一人；</w:t>
      </w:r>
    </w:p>
    <w:p w14:paraId="5DA639BE">
      <w:pPr>
        <w:widowControl/>
        <w:shd w:val="clear"/>
        <w:spacing w:line="360" w:lineRule="auto"/>
        <w:ind w:firstLine="480" w:firstLineChars="200"/>
        <w:jc w:val="left"/>
        <w:textAlignment w:val="baseline"/>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rPr>
        <w:t>不同供应商的投标文件异常一致或者投标报价呈规律性差异；</w:t>
      </w:r>
    </w:p>
    <w:p w14:paraId="0E7E8624">
      <w:pPr>
        <w:widowControl/>
        <w:shd w:val="clear"/>
        <w:spacing w:line="360" w:lineRule="auto"/>
        <w:ind w:firstLine="480" w:firstLineChars="200"/>
        <w:jc w:val="left"/>
        <w:textAlignment w:val="baseline"/>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rPr>
        <w:t>不同供应商的投标文件相互混装；</w:t>
      </w:r>
    </w:p>
    <w:p w14:paraId="032245FC">
      <w:pPr>
        <w:widowControl/>
        <w:shd w:val="clear"/>
        <w:spacing w:line="360" w:lineRule="auto"/>
        <w:ind w:firstLine="480" w:firstLineChars="200"/>
        <w:jc w:val="left"/>
        <w:textAlignment w:val="baseline"/>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rPr>
        <w:t>不同供应商的投标保证金从同一单位或者个人的账户转出。</w:t>
      </w:r>
    </w:p>
    <w:p w14:paraId="610FF404">
      <w:pPr>
        <w:shd w:val="clear"/>
        <w:spacing w:line="360" w:lineRule="auto"/>
        <w:jc w:val="left"/>
        <w:rPr>
          <w:rFonts w:hint="eastAsia" w:ascii="楷体" w:hAnsi="楷体" w:eastAsia="楷体" w:cs="楷体"/>
          <w:color w:val="auto"/>
          <w:kern w:val="0"/>
          <w:sz w:val="24"/>
          <w:highlight w:val="none"/>
        </w:rPr>
      </w:pPr>
      <w:r>
        <w:rPr>
          <w:rFonts w:hint="eastAsia" w:ascii="楷体" w:hAnsi="楷体" w:eastAsia="楷体" w:cs="楷体"/>
          <w:color w:val="auto"/>
          <w:sz w:val="24"/>
          <w:highlight w:val="none"/>
        </w:rPr>
        <w:t>22.7</w:t>
      </w:r>
      <w:r>
        <w:rPr>
          <w:rFonts w:hint="eastAsia" w:ascii="楷体" w:hAnsi="楷体" w:eastAsia="楷体" w:cs="楷体"/>
          <w:color w:val="auto"/>
          <w:kern w:val="0"/>
          <w:sz w:val="24"/>
          <w:highlight w:val="none"/>
        </w:rPr>
        <w:t>提供相同品牌产品且通过资格审查、符合性审查的不同供应商参加同一招标项目包投标的，按一家供应商计算，评审后得分最高的同品牌供应商获得中标人推荐资格；评审得分相同的，评标委员会将依次按技术部分得分高优先、价格部分得分高优先、商务部分得分高优先的顺序确定；所有得分均相等的，主要技术指标高优先、质保期长优先、项目完成时间短优先、故障到达时间短优先的顺序确定一个供应商获得中标人推荐资格，其他同品牌供应商不作为中标候选人。</w:t>
      </w:r>
    </w:p>
    <w:p w14:paraId="073F25E7">
      <w:pPr>
        <w:shd w:val="clear"/>
        <w:spacing w:line="360" w:lineRule="auto"/>
        <w:jc w:val="left"/>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rPr>
        <w:t>22.8若单个项目包为非单一产品采购项目，对于</w:t>
      </w:r>
      <w:r>
        <w:rPr>
          <w:rFonts w:hint="eastAsia" w:ascii="楷体" w:hAnsi="楷体" w:eastAsia="楷体" w:cs="楷体"/>
          <w:color w:val="auto"/>
          <w:kern w:val="0"/>
          <w:sz w:val="24"/>
          <w:highlight w:val="none"/>
          <w:lang w:eastAsia="zh-CN"/>
        </w:rPr>
        <w:t>招标文件</w:t>
      </w:r>
      <w:r>
        <w:rPr>
          <w:rFonts w:hint="eastAsia" w:ascii="楷体" w:hAnsi="楷体" w:eastAsia="楷体" w:cs="楷体"/>
          <w:color w:val="auto"/>
          <w:kern w:val="0"/>
          <w:sz w:val="24"/>
          <w:highlight w:val="none"/>
        </w:rPr>
        <w:t>第五章规定核心产品，多家供应商提供的核心产品品牌有一项品牌相同的，按前两款规定处理。</w:t>
      </w:r>
    </w:p>
    <w:p w14:paraId="40F8CBEF">
      <w:pPr>
        <w:pStyle w:val="11"/>
        <w:shd w:val="clear"/>
        <w:spacing w:line="440" w:lineRule="exact"/>
        <w:rPr>
          <w:rFonts w:hint="eastAsia" w:ascii="楷体" w:hAnsi="楷体" w:eastAsia="楷体" w:cs="楷体"/>
          <w:bCs/>
          <w:color w:val="auto"/>
          <w:sz w:val="24"/>
          <w:szCs w:val="24"/>
          <w:highlight w:val="none"/>
        </w:rPr>
      </w:pPr>
      <w:r>
        <w:rPr>
          <w:rFonts w:hint="eastAsia" w:ascii="楷体" w:hAnsi="楷体" w:eastAsia="楷体" w:cs="楷体"/>
          <w:b/>
          <w:color w:val="auto"/>
          <w:sz w:val="24"/>
          <w:szCs w:val="24"/>
          <w:highlight w:val="none"/>
        </w:rPr>
        <w:t>23.在采购中，出现下列情形之一的，应予废标：</w:t>
      </w:r>
    </w:p>
    <w:p w14:paraId="2B3B4263">
      <w:pPr>
        <w:pStyle w:val="11"/>
        <w:shd w:val="clear"/>
        <w:spacing w:line="440" w:lineRule="exact"/>
        <w:ind w:firstLine="482" w:firstLineChars="200"/>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符合专业条件的供应商或者对</w:t>
      </w:r>
      <w:r>
        <w:rPr>
          <w:rFonts w:hint="eastAsia" w:ascii="楷体" w:hAnsi="楷体" w:eastAsia="楷体" w:cs="楷体"/>
          <w:b/>
          <w:color w:val="auto"/>
          <w:sz w:val="24"/>
          <w:szCs w:val="24"/>
          <w:highlight w:val="none"/>
          <w:lang w:eastAsia="zh-CN"/>
        </w:rPr>
        <w:t>招标文件</w:t>
      </w:r>
      <w:r>
        <w:rPr>
          <w:rFonts w:hint="eastAsia" w:ascii="楷体" w:hAnsi="楷体" w:eastAsia="楷体" w:cs="楷体"/>
          <w:b/>
          <w:color w:val="auto"/>
          <w:sz w:val="24"/>
          <w:szCs w:val="24"/>
          <w:highlight w:val="none"/>
        </w:rPr>
        <w:t>作实质响应的供应商不足3家的；</w:t>
      </w:r>
    </w:p>
    <w:p w14:paraId="607D27C3">
      <w:pPr>
        <w:pStyle w:val="11"/>
        <w:shd w:val="clear"/>
        <w:spacing w:line="440" w:lineRule="exact"/>
        <w:ind w:firstLine="482" w:firstLineChars="200"/>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出现影响采购公正的违法、违规行为的；</w:t>
      </w:r>
    </w:p>
    <w:p w14:paraId="2155208F">
      <w:pPr>
        <w:pStyle w:val="11"/>
        <w:shd w:val="clear"/>
        <w:spacing w:line="440" w:lineRule="exact"/>
        <w:ind w:firstLine="482" w:firstLineChars="200"/>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供应商的报价均超过了采购预算，采购人不能支付的；</w:t>
      </w:r>
    </w:p>
    <w:p w14:paraId="13766053">
      <w:pPr>
        <w:pStyle w:val="11"/>
        <w:shd w:val="clear"/>
        <w:spacing w:line="440" w:lineRule="exact"/>
        <w:ind w:firstLine="482" w:firstLineChars="200"/>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因重大变故，采购任务取消的。</w:t>
      </w:r>
    </w:p>
    <w:p w14:paraId="1DD6CE55">
      <w:pPr>
        <w:pStyle w:val="11"/>
        <w:shd w:val="clear"/>
        <w:spacing w:line="440" w:lineRule="exact"/>
        <w:rPr>
          <w:rFonts w:hint="eastAsia" w:ascii="楷体" w:hAnsi="楷体" w:eastAsia="楷体" w:cs="楷体"/>
          <w:b/>
          <w:color w:val="auto"/>
          <w:sz w:val="24"/>
          <w:szCs w:val="24"/>
          <w:highlight w:val="none"/>
        </w:rPr>
      </w:pPr>
      <w:r>
        <w:rPr>
          <w:rFonts w:hint="eastAsia" w:ascii="楷体" w:hAnsi="楷体" w:eastAsia="楷体" w:cs="楷体"/>
          <w:color w:val="auto"/>
          <w:sz w:val="24"/>
          <w:szCs w:val="24"/>
          <w:highlight w:val="none"/>
        </w:rPr>
        <w:t xml:space="preserve">   </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b/>
          <w:color w:val="auto"/>
          <w:sz w:val="24"/>
          <w:szCs w:val="24"/>
          <w:highlight w:val="none"/>
        </w:rPr>
        <w:t>废标后，采购人应当将废标理由通知所有供应商。</w:t>
      </w:r>
    </w:p>
    <w:p w14:paraId="2502BA9F">
      <w:pPr>
        <w:pStyle w:val="5"/>
        <w:numPr>
          <w:ilvl w:val="1"/>
          <w:numId w:val="0"/>
        </w:numPr>
        <w:shd w:val="clear"/>
        <w:spacing w:before="0" w:after="120" w:afterLines="50" w:line="440" w:lineRule="exact"/>
        <w:jc w:val="center"/>
        <w:rPr>
          <w:rFonts w:hint="eastAsia" w:ascii="楷体" w:hAnsi="楷体" w:eastAsia="楷体" w:cs="楷体"/>
          <w:b w:val="0"/>
          <w:color w:val="auto"/>
          <w:sz w:val="32"/>
          <w:szCs w:val="32"/>
          <w:highlight w:val="none"/>
        </w:rPr>
      </w:pPr>
      <w:bookmarkStart w:id="66" w:name="_Toc28256"/>
      <w:bookmarkStart w:id="67" w:name="_Toc23340"/>
      <w:bookmarkStart w:id="68" w:name="_Toc22813250"/>
      <w:bookmarkStart w:id="69" w:name="_Toc17380"/>
      <w:bookmarkStart w:id="70" w:name="_Toc373252451"/>
      <w:bookmarkStart w:id="71" w:name="_Toc24135"/>
      <w:bookmarkStart w:id="72" w:name="_Toc509407325"/>
      <w:r>
        <w:rPr>
          <w:rFonts w:hint="eastAsia" w:ascii="楷体" w:hAnsi="楷体" w:eastAsia="楷体" w:cs="楷体"/>
          <w:b w:val="0"/>
          <w:color w:val="auto"/>
          <w:sz w:val="32"/>
          <w:szCs w:val="32"/>
          <w:highlight w:val="none"/>
        </w:rPr>
        <w:t>六、中标结果</w:t>
      </w:r>
      <w:bookmarkEnd w:id="66"/>
      <w:bookmarkEnd w:id="67"/>
      <w:bookmarkEnd w:id="68"/>
      <w:bookmarkEnd w:id="69"/>
      <w:bookmarkEnd w:id="70"/>
      <w:bookmarkEnd w:id="71"/>
      <w:bookmarkEnd w:id="72"/>
    </w:p>
    <w:p w14:paraId="06600677">
      <w:pPr>
        <w:pStyle w:val="11"/>
        <w:shd w:val="clear"/>
        <w:spacing w:line="440" w:lineRule="exac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24.中标人的确定</w:t>
      </w:r>
    </w:p>
    <w:p w14:paraId="06621F7D">
      <w:pPr>
        <w:shd w:val="clear"/>
        <w:spacing w:line="440" w:lineRule="exact"/>
        <w:rPr>
          <w:rFonts w:hint="eastAsia" w:ascii="楷体" w:hAnsi="楷体" w:eastAsia="楷体" w:cs="楷体"/>
          <w:color w:val="auto"/>
          <w:sz w:val="24"/>
          <w:highlight w:val="none"/>
        </w:rPr>
      </w:pPr>
      <w:r>
        <w:rPr>
          <w:rFonts w:hint="eastAsia" w:ascii="楷体" w:hAnsi="楷体" w:eastAsia="楷体" w:cs="楷体"/>
          <w:color w:val="auto"/>
          <w:sz w:val="24"/>
          <w:highlight w:val="none"/>
        </w:rPr>
        <w:t>24.1采购代理机构应当在评标结束后二个工作日内将评标报告送采购人确认。</w:t>
      </w:r>
    </w:p>
    <w:p w14:paraId="31031428">
      <w:pPr>
        <w:pStyle w:val="11"/>
        <w:shd w:val="clear"/>
        <w:spacing w:line="44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24.2采购人应当在收到评标报告后五个工作日内，按照评标报告中推荐的中标人顺序确定中标人。</w:t>
      </w:r>
    </w:p>
    <w:p w14:paraId="52BFC4EA">
      <w:pPr>
        <w:shd w:val="clea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24.3采购代理机构应当自中标供应商确定之日起二个工作日内，发出中标通知书，并在省级以上人民政府财政部门指定的媒体上发布中标结果公告。</w:t>
      </w:r>
    </w:p>
    <w:p w14:paraId="5BD90C70">
      <w:pPr>
        <w:shd w:val="clea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24.4中标结果公告内容应当包括采购人和采购代理机构的名称、地址、联系方式，项目名称和项目编号，中标供应商名称、地址和中标金额，主要中标标的的名称、规格型号、数量、单价、服务要求以及评审专家名单。</w:t>
      </w:r>
    </w:p>
    <w:p w14:paraId="130A0D38">
      <w:pPr>
        <w:pStyle w:val="11"/>
        <w:shd w:val="clear"/>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25.中标通知书</w:t>
      </w:r>
    </w:p>
    <w:p w14:paraId="5C7B9571">
      <w:pPr>
        <w:pStyle w:val="11"/>
        <w:shd w:val="clea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25.1中标人确定后，中标结果由采购代理机构在</w:t>
      </w:r>
      <w:r>
        <w:rPr>
          <w:rFonts w:hint="eastAsia" w:ascii="楷体" w:hAnsi="楷体" w:eastAsia="楷体" w:cs="楷体"/>
          <w:color w:val="auto"/>
          <w:sz w:val="24"/>
          <w:szCs w:val="24"/>
          <w:highlight w:val="none"/>
          <w:lang w:val="en-US" w:eastAsia="zh-CN"/>
        </w:rPr>
        <w:t>发布采购公告的同一网站</w:t>
      </w:r>
      <w:r>
        <w:rPr>
          <w:rFonts w:hint="eastAsia" w:ascii="楷体" w:hAnsi="楷体" w:eastAsia="楷体" w:cs="楷体"/>
          <w:color w:val="auto"/>
          <w:sz w:val="24"/>
          <w:szCs w:val="24"/>
          <w:highlight w:val="none"/>
        </w:rPr>
        <w:t>发布中标公告,中标公告期限为一个工作日，公示期满无异议，向中标人发出中标通知书。</w:t>
      </w:r>
    </w:p>
    <w:p w14:paraId="480601DD">
      <w:pPr>
        <w:pStyle w:val="11"/>
        <w:shd w:val="clea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25.2中标通知书是合同的一个组成部分。</w:t>
      </w:r>
    </w:p>
    <w:p w14:paraId="6106CD70">
      <w:pPr>
        <w:pStyle w:val="11"/>
        <w:shd w:val="clear"/>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26.签订合同</w:t>
      </w:r>
    </w:p>
    <w:p w14:paraId="6DCC6546">
      <w:pPr>
        <w:pStyle w:val="11"/>
        <w:shd w:val="clea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26.1采购人与中标人应当在中标通知书发出之日起三十日内，按照</w:t>
      </w:r>
      <w:r>
        <w:rPr>
          <w:rFonts w:hint="eastAsia" w:ascii="楷体" w:hAnsi="楷体" w:eastAsia="楷体" w:cs="楷体"/>
          <w:color w:val="auto"/>
          <w:sz w:val="24"/>
          <w:szCs w:val="24"/>
          <w:highlight w:val="none"/>
          <w:lang w:eastAsia="zh-CN"/>
        </w:rPr>
        <w:t>招标文件</w:t>
      </w:r>
      <w:r>
        <w:rPr>
          <w:rFonts w:hint="eastAsia" w:ascii="楷体" w:hAnsi="楷体" w:eastAsia="楷体" w:cs="楷体"/>
          <w:color w:val="auto"/>
          <w:sz w:val="24"/>
          <w:szCs w:val="24"/>
          <w:highlight w:val="none"/>
        </w:rPr>
        <w:t>确定的事项签订政府采购合同。</w:t>
      </w:r>
    </w:p>
    <w:p w14:paraId="4993E006">
      <w:pPr>
        <w:pStyle w:val="11"/>
        <w:shd w:val="clea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26.2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070E2B9E">
      <w:pPr>
        <w:pStyle w:val="11"/>
        <w:shd w:val="clea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26.3政府采购合同履行中，采购人需追加与合同标的相同的货物的，在不改变合同其他条款的前提下，可以与中标人协商签订补充合同，但所有补充合同的采购金额不得超过原合同采购金额的百分之十。</w:t>
      </w:r>
    </w:p>
    <w:p w14:paraId="2B5E28E5">
      <w:pPr>
        <w:pStyle w:val="11"/>
        <w:shd w:val="clear"/>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27.履约担保</w:t>
      </w:r>
    </w:p>
    <w:p w14:paraId="64EAA84F">
      <w:pPr>
        <w:pStyle w:val="11"/>
        <w:shd w:val="clear"/>
        <w:tabs>
          <w:tab w:val="left" w:pos="710"/>
        </w:tabs>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27.1签订合同前，中标人应按“</w:t>
      </w:r>
      <w:r>
        <w:rPr>
          <w:rFonts w:hint="eastAsia" w:ascii="楷体" w:hAnsi="楷体" w:eastAsia="楷体" w:cs="楷体"/>
          <w:b/>
          <w:color w:val="auto"/>
          <w:sz w:val="24"/>
          <w:szCs w:val="24"/>
          <w:highlight w:val="none"/>
        </w:rPr>
        <w:t>供应商须知前附表</w:t>
      </w:r>
      <w:r>
        <w:rPr>
          <w:rFonts w:hint="eastAsia" w:ascii="楷体" w:hAnsi="楷体" w:eastAsia="楷体" w:cs="楷体"/>
          <w:color w:val="auto"/>
          <w:sz w:val="24"/>
          <w:szCs w:val="24"/>
          <w:highlight w:val="none"/>
        </w:rPr>
        <w:t>”上确定的履约担保的金额及形式，向采购人提交履约担保。否则，视为放弃中标项目，投标保证金将不予退还。</w:t>
      </w:r>
    </w:p>
    <w:p w14:paraId="018D8643">
      <w:pPr>
        <w:pStyle w:val="11"/>
        <w:shd w:val="clea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27.2签订合同后，如中标人不按双方签订合同约定履约，则没收其全部履约保证金，履约保证金不足以赔偿损失的，按实际损失赔偿。</w:t>
      </w:r>
    </w:p>
    <w:p w14:paraId="00D1C4C6">
      <w:pPr>
        <w:pStyle w:val="5"/>
        <w:numPr>
          <w:ilvl w:val="1"/>
          <w:numId w:val="0"/>
        </w:numPr>
        <w:shd w:val="clear"/>
        <w:spacing w:before="0" w:after="120" w:afterLines="50"/>
        <w:jc w:val="center"/>
        <w:rPr>
          <w:rFonts w:hint="eastAsia" w:ascii="楷体" w:hAnsi="楷体" w:eastAsia="楷体" w:cs="楷体"/>
          <w:b w:val="0"/>
          <w:color w:val="auto"/>
          <w:sz w:val="32"/>
          <w:szCs w:val="32"/>
          <w:highlight w:val="none"/>
        </w:rPr>
      </w:pPr>
      <w:bookmarkStart w:id="73" w:name="_Toc31718"/>
      <w:bookmarkStart w:id="74" w:name="_Toc8946"/>
      <w:bookmarkStart w:id="75" w:name="_Toc16794"/>
      <w:bookmarkStart w:id="76" w:name="_Toc509407326"/>
      <w:bookmarkStart w:id="77" w:name="_Toc373252452"/>
      <w:bookmarkStart w:id="78" w:name="_Toc22813251"/>
      <w:bookmarkStart w:id="79" w:name="_Toc28478"/>
      <w:r>
        <w:rPr>
          <w:rFonts w:hint="eastAsia" w:ascii="楷体" w:hAnsi="楷体" w:eastAsia="楷体" w:cs="楷体"/>
          <w:b w:val="0"/>
          <w:color w:val="auto"/>
          <w:sz w:val="32"/>
          <w:szCs w:val="32"/>
          <w:highlight w:val="none"/>
        </w:rPr>
        <w:t>七、其他事项</w:t>
      </w:r>
      <w:bookmarkEnd w:id="73"/>
      <w:bookmarkEnd w:id="74"/>
      <w:bookmarkEnd w:id="75"/>
      <w:bookmarkEnd w:id="76"/>
      <w:bookmarkEnd w:id="77"/>
      <w:bookmarkEnd w:id="78"/>
      <w:bookmarkEnd w:id="79"/>
    </w:p>
    <w:p w14:paraId="281D216D">
      <w:pPr>
        <w:pStyle w:val="11"/>
        <w:shd w:val="clear"/>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28.采购代理服务费</w:t>
      </w:r>
    </w:p>
    <w:p w14:paraId="570E269B">
      <w:pPr>
        <w:pStyle w:val="11"/>
        <w:shd w:val="clea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28.1采购代理服务费向中标人收取，收取标准详见“</w:t>
      </w:r>
      <w:r>
        <w:rPr>
          <w:rFonts w:hint="eastAsia" w:ascii="楷体" w:hAnsi="楷体" w:eastAsia="楷体" w:cs="楷体"/>
          <w:b/>
          <w:color w:val="auto"/>
          <w:sz w:val="24"/>
          <w:szCs w:val="24"/>
          <w:highlight w:val="none"/>
        </w:rPr>
        <w:t>供应商须知前附表</w:t>
      </w:r>
      <w:r>
        <w:rPr>
          <w:rFonts w:hint="eastAsia" w:ascii="楷体" w:hAnsi="楷体" w:eastAsia="楷体" w:cs="楷体"/>
          <w:color w:val="auto"/>
          <w:sz w:val="24"/>
          <w:szCs w:val="24"/>
          <w:highlight w:val="none"/>
        </w:rPr>
        <w:t>”。</w:t>
      </w:r>
    </w:p>
    <w:p w14:paraId="5366B612">
      <w:pPr>
        <w:pStyle w:val="11"/>
        <w:shd w:val="clea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28.2中标人应在接受“</w:t>
      </w:r>
      <w:r>
        <w:rPr>
          <w:rFonts w:hint="eastAsia" w:ascii="楷体" w:hAnsi="楷体" w:eastAsia="楷体" w:cs="楷体"/>
          <w:b/>
          <w:color w:val="auto"/>
          <w:sz w:val="24"/>
          <w:szCs w:val="24"/>
          <w:highlight w:val="none"/>
        </w:rPr>
        <w:t>中标通知书</w:t>
      </w:r>
      <w:r>
        <w:rPr>
          <w:rFonts w:hint="eastAsia" w:ascii="楷体" w:hAnsi="楷体" w:eastAsia="楷体" w:cs="楷体"/>
          <w:color w:val="auto"/>
          <w:sz w:val="24"/>
          <w:szCs w:val="24"/>
          <w:highlight w:val="none"/>
        </w:rPr>
        <w:t>”前向采购代理机构一次付清代理服务费。</w:t>
      </w:r>
    </w:p>
    <w:p w14:paraId="199F2C36">
      <w:pPr>
        <w:pStyle w:val="11"/>
        <w:shd w:val="clear"/>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29.</w:t>
      </w:r>
      <w:r>
        <w:rPr>
          <w:rFonts w:hint="eastAsia" w:ascii="楷体" w:hAnsi="楷体" w:eastAsia="楷体" w:cs="楷体"/>
          <w:b/>
          <w:bCs/>
          <w:color w:val="auto"/>
          <w:sz w:val="24"/>
          <w:szCs w:val="24"/>
          <w:highlight w:val="none"/>
          <w:lang w:eastAsia="zh-CN"/>
        </w:rPr>
        <w:t>招标文件</w:t>
      </w:r>
      <w:r>
        <w:rPr>
          <w:rFonts w:hint="eastAsia" w:ascii="楷体" w:hAnsi="楷体" w:eastAsia="楷体" w:cs="楷体"/>
          <w:b/>
          <w:bCs/>
          <w:color w:val="auto"/>
          <w:sz w:val="24"/>
          <w:szCs w:val="24"/>
          <w:highlight w:val="none"/>
        </w:rPr>
        <w:t>编制依据</w:t>
      </w:r>
    </w:p>
    <w:p w14:paraId="2C1F4F81">
      <w:pPr>
        <w:pStyle w:val="11"/>
        <w:shd w:val="clear"/>
        <w:spacing w:line="360" w:lineRule="auto"/>
        <w:ind w:firstLine="480" w:firstLineChars="20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本</w:t>
      </w:r>
      <w:r>
        <w:rPr>
          <w:rFonts w:hint="eastAsia" w:ascii="楷体" w:hAnsi="楷体" w:eastAsia="楷体" w:cs="楷体"/>
          <w:color w:val="auto"/>
          <w:sz w:val="24"/>
          <w:szCs w:val="24"/>
          <w:highlight w:val="none"/>
          <w:lang w:eastAsia="zh-CN"/>
        </w:rPr>
        <w:t>招标文件</w:t>
      </w:r>
      <w:r>
        <w:rPr>
          <w:rFonts w:hint="eastAsia" w:ascii="楷体" w:hAnsi="楷体" w:eastAsia="楷体" w:cs="楷体"/>
          <w:color w:val="auto"/>
          <w:sz w:val="24"/>
          <w:szCs w:val="24"/>
          <w:highlight w:val="none"/>
        </w:rPr>
        <w:t>根据《中华人民共和国政府采购法》及相关法律法规编制。</w:t>
      </w:r>
    </w:p>
    <w:p w14:paraId="3815F959">
      <w:pPr>
        <w:pStyle w:val="11"/>
        <w:shd w:val="clear"/>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30.</w:t>
      </w:r>
      <w:r>
        <w:rPr>
          <w:rFonts w:hint="eastAsia" w:ascii="楷体" w:hAnsi="楷体" w:eastAsia="楷体" w:cs="楷体"/>
          <w:b/>
          <w:color w:val="auto"/>
          <w:sz w:val="24"/>
          <w:szCs w:val="24"/>
          <w:highlight w:val="none"/>
        </w:rPr>
        <w:t>需要补充的其他内容</w:t>
      </w:r>
    </w:p>
    <w:p w14:paraId="0E0C95A7">
      <w:pPr>
        <w:pStyle w:val="11"/>
        <w:shd w:val="clear"/>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30.1若供应商属于</w:t>
      </w:r>
      <w:r>
        <w:rPr>
          <w:rFonts w:hint="eastAsia" w:ascii="楷体" w:hAnsi="楷体" w:eastAsia="楷体" w:cs="楷体"/>
          <w:color w:val="auto"/>
          <w:sz w:val="24"/>
          <w:szCs w:val="24"/>
          <w:highlight w:val="none"/>
          <w:lang w:val="en-US" w:eastAsia="zh-CN"/>
        </w:rPr>
        <w:t>中</w:t>
      </w:r>
      <w:r>
        <w:rPr>
          <w:rFonts w:hint="eastAsia" w:ascii="楷体" w:hAnsi="楷体" w:eastAsia="楷体" w:cs="楷体"/>
          <w:color w:val="auto"/>
          <w:sz w:val="24"/>
          <w:szCs w:val="24"/>
          <w:highlight w:val="none"/>
        </w:rPr>
        <w:t>小微企业并提供相关证明资料，符合国家法律法规规定，在评审时按照国家相关规定报价给予</w:t>
      </w:r>
      <w:r>
        <w:rPr>
          <w:rFonts w:hint="eastAsia" w:ascii="楷体" w:hAnsi="楷体" w:eastAsia="楷体" w:cs="楷体"/>
          <w:color w:val="auto"/>
          <w:sz w:val="24"/>
          <w:szCs w:val="24"/>
          <w:highlight w:val="none"/>
          <w:lang w:val="en-US" w:eastAsia="zh-CN"/>
        </w:rPr>
        <w:t>10%</w:t>
      </w:r>
      <w:r>
        <w:rPr>
          <w:rFonts w:hint="eastAsia" w:ascii="楷体" w:hAnsi="楷体" w:eastAsia="楷体" w:cs="楷体"/>
          <w:color w:val="auto"/>
          <w:sz w:val="24"/>
          <w:szCs w:val="24"/>
          <w:highlight w:val="none"/>
        </w:rPr>
        <w:t>的价格折扣</w:t>
      </w:r>
      <w:r>
        <w:rPr>
          <w:rFonts w:hint="eastAsia" w:ascii="楷体" w:hAnsi="楷体" w:eastAsia="楷体" w:cs="楷体"/>
          <w:color w:val="auto"/>
          <w:kern w:val="2"/>
          <w:sz w:val="24"/>
          <w:szCs w:val="24"/>
          <w:highlight w:val="none"/>
          <w:lang w:eastAsia="zh-CN"/>
        </w:rPr>
        <w:t>，</w:t>
      </w:r>
      <w:r>
        <w:rPr>
          <w:rFonts w:hint="eastAsia" w:ascii="楷体" w:hAnsi="楷体" w:eastAsia="楷体" w:cs="楷体"/>
          <w:color w:val="auto"/>
          <w:kern w:val="2"/>
          <w:sz w:val="24"/>
          <w:szCs w:val="24"/>
          <w:highlight w:val="none"/>
          <w:lang w:val="en-US" w:eastAsia="zh-CN"/>
        </w:rPr>
        <w:t>用扣除后的价格参与评审，监狱企业及残疾人福利单位视同于中小微企业，不再另行减免</w:t>
      </w:r>
      <w:r>
        <w:rPr>
          <w:rFonts w:hint="eastAsia" w:ascii="楷体" w:hAnsi="楷体" w:eastAsia="楷体" w:cs="楷体"/>
          <w:color w:val="auto"/>
          <w:sz w:val="24"/>
          <w:szCs w:val="24"/>
          <w:highlight w:val="none"/>
          <w:lang w:eastAsia="zh-CN"/>
        </w:rPr>
        <w:t>；</w:t>
      </w:r>
    </w:p>
    <w:p w14:paraId="54869913">
      <w:pPr>
        <w:pStyle w:val="11"/>
        <w:shd w:val="clea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30.2若供应商提供的产品是国家法律法规要求的节能环保产品，并提供相关真实、有效的证明资料，在评审中，优先采购节能环保产品；</w:t>
      </w:r>
    </w:p>
    <w:p w14:paraId="6093E111">
      <w:pPr>
        <w:pStyle w:val="11"/>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楷体" w:hAnsi="楷体" w:eastAsia="楷体" w:cs="楷体"/>
          <w:b/>
          <w:bCs/>
          <w:color w:val="auto"/>
          <w:kern w:val="2"/>
          <w:sz w:val="24"/>
          <w:szCs w:val="24"/>
          <w:highlight w:val="none"/>
          <w:lang w:val="en-US" w:eastAsia="zh-CN"/>
        </w:rPr>
      </w:pPr>
      <w:r>
        <w:rPr>
          <w:rFonts w:hint="eastAsia" w:ascii="楷体" w:hAnsi="楷体" w:eastAsia="楷体" w:cs="楷体"/>
          <w:color w:val="auto"/>
          <w:sz w:val="24"/>
          <w:szCs w:val="24"/>
          <w:highlight w:val="none"/>
        </w:rPr>
        <w:t>30.3</w:t>
      </w:r>
      <w:r>
        <w:rPr>
          <w:rFonts w:hint="eastAsia" w:ascii="楷体" w:hAnsi="楷体" w:eastAsia="楷体" w:cs="楷体"/>
          <w:b/>
          <w:bCs/>
          <w:color w:val="auto"/>
          <w:sz w:val="24"/>
          <w:szCs w:val="24"/>
          <w:highlight w:val="none"/>
        </w:rPr>
        <w:t>本项目投标</w:t>
      </w:r>
      <w:r>
        <w:rPr>
          <w:rFonts w:hint="eastAsia" w:ascii="楷体" w:hAnsi="楷体" w:eastAsia="楷体" w:cs="楷体"/>
          <w:b/>
          <w:bCs/>
          <w:color w:val="auto"/>
          <w:sz w:val="24"/>
          <w:szCs w:val="24"/>
          <w:highlight w:val="none"/>
          <w:lang w:val="en-US" w:eastAsia="zh-CN"/>
        </w:rPr>
        <w:t>报价</w:t>
      </w:r>
      <w:r>
        <w:rPr>
          <w:rFonts w:hint="eastAsia" w:ascii="楷体" w:hAnsi="楷体" w:eastAsia="楷体" w:cs="楷体"/>
          <w:b/>
          <w:bCs/>
          <w:color w:val="auto"/>
          <w:sz w:val="24"/>
          <w:szCs w:val="24"/>
          <w:highlight w:val="none"/>
        </w:rPr>
        <w:t>以</w:t>
      </w:r>
      <w:r>
        <w:rPr>
          <w:rFonts w:hint="eastAsia" w:ascii="楷体" w:hAnsi="楷体" w:eastAsia="楷体" w:cs="楷体"/>
          <w:b/>
          <w:bCs/>
          <w:color w:val="auto"/>
          <w:kern w:val="2"/>
          <w:sz w:val="24"/>
          <w:szCs w:val="24"/>
          <w:highlight w:val="none"/>
          <w:lang w:val="en-US" w:eastAsia="zh-CN"/>
        </w:rPr>
        <w:t>采购品目进行单价报价（所有单价报价不得超过第五章采购需求中给出的单价限价，超过单价限价的作废标处理），在价格评审时以单价报价的合价进行评审。供应商在填写分项报价表时根据自身情况（含税金等进行报价）不得出现恶意竞争的情况（如哄抬报价或低于市场报价或低于成本价的报价）在评审时评标委员会将对所有分项报价进行清标，对于明显低于其他供应商的报价评标委员会将要求供应商在规定的时间内作出相关报价的情况说明，必要时提供相应证明材料，供应商不能按时作出相关报价说明的应当将其作为无效报价处理。分项报价表将作为签订合同的重要组成部分。</w:t>
      </w:r>
    </w:p>
    <w:p w14:paraId="19A17F42">
      <w:pPr>
        <w:pStyle w:val="11"/>
        <w:shd w:val="clea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br w:type="page"/>
      </w:r>
    </w:p>
    <w:p w14:paraId="0BC8A5DA">
      <w:pPr>
        <w:pStyle w:val="4"/>
        <w:numPr>
          <w:ilvl w:val="0"/>
          <w:numId w:val="0"/>
        </w:numPr>
        <w:shd w:val="clear"/>
        <w:spacing w:before="0" w:line="240" w:lineRule="auto"/>
        <w:jc w:val="center"/>
        <w:rPr>
          <w:rFonts w:hint="eastAsia" w:ascii="楷体" w:hAnsi="楷体" w:eastAsia="楷体" w:cs="楷体"/>
          <w:color w:val="auto"/>
          <w:sz w:val="36"/>
          <w:highlight w:val="none"/>
        </w:rPr>
      </w:pPr>
      <w:bookmarkStart w:id="80" w:name="_Toc25984"/>
      <w:bookmarkStart w:id="81" w:name="_Toc13953"/>
      <w:bookmarkStart w:id="82" w:name="_Toc213141090"/>
      <w:bookmarkStart w:id="83" w:name="_Toc13119"/>
      <w:bookmarkStart w:id="84" w:name="_Toc14729"/>
      <w:r>
        <w:rPr>
          <w:rFonts w:hint="eastAsia" w:ascii="楷体" w:hAnsi="楷体" w:eastAsia="楷体" w:cs="楷体"/>
          <w:color w:val="auto"/>
          <w:sz w:val="36"/>
          <w:highlight w:val="none"/>
        </w:rPr>
        <w:t>第三章 合同书样式及主要条款</w:t>
      </w:r>
      <w:bookmarkEnd w:id="80"/>
      <w:bookmarkEnd w:id="81"/>
      <w:bookmarkEnd w:id="82"/>
      <w:bookmarkEnd w:id="83"/>
      <w:bookmarkEnd w:id="84"/>
    </w:p>
    <w:tbl>
      <w:tblPr>
        <w:tblStyle w:val="19"/>
        <w:tblW w:w="9750" w:type="dxa"/>
        <w:jc w:val="center"/>
        <w:tblLayout w:type="fixed"/>
        <w:tblCellMar>
          <w:top w:w="0" w:type="dxa"/>
          <w:left w:w="0" w:type="dxa"/>
          <w:bottom w:w="0" w:type="dxa"/>
          <w:right w:w="0" w:type="dxa"/>
        </w:tblCellMar>
      </w:tblPr>
      <w:tblGrid>
        <w:gridCol w:w="9750"/>
      </w:tblGrid>
      <w:tr w14:paraId="670EAA03">
        <w:tblPrEx>
          <w:tblCellMar>
            <w:top w:w="0" w:type="dxa"/>
            <w:left w:w="0" w:type="dxa"/>
            <w:bottom w:w="0" w:type="dxa"/>
            <w:right w:w="0" w:type="dxa"/>
          </w:tblCellMar>
        </w:tblPrEx>
        <w:trPr>
          <w:jc w:val="center"/>
        </w:trPr>
        <w:tc>
          <w:tcPr>
            <w:tcW w:w="9750" w:type="dxa"/>
            <w:vAlign w:val="center"/>
          </w:tcPr>
          <w:p w14:paraId="5DF94D7D">
            <w:pPr>
              <w:shd w:val="clear"/>
              <w:tabs>
                <w:tab w:val="left" w:pos="1590"/>
                <w:tab w:val="left" w:pos="3409"/>
                <w:tab w:val="left" w:pos="4847"/>
                <w:tab w:val="left" w:pos="5711"/>
                <w:tab w:val="left" w:pos="7020"/>
                <w:tab w:val="left" w:pos="7891"/>
              </w:tabs>
              <w:spacing w:line="360" w:lineRule="auto"/>
              <w:rPr>
                <w:rFonts w:hint="eastAsia" w:ascii="楷体" w:hAnsi="楷体" w:eastAsia="楷体" w:cs="楷体"/>
                <w:color w:val="auto"/>
                <w:szCs w:val="18"/>
                <w:highlight w:val="none"/>
              </w:rPr>
            </w:pPr>
            <w:r>
              <w:rPr>
                <w:rFonts w:hint="eastAsia" w:ascii="楷体" w:hAnsi="楷体" w:eastAsia="楷体" w:cs="楷体"/>
                <w:color w:val="auto"/>
                <w:highlight w:val="none"/>
              </w:rPr>
              <w:t xml:space="preserve">合同编号：                       合同自编号： </w:t>
            </w:r>
            <w:r>
              <w:rPr>
                <w:rFonts w:hint="eastAsia" w:ascii="楷体" w:hAnsi="楷体" w:eastAsia="楷体" w:cs="楷体"/>
                <w:color w:val="auto"/>
                <w:highlight w:val="none"/>
              </w:rPr>
              <w:tab/>
            </w:r>
            <w:r>
              <w:rPr>
                <w:rFonts w:hint="eastAsia" w:ascii="楷体" w:hAnsi="楷体" w:eastAsia="楷体" w:cs="楷体"/>
                <w:color w:val="auto"/>
                <w:highlight w:val="none"/>
              </w:rPr>
              <w:tab/>
            </w:r>
            <w:r>
              <w:rPr>
                <w:rFonts w:hint="eastAsia" w:ascii="楷体" w:hAnsi="楷体" w:eastAsia="楷体" w:cs="楷体"/>
                <w:color w:val="auto"/>
                <w:highlight w:val="none"/>
              </w:rPr>
              <w:t>项目编号：</w:t>
            </w:r>
          </w:p>
        </w:tc>
      </w:tr>
    </w:tbl>
    <w:p w14:paraId="45DA7868">
      <w:pPr>
        <w:shd w:val="clear"/>
        <w:spacing w:after="240" w:line="360" w:lineRule="auto"/>
        <w:jc w:val="center"/>
        <w:rPr>
          <w:rFonts w:hint="eastAsia" w:ascii="楷体" w:hAnsi="楷体" w:eastAsia="楷体" w:cs="楷体"/>
          <w:color w:val="auto"/>
          <w:highlight w:val="none"/>
          <w:lang w:eastAsia="zh-CN"/>
        </w:rPr>
      </w:pPr>
      <w:r>
        <w:rPr>
          <w:rFonts w:hint="eastAsia" w:ascii="楷体" w:hAnsi="楷体" w:eastAsia="楷体" w:cs="楷体"/>
          <w:color w:val="auto"/>
          <w:highlight w:val="none"/>
        </w:rPr>
        <w:t>●本合同须加盖甲乙双方骑缝章有效</w:t>
      </w:r>
    </w:p>
    <w:p w14:paraId="443EDA8E">
      <w:pPr>
        <w:shd w:val="clear"/>
        <w:spacing w:line="360" w:lineRule="auto"/>
        <w:jc w:val="center"/>
        <w:rPr>
          <w:rFonts w:hint="eastAsia" w:ascii="楷体" w:hAnsi="楷体" w:eastAsia="楷体" w:cs="楷体"/>
          <w:b/>
          <w:bCs/>
          <w:color w:val="auto"/>
          <w:sz w:val="39"/>
          <w:szCs w:val="39"/>
          <w:highlight w:val="none"/>
          <w:lang w:eastAsia="zh-CN"/>
        </w:rPr>
      </w:pPr>
      <w:r>
        <w:rPr>
          <w:rFonts w:hint="eastAsia" w:ascii="楷体" w:hAnsi="楷体" w:eastAsia="楷体" w:cs="楷体"/>
          <w:b/>
          <w:bCs/>
          <w:color w:val="auto"/>
          <w:sz w:val="39"/>
          <w:szCs w:val="39"/>
          <w:highlight w:val="none"/>
        </w:rPr>
        <w:t>云南省政府采购</w:t>
      </w:r>
    </w:p>
    <w:p w14:paraId="554060EA">
      <w:pPr>
        <w:shd w:val="clear"/>
        <w:spacing w:after="240"/>
        <w:jc w:val="center"/>
        <w:rPr>
          <w:rFonts w:hint="eastAsia" w:ascii="楷体" w:hAnsi="楷体" w:eastAsia="楷体" w:cs="楷体"/>
          <w:color w:val="auto"/>
          <w:sz w:val="33"/>
          <w:szCs w:val="33"/>
          <w:highlight w:val="none"/>
          <w:lang w:eastAsia="zh-CN"/>
        </w:rPr>
      </w:pPr>
      <w:r>
        <w:rPr>
          <w:rFonts w:hint="eastAsia" w:ascii="楷体" w:hAnsi="楷体" w:eastAsia="楷体" w:cs="楷体"/>
          <w:color w:val="auto"/>
          <w:sz w:val="33"/>
          <w:szCs w:val="33"/>
          <w:highlight w:val="none"/>
        </w:rPr>
        <w:t>（委托采购）</w:t>
      </w:r>
    </w:p>
    <w:p w14:paraId="577BFEFC">
      <w:pPr>
        <w:shd w:val="clear"/>
        <w:spacing w:after="240"/>
        <w:jc w:val="center"/>
        <w:rPr>
          <w:rFonts w:hint="eastAsia" w:ascii="楷体" w:hAnsi="楷体" w:eastAsia="楷体" w:cs="楷体"/>
          <w:b/>
          <w:bCs/>
          <w:color w:val="auto"/>
          <w:sz w:val="63"/>
          <w:szCs w:val="63"/>
          <w:highlight w:val="none"/>
        </w:rPr>
      </w:pPr>
    </w:p>
    <w:p w14:paraId="02CAC86D">
      <w:pPr>
        <w:shd w:val="clear"/>
        <w:spacing w:after="240"/>
        <w:jc w:val="center"/>
        <w:rPr>
          <w:rFonts w:hint="eastAsia" w:ascii="楷体" w:hAnsi="楷体" w:eastAsia="楷体" w:cs="楷体"/>
          <w:b/>
          <w:bCs/>
          <w:color w:val="auto"/>
          <w:sz w:val="63"/>
          <w:szCs w:val="63"/>
          <w:highlight w:val="none"/>
        </w:rPr>
      </w:pPr>
    </w:p>
    <w:p w14:paraId="427BDE92">
      <w:pPr>
        <w:shd w:val="clear"/>
        <w:spacing w:after="240"/>
        <w:jc w:val="center"/>
        <w:rPr>
          <w:rFonts w:hint="eastAsia" w:ascii="楷体" w:hAnsi="楷体" w:eastAsia="楷体" w:cs="楷体"/>
          <w:b/>
          <w:bCs/>
          <w:color w:val="auto"/>
          <w:sz w:val="18"/>
          <w:szCs w:val="18"/>
          <w:highlight w:val="none"/>
        </w:rPr>
      </w:pPr>
      <w:r>
        <w:rPr>
          <w:rFonts w:hint="eastAsia" w:ascii="楷体" w:hAnsi="楷体" w:eastAsia="楷体" w:cs="楷体"/>
          <w:b/>
          <w:bCs/>
          <w:color w:val="auto"/>
          <w:sz w:val="63"/>
          <w:szCs w:val="63"/>
          <w:highlight w:val="none"/>
        </w:rPr>
        <w:t>合</w:t>
      </w:r>
    </w:p>
    <w:p w14:paraId="4A285596">
      <w:pPr>
        <w:shd w:val="clear"/>
        <w:spacing w:after="240"/>
        <w:jc w:val="center"/>
        <w:rPr>
          <w:rFonts w:hint="eastAsia" w:ascii="楷体" w:hAnsi="楷体" w:eastAsia="楷体" w:cs="楷体"/>
          <w:b/>
          <w:bCs/>
          <w:color w:val="auto"/>
          <w:sz w:val="18"/>
          <w:szCs w:val="18"/>
          <w:highlight w:val="none"/>
        </w:rPr>
      </w:pPr>
      <w:r>
        <w:rPr>
          <w:rFonts w:hint="eastAsia" w:ascii="楷体" w:hAnsi="楷体" w:eastAsia="楷体" w:cs="楷体"/>
          <w:b/>
          <w:bCs/>
          <w:color w:val="auto"/>
          <w:sz w:val="63"/>
          <w:szCs w:val="63"/>
          <w:highlight w:val="none"/>
        </w:rPr>
        <w:t>同</w:t>
      </w:r>
    </w:p>
    <w:p w14:paraId="6238C61B">
      <w:pPr>
        <w:shd w:val="clear"/>
        <w:spacing w:after="240"/>
        <w:jc w:val="center"/>
        <w:rPr>
          <w:rFonts w:hint="eastAsia" w:ascii="楷体" w:hAnsi="楷体" w:eastAsia="楷体" w:cs="楷体"/>
          <w:b/>
          <w:bCs/>
          <w:color w:val="auto"/>
          <w:sz w:val="63"/>
          <w:szCs w:val="63"/>
          <w:highlight w:val="none"/>
          <w:lang w:eastAsia="zh-CN"/>
        </w:rPr>
      </w:pPr>
      <w:r>
        <w:rPr>
          <w:rFonts w:hint="eastAsia" w:ascii="楷体" w:hAnsi="楷体" w:eastAsia="楷体" w:cs="楷体"/>
          <w:b/>
          <w:bCs/>
          <w:color w:val="auto"/>
          <w:sz w:val="63"/>
          <w:szCs w:val="63"/>
          <w:highlight w:val="none"/>
        </w:rPr>
        <w:t>书</w:t>
      </w:r>
    </w:p>
    <w:p w14:paraId="7F8E1B94">
      <w:pPr>
        <w:numPr>
          <w:ilvl w:val="0"/>
          <w:numId w:val="0"/>
        </w:numPr>
        <w:shd w:val="clear"/>
        <w:ind w:leftChars="0"/>
        <w:outlineLvl w:val="9"/>
        <w:rPr>
          <w:rFonts w:hint="eastAsia" w:ascii="楷体" w:hAnsi="楷体" w:eastAsia="楷体" w:cs="楷体"/>
          <w:color w:val="auto"/>
          <w:highlight w:val="none"/>
          <w:lang w:eastAsia="zh-CN"/>
        </w:rPr>
      </w:pPr>
    </w:p>
    <w:p w14:paraId="08821BBC">
      <w:pPr>
        <w:shd w:val="clear"/>
        <w:spacing w:after="240"/>
        <w:jc w:val="center"/>
        <w:rPr>
          <w:rFonts w:hint="eastAsia" w:ascii="楷体" w:hAnsi="楷体" w:eastAsia="楷体" w:cs="楷体"/>
          <w:color w:val="auto"/>
          <w:sz w:val="18"/>
          <w:szCs w:val="18"/>
          <w:highlight w:val="none"/>
        </w:rPr>
      </w:pPr>
    </w:p>
    <w:p w14:paraId="3CDC9303">
      <w:pPr>
        <w:shd w:val="clear"/>
        <w:spacing w:after="240"/>
        <w:jc w:val="center"/>
        <w:rPr>
          <w:rFonts w:hint="eastAsia" w:ascii="楷体" w:hAnsi="楷体" w:eastAsia="楷体" w:cs="楷体"/>
          <w:color w:val="auto"/>
          <w:sz w:val="18"/>
          <w:szCs w:val="18"/>
          <w:highlight w:val="none"/>
        </w:rPr>
      </w:pPr>
    </w:p>
    <w:p w14:paraId="1E161506">
      <w:pPr>
        <w:shd w:val="clear"/>
        <w:spacing w:after="240"/>
        <w:jc w:val="center"/>
        <w:rPr>
          <w:rFonts w:hint="eastAsia" w:ascii="楷体" w:hAnsi="楷体" w:eastAsia="楷体" w:cs="楷体"/>
          <w:color w:val="auto"/>
          <w:sz w:val="18"/>
          <w:szCs w:val="18"/>
          <w:highlight w:val="none"/>
        </w:rPr>
      </w:pPr>
    </w:p>
    <w:p w14:paraId="14F5A645">
      <w:pPr>
        <w:shd w:val="clear"/>
        <w:spacing w:after="240"/>
        <w:jc w:val="center"/>
        <w:rPr>
          <w:rFonts w:hint="eastAsia" w:ascii="楷体" w:hAnsi="楷体" w:eastAsia="楷体" w:cs="楷体"/>
          <w:color w:val="auto"/>
          <w:sz w:val="18"/>
          <w:szCs w:val="18"/>
          <w:highlight w:val="none"/>
        </w:rPr>
      </w:pPr>
    </w:p>
    <w:p w14:paraId="6B5714FB">
      <w:pPr>
        <w:shd w:val="clear"/>
        <w:spacing w:after="240"/>
        <w:jc w:val="center"/>
        <w:rPr>
          <w:rFonts w:hint="eastAsia" w:ascii="楷体" w:hAnsi="楷体" w:eastAsia="楷体" w:cs="楷体"/>
          <w:color w:val="auto"/>
          <w:sz w:val="18"/>
          <w:szCs w:val="18"/>
          <w:highlight w:val="none"/>
        </w:rPr>
      </w:pPr>
      <w:r>
        <w:rPr>
          <w:rFonts w:hint="eastAsia" w:ascii="楷体" w:hAnsi="楷体" w:eastAsia="楷体" w:cs="楷体"/>
          <w:b/>
          <w:bCs/>
          <w:color w:val="auto"/>
          <w:sz w:val="27"/>
          <w:szCs w:val="27"/>
          <w:highlight w:val="none"/>
        </w:rPr>
        <w:t>签订地点:</w:t>
      </w:r>
    </w:p>
    <w:p w14:paraId="74E27B98">
      <w:pPr>
        <w:pStyle w:val="17"/>
        <w:shd w:val="clear"/>
        <w:jc w:val="center"/>
        <w:rPr>
          <w:rFonts w:hint="eastAsia" w:ascii="楷体" w:hAnsi="楷体" w:eastAsia="楷体" w:cs="楷体"/>
          <w:color w:val="auto"/>
          <w:sz w:val="15"/>
          <w:szCs w:val="15"/>
          <w:highlight w:val="none"/>
        </w:rPr>
      </w:pPr>
      <w:r>
        <w:rPr>
          <w:rFonts w:hint="eastAsia" w:ascii="楷体" w:hAnsi="楷体" w:eastAsia="楷体" w:cs="楷体"/>
          <w:b/>
          <w:bCs/>
          <w:color w:val="auto"/>
          <w:sz w:val="27"/>
          <w:szCs w:val="27"/>
          <w:highlight w:val="none"/>
        </w:rPr>
        <w:t xml:space="preserve">云南省财政厅　制 </w:t>
      </w:r>
      <w:r>
        <w:rPr>
          <w:rFonts w:hint="eastAsia" w:ascii="楷体" w:hAnsi="楷体" w:eastAsia="楷体" w:cs="楷体"/>
          <w:color w:val="auto"/>
          <w:highlight w:val="none"/>
        </w:rPr>
        <w:br w:type="page"/>
      </w:r>
    </w:p>
    <w:p w14:paraId="5C9C628D">
      <w:pPr>
        <w:shd w:val="clear"/>
        <w:rPr>
          <w:rFonts w:hint="eastAsia" w:ascii="楷体" w:hAnsi="楷体" w:eastAsia="楷体" w:cs="楷体"/>
          <w:color w:val="auto"/>
          <w:sz w:val="24"/>
          <w:highlight w:val="none"/>
        </w:rPr>
      </w:pPr>
    </w:p>
    <w:p w14:paraId="092CA0EF">
      <w:pPr>
        <w:shd w:val="clear"/>
        <w:rPr>
          <w:rFonts w:hint="eastAsia" w:ascii="楷体" w:hAnsi="楷体" w:eastAsia="楷体" w:cs="楷体"/>
          <w:color w:val="auto"/>
          <w:sz w:val="24"/>
          <w:highlight w:val="none"/>
        </w:rPr>
      </w:pPr>
    </w:p>
    <w:p w14:paraId="623C0E4A">
      <w:pPr>
        <w:shd w:val="clear"/>
        <w:rPr>
          <w:rFonts w:hint="eastAsia" w:ascii="楷体" w:hAnsi="楷体" w:eastAsia="楷体" w:cs="楷体"/>
          <w:color w:val="auto"/>
          <w:sz w:val="24"/>
          <w:highlight w:val="none"/>
        </w:rPr>
      </w:pPr>
      <w:r>
        <w:rPr>
          <w:rFonts w:hint="eastAsia" w:ascii="楷体" w:hAnsi="楷体" w:eastAsia="楷体" w:cs="楷体"/>
          <w:color w:val="auto"/>
          <w:sz w:val="24"/>
          <w:highlight w:val="none"/>
        </w:rPr>
        <w:t>甲方（采购人公章）名 称：</w:t>
      </w:r>
    </w:p>
    <w:p w14:paraId="20BCD5F9">
      <w:pPr>
        <w:shd w:val="clear"/>
        <w:spacing w:line="480" w:lineRule="exact"/>
        <w:rPr>
          <w:rFonts w:hint="eastAsia" w:ascii="楷体" w:hAnsi="楷体" w:eastAsia="楷体" w:cs="楷体"/>
          <w:color w:val="auto"/>
          <w:sz w:val="24"/>
          <w:highlight w:val="none"/>
        </w:rPr>
      </w:pPr>
      <w:r>
        <w:rPr>
          <w:rFonts w:hint="eastAsia" w:ascii="楷体" w:hAnsi="楷体" w:eastAsia="楷体" w:cs="楷体"/>
          <w:color w:val="auto"/>
          <w:sz w:val="24"/>
          <w:highlight w:val="none"/>
        </w:rPr>
        <w:t>地 址：</w:t>
      </w:r>
    </w:p>
    <w:p w14:paraId="5CE1A23E">
      <w:pPr>
        <w:shd w:val="clear"/>
        <w:spacing w:line="480" w:lineRule="exact"/>
        <w:rPr>
          <w:rFonts w:hint="eastAsia" w:ascii="楷体" w:hAnsi="楷体" w:eastAsia="楷体" w:cs="楷体"/>
          <w:color w:val="auto"/>
          <w:sz w:val="24"/>
          <w:highlight w:val="none"/>
        </w:rPr>
      </w:pPr>
      <w:r>
        <w:rPr>
          <w:rFonts w:hint="eastAsia" w:ascii="楷体" w:hAnsi="楷体" w:eastAsia="楷体" w:cs="楷体"/>
          <w:color w:val="auto"/>
          <w:sz w:val="24"/>
          <w:highlight w:val="none"/>
        </w:rPr>
        <w:t>邮 编：</w:t>
      </w:r>
    </w:p>
    <w:p w14:paraId="19006B00">
      <w:pPr>
        <w:shd w:val="clear"/>
        <w:spacing w:line="480" w:lineRule="exact"/>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法定代表人或委托代理人： </w:t>
      </w:r>
    </w:p>
    <w:p w14:paraId="5F19DF5B">
      <w:pPr>
        <w:shd w:val="clear"/>
        <w:spacing w:line="480" w:lineRule="exact"/>
        <w:rPr>
          <w:rFonts w:hint="eastAsia" w:ascii="楷体" w:hAnsi="楷体" w:eastAsia="楷体" w:cs="楷体"/>
          <w:color w:val="auto"/>
          <w:sz w:val="24"/>
          <w:highlight w:val="none"/>
        </w:rPr>
      </w:pPr>
      <w:r>
        <w:rPr>
          <w:rFonts w:hint="eastAsia" w:ascii="楷体" w:hAnsi="楷体" w:eastAsia="楷体" w:cs="楷体"/>
          <w:color w:val="auto"/>
          <w:sz w:val="24"/>
          <w:highlight w:val="none"/>
        </w:rPr>
        <w:t>项目（技术）负责人：</w:t>
      </w:r>
    </w:p>
    <w:p w14:paraId="74D67244">
      <w:pPr>
        <w:shd w:val="clear"/>
        <w:spacing w:line="480" w:lineRule="exact"/>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电 话 ： </w:t>
      </w:r>
    </w:p>
    <w:p w14:paraId="1652A02C">
      <w:pPr>
        <w:shd w:val="clear"/>
        <w:spacing w:line="480" w:lineRule="exact"/>
        <w:rPr>
          <w:rFonts w:hint="eastAsia" w:ascii="楷体" w:hAnsi="楷体" w:eastAsia="楷体" w:cs="楷体"/>
          <w:color w:val="auto"/>
          <w:sz w:val="24"/>
          <w:highlight w:val="none"/>
        </w:rPr>
      </w:pPr>
      <w:r>
        <w:rPr>
          <w:rFonts w:hint="eastAsia" w:ascii="楷体" w:hAnsi="楷体" w:eastAsia="楷体" w:cs="楷体"/>
          <w:color w:val="auto"/>
          <w:sz w:val="24"/>
          <w:highlight w:val="none"/>
        </w:rPr>
        <w:t>签订日期：</w:t>
      </w:r>
    </w:p>
    <w:p w14:paraId="36212889">
      <w:pPr>
        <w:shd w:val="clear"/>
        <w:spacing w:line="480" w:lineRule="exact"/>
        <w:rPr>
          <w:rFonts w:hint="eastAsia" w:ascii="楷体" w:hAnsi="楷体" w:eastAsia="楷体" w:cs="楷体"/>
          <w:color w:val="auto"/>
          <w:sz w:val="24"/>
          <w:highlight w:val="none"/>
        </w:rPr>
      </w:pPr>
    </w:p>
    <w:p w14:paraId="6F6756BF">
      <w:pPr>
        <w:shd w:val="clear"/>
        <w:spacing w:line="480" w:lineRule="exact"/>
        <w:rPr>
          <w:rFonts w:hint="eastAsia" w:ascii="楷体" w:hAnsi="楷体" w:eastAsia="楷体" w:cs="楷体"/>
          <w:color w:val="auto"/>
          <w:sz w:val="24"/>
          <w:highlight w:val="none"/>
        </w:rPr>
      </w:pPr>
    </w:p>
    <w:p w14:paraId="4F5A875D">
      <w:pPr>
        <w:shd w:val="clear"/>
        <w:spacing w:line="480" w:lineRule="exact"/>
        <w:rPr>
          <w:rFonts w:hint="eastAsia" w:ascii="楷体" w:hAnsi="楷体" w:eastAsia="楷体" w:cs="楷体"/>
          <w:color w:val="auto"/>
          <w:sz w:val="24"/>
          <w:highlight w:val="none"/>
        </w:rPr>
      </w:pPr>
      <w:r>
        <w:rPr>
          <w:rFonts w:hint="eastAsia" w:ascii="楷体" w:hAnsi="楷体" w:eastAsia="楷体" w:cs="楷体"/>
          <w:color w:val="auto"/>
          <w:sz w:val="24"/>
          <w:highlight w:val="none"/>
        </w:rPr>
        <w:t>乙方（</w:t>
      </w:r>
      <w:r>
        <w:rPr>
          <w:rFonts w:hint="eastAsia" w:ascii="楷体" w:hAnsi="楷体" w:eastAsia="楷体" w:cs="楷体"/>
          <w:color w:val="auto"/>
          <w:sz w:val="24"/>
          <w:highlight w:val="none"/>
          <w:lang w:eastAsia="zh-CN"/>
        </w:rPr>
        <w:t>供应商</w:t>
      </w:r>
      <w:r>
        <w:rPr>
          <w:rFonts w:hint="eastAsia" w:ascii="楷体" w:hAnsi="楷体" w:eastAsia="楷体" w:cs="楷体"/>
          <w:color w:val="auto"/>
          <w:sz w:val="24"/>
          <w:highlight w:val="none"/>
        </w:rPr>
        <w:t>公章）名 称：</w:t>
      </w:r>
    </w:p>
    <w:p w14:paraId="41E88703">
      <w:pPr>
        <w:shd w:val="clear"/>
        <w:spacing w:line="480" w:lineRule="exact"/>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地 址： </w:t>
      </w:r>
    </w:p>
    <w:p w14:paraId="5DEBFF20">
      <w:pPr>
        <w:shd w:val="clear"/>
        <w:spacing w:line="480" w:lineRule="exact"/>
        <w:rPr>
          <w:rFonts w:hint="eastAsia" w:ascii="楷体" w:hAnsi="楷体" w:eastAsia="楷体" w:cs="楷体"/>
          <w:color w:val="auto"/>
          <w:sz w:val="24"/>
          <w:highlight w:val="none"/>
        </w:rPr>
      </w:pPr>
      <w:r>
        <w:rPr>
          <w:rFonts w:hint="eastAsia" w:ascii="楷体" w:hAnsi="楷体" w:eastAsia="楷体" w:cs="楷体"/>
          <w:color w:val="auto"/>
          <w:sz w:val="24"/>
          <w:highlight w:val="none"/>
        </w:rPr>
        <w:t>邮 编：</w:t>
      </w:r>
    </w:p>
    <w:p w14:paraId="54821E67">
      <w:pPr>
        <w:shd w:val="clear"/>
        <w:spacing w:line="480" w:lineRule="exact"/>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法定代表人或委托代理人： </w:t>
      </w:r>
    </w:p>
    <w:p w14:paraId="1EEF48DB">
      <w:pPr>
        <w:shd w:val="clear"/>
        <w:spacing w:line="480" w:lineRule="exact"/>
        <w:rPr>
          <w:rFonts w:hint="eastAsia" w:ascii="楷体" w:hAnsi="楷体" w:eastAsia="楷体" w:cs="楷体"/>
          <w:color w:val="auto"/>
          <w:sz w:val="24"/>
          <w:highlight w:val="none"/>
        </w:rPr>
      </w:pPr>
      <w:r>
        <w:rPr>
          <w:rFonts w:hint="eastAsia" w:ascii="楷体" w:hAnsi="楷体" w:eastAsia="楷体" w:cs="楷体"/>
          <w:color w:val="auto"/>
          <w:sz w:val="24"/>
          <w:highlight w:val="none"/>
        </w:rPr>
        <w:t>经办人：</w:t>
      </w:r>
    </w:p>
    <w:p w14:paraId="45A8E8D7">
      <w:pPr>
        <w:shd w:val="clear"/>
        <w:spacing w:line="480" w:lineRule="exact"/>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电 话 ： </w:t>
      </w:r>
    </w:p>
    <w:p w14:paraId="44AA305B">
      <w:pPr>
        <w:shd w:val="clear"/>
        <w:spacing w:line="480" w:lineRule="exact"/>
        <w:rPr>
          <w:rFonts w:hint="eastAsia" w:ascii="楷体" w:hAnsi="楷体" w:eastAsia="楷体" w:cs="楷体"/>
          <w:color w:val="auto"/>
          <w:sz w:val="24"/>
          <w:highlight w:val="none"/>
        </w:rPr>
      </w:pPr>
      <w:r>
        <w:rPr>
          <w:rFonts w:hint="eastAsia" w:ascii="楷体" w:hAnsi="楷体" w:eastAsia="楷体" w:cs="楷体"/>
          <w:color w:val="auto"/>
          <w:sz w:val="24"/>
          <w:highlight w:val="none"/>
        </w:rPr>
        <w:t>签订日期：</w:t>
      </w:r>
    </w:p>
    <w:p w14:paraId="2FA5AAF3">
      <w:pPr>
        <w:shd w:val="clear"/>
        <w:spacing w:line="480" w:lineRule="exact"/>
        <w:rPr>
          <w:rFonts w:hint="eastAsia" w:ascii="楷体" w:hAnsi="楷体" w:eastAsia="楷体" w:cs="楷体"/>
          <w:color w:val="auto"/>
          <w:sz w:val="24"/>
          <w:highlight w:val="none"/>
        </w:rPr>
      </w:pPr>
    </w:p>
    <w:p w14:paraId="3D5C6B98">
      <w:pPr>
        <w:shd w:val="clear"/>
        <w:spacing w:line="480" w:lineRule="exact"/>
        <w:rPr>
          <w:rFonts w:hint="eastAsia" w:ascii="楷体" w:hAnsi="楷体" w:eastAsia="楷体" w:cs="楷体"/>
          <w:color w:val="auto"/>
          <w:sz w:val="24"/>
          <w:highlight w:val="none"/>
        </w:rPr>
      </w:pPr>
    </w:p>
    <w:p w14:paraId="338C07CF">
      <w:pPr>
        <w:shd w:val="clear"/>
        <w:spacing w:line="480" w:lineRule="exact"/>
        <w:rPr>
          <w:rFonts w:hint="eastAsia" w:ascii="楷体" w:hAnsi="楷体" w:eastAsia="楷体" w:cs="楷体"/>
          <w:color w:val="auto"/>
          <w:sz w:val="24"/>
          <w:highlight w:val="none"/>
        </w:rPr>
      </w:pPr>
      <w:r>
        <w:rPr>
          <w:rFonts w:hint="eastAsia" w:ascii="楷体" w:hAnsi="楷体" w:eastAsia="楷体" w:cs="楷体"/>
          <w:color w:val="auto"/>
          <w:sz w:val="24"/>
          <w:highlight w:val="none"/>
        </w:rPr>
        <w:t>丙方（鉴证方公章）名称：</w:t>
      </w:r>
    </w:p>
    <w:p w14:paraId="57D1C72C">
      <w:pPr>
        <w:shd w:val="clear"/>
        <w:spacing w:line="480" w:lineRule="exact"/>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地 址： </w:t>
      </w:r>
    </w:p>
    <w:p w14:paraId="68786271">
      <w:pPr>
        <w:shd w:val="clear"/>
        <w:spacing w:line="480" w:lineRule="exact"/>
        <w:rPr>
          <w:rFonts w:hint="eastAsia" w:ascii="楷体" w:hAnsi="楷体" w:eastAsia="楷体" w:cs="楷体"/>
          <w:color w:val="auto"/>
          <w:sz w:val="24"/>
          <w:highlight w:val="none"/>
        </w:rPr>
      </w:pPr>
      <w:r>
        <w:rPr>
          <w:rFonts w:hint="eastAsia" w:ascii="楷体" w:hAnsi="楷体" w:eastAsia="楷体" w:cs="楷体"/>
          <w:color w:val="auto"/>
          <w:sz w:val="24"/>
          <w:highlight w:val="none"/>
        </w:rPr>
        <w:t>邮 编：</w:t>
      </w:r>
    </w:p>
    <w:p w14:paraId="79F3890F">
      <w:pPr>
        <w:shd w:val="clear"/>
        <w:spacing w:line="480" w:lineRule="exact"/>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法定代表人或委托代理人： </w:t>
      </w:r>
    </w:p>
    <w:p w14:paraId="428DB33D">
      <w:pPr>
        <w:shd w:val="clear"/>
        <w:spacing w:line="480" w:lineRule="exact"/>
        <w:rPr>
          <w:rFonts w:hint="eastAsia" w:ascii="楷体" w:hAnsi="楷体" w:eastAsia="楷体" w:cs="楷体"/>
          <w:color w:val="auto"/>
          <w:sz w:val="24"/>
          <w:highlight w:val="none"/>
        </w:rPr>
      </w:pPr>
      <w:r>
        <w:rPr>
          <w:rFonts w:hint="eastAsia" w:ascii="楷体" w:hAnsi="楷体" w:eastAsia="楷体" w:cs="楷体"/>
          <w:color w:val="auto"/>
          <w:sz w:val="24"/>
          <w:highlight w:val="none"/>
        </w:rPr>
        <w:t>经办人：</w:t>
      </w:r>
    </w:p>
    <w:p w14:paraId="2FCBBD77">
      <w:pPr>
        <w:shd w:val="clear"/>
        <w:spacing w:line="480" w:lineRule="exact"/>
        <w:rPr>
          <w:rFonts w:hint="eastAsia" w:ascii="楷体" w:hAnsi="楷体" w:eastAsia="楷体" w:cs="楷体"/>
          <w:color w:val="auto"/>
          <w:highlight w:val="none"/>
        </w:rPr>
      </w:pPr>
      <w:r>
        <w:rPr>
          <w:rFonts w:hint="eastAsia" w:ascii="楷体" w:hAnsi="楷体" w:eastAsia="楷体" w:cs="楷体"/>
          <w:color w:val="auto"/>
          <w:sz w:val="24"/>
          <w:highlight w:val="none"/>
        </w:rPr>
        <w:t>电 话：</w:t>
      </w:r>
    </w:p>
    <w:p w14:paraId="1A8F6B63">
      <w:pPr>
        <w:shd w:val="clear"/>
        <w:rPr>
          <w:rFonts w:hint="eastAsia" w:ascii="楷体" w:hAnsi="楷体" w:eastAsia="楷体" w:cs="楷体"/>
          <w:bCs/>
          <w:color w:val="auto"/>
          <w:szCs w:val="21"/>
          <w:highlight w:val="none"/>
        </w:rPr>
      </w:pPr>
      <w:r>
        <w:rPr>
          <w:rFonts w:hint="eastAsia" w:ascii="楷体" w:hAnsi="楷体" w:eastAsia="楷体" w:cs="楷体"/>
          <w:bCs/>
          <w:color w:val="auto"/>
          <w:szCs w:val="21"/>
          <w:highlight w:val="none"/>
        </w:rPr>
        <w:br w:type="page"/>
      </w:r>
    </w:p>
    <w:p w14:paraId="2F6A90B0">
      <w:pPr>
        <w:shd w:val="clear"/>
        <w:spacing w:line="360" w:lineRule="auto"/>
        <w:ind w:firstLine="482" w:firstLineChars="200"/>
        <w:jc w:val="left"/>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（注：本合同样式仅供参考，具体合同内容以采购方和使用方与中标</w:t>
      </w:r>
      <w:r>
        <w:rPr>
          <w:rFonts w:hint="eastAsia" w:ascii="楷体" w:hAnsi="楷体" w:eastAsia="楷体" w:cs="楷体"/>
          <w:b/>
          <w:color w:val="auto"/>
          <w:sz w:val="24"/>
          <w:szCs w:val="24"/>
          <w:highlight w:val="none"/>
          <w:lang w:eastAsia="zh-CN"/>
        </w:rPr>
        <w:t>供应商</w:t>
      </w:r>
      <w:r>
        <w:rPr>
          <w:rFonts w:hint="eastAsia" w:ascii="楷体" w:hAnsi="楷体" w:eastAsia="楷体" w:cs="楷体"/>
          <w:b/>
          <w:color w:val="auto"/>
          <w:sz w:val="24"/>
          <w:szCs w:val="24"/>
          <w:highlight w:val="none"/>
        </w:rPr>
        <w:t>签定的合同为准）</w:t>
      </w:r>
    </w:p>
    <w:p w14:paraId="4C408D63">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甲乙双方根据《中华人民共和国政府采购法》、《中华人民共和国政府采购法实施条例》、《中华人民共和国</w:t>
      </w:r>
      <w:r>
        <w:rPr>
          <w:rFonts w:hint="eastAsia" w:ascii="楷体" w:hAnsi="楷体" w:eastAsia="楷体" w:cs="楷体"/>
          <w:color w:val="auto"/>
          <w:sz w:val="24"/>
          <w:szCs w:val="24"/>
          <w:highlight w:val="none"/>
          <w:lang w:val="en-US" w:eastAsia="zh-CN"/>
        </w:rPr>
        <w:t>民法典</w:t>
      </w:r>
      <w:r>
        <w:rPr>
          <w:rFonts w:hint="eastAsia" w:ascii="楷体" w:hAnsi="楷体" w:eastAsia="楷体" w:cs="楷体"/>
          <w:color w:val="auto"/>
          <w:sz w:val="24"/>
          <w:szCs w:val="24"/>
          <w:highlight w:val="none"/>
        </w:rPr>
        <w:t xml:space="preserve">》等相关法律规定及项目编号为 （项目编号） “（采购项目名称）”的采购结果，经双方协定达成一致，签订以下内容： </w:t>
      </w:r>
    </w:p>
    <w:p w14:paraId="091F66D9">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一、供货时间及供货范围。 </w:t>
      </w:r>
    </w:p>
    <w:p w14:paraId="214EC385">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r>
        <w:rPr>
          <w:rFonts w:hint="eastAsia" w:ascii="楷体" w:hAnsi="楷体" w:eastAsia="楷体" w:cs="楷体"/>
          <w:color w:val="auto"/>
          <w:sz w:val="24"/>
          <w:szCs w:val="24"/>
          <w:highlight w:val="none"/>
          <w:lang w:eastAsia="zh-CN"/>
        </w:rPr>
        <w:t>交货时间</w:t>
      </w:r>
      <w:r>
        <w:rPr>
          <w:rFonts w:hint="eastAsia" w:ascii="楷体" w:hAnsi="楷体" w:eastAsia="楷体" w:cs="楷体"/>
          <w:color w:val="auto"/>
          <w:sz w:val="24"/>
          <w:szCs w:val="24"/>
          <w:highlight w:val="none"/>
        </w:rPr>
        <w:t xml:space="preserve">：自 年 月 日起至 年 月 日止。乙方（供方）按照甲方（需方）需求分批次送货。 </w:t>
      </w:r>
    </w:p>
    <w:p w14:paraId="762F336F">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2.供货范围： </w:t>
      </w:r>
    </w:p>
    <w:p w14:paraId="6222AFCB">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3.乙方所供应产品必须符合卫生要求和产品质量标准。 </w:t>
      </w:r>
    </w:p>
    <w:p w14:paraId="2795CF7B">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4.每次供应数量由甲方通知乙方，乙方须按照甲方要求将甲方所需菜品（以当季品种为主）、数运送至甲方指定地点，运费由乙方自行承担。 </w:t>
      </w:r>
    </w:p>
    <w:p w14:paraId="530BF474">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二、质量标准 </w:t>
      </w:r>
    </w:p>
    <w:p w14:paraId="0FCBA2D8">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1.乙方按甲方要求供货，乙方必须保证所供货物的质量为市场的中上品质。 </w:t>
      </w:r>
    </w:p>
    <w:p w14:paraId="3725936D">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2.质量要求、验收标准：符合《中华人民共和国食品安全法》和《中华人民共和国食品安全法实施条例》，《食品安全国家标准管理办法》（卫生部令第77号）等，满足采购人的使用需求；</w:t>
      </w:r>
    </w:p>
    <w:p w14:paraId="61C0C44A">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验收时发现未能达到甲方及国家标准和行业标准要求，甲方有权拒收，乙方自行承担因此造成的损失。 </w:t>
      </w:r>
    </w:p>
    <w:p w14:paraId="0C30C661">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三、运输方式及交货地点 </w:t>
      </w:r>
    </w:p>
    <w:p w14:paraId="0597A406">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1.交货要求：每周供货次，乙方（供方）按照甲方（需方）需求为准分批次送货。 </w:t>
      </w:r>
    </w:p>
    <w:p w14:paraId="735D742C">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2.交货地点: 采购人指定地点。 </w:t>
      </w:r>
    </w:p>
    <w:p w14:paraId="4B2351F8">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3.交货时间：按甲方要求送达。 </w:t>
      </w:r>
    </w:p>
    <w:p w14:paraId="64850AAC">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4.运输方式、包装及费用负担：由乙方负责承担。 </w:t>
      </w:r>
    </w:p>
    <w:p w14:paraId="16CB2139">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5.运输过程中发生的损坏由乙方负责更换并承担相应费用。 </w:t>
      </w:r>
    </w:p>
    <w:p w14:paraId="2F3FE06F">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四、验收方式 </w:t>
      </w:r>
    </w:p>
    <w:p w14:paraId="47270454">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1.供货时对</w:t>
      </w:r>
      <w:r>
        <w:rPr>
          <w:rFonts w:hint="eastAsia" w:ascii="楷体" w:hAnsi="楷体" w:eastAsia="楷体" w:cs="楷体"/>
          <w:color w:val="auto"/>
          <w:sz w:val="24"/>
          <w:szCs w:val="24"/>
          <w:highlight w:val="none"/>
          <w:lang w:val="en-US" w:eastAsia="zh-CN"/>
        </w:rPr>
        <w:t>货物</w:t>
      </w:r>
      <w:r>
        <w:rPr>
          <w:rFonts w:hint="eastAsia" w:ascii="楷体" w:hAnsi="楷体" w:eastAsia="楷体" w:cs="楷体"/>
          <w:color w:val="auto"/>
          <w:sz w:val="24"/>
          <w:szCs w:val="24"/>
          <w:highlight w:val="none"/>
        </w:rPr>
        <w:t xml:space="preserve">质量、数量进行验收。 </w:t>
      </w:r>
    </w:p>
    <w:p w14:paraId="27099A32">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2.甲方将在乙方供货过程中采取不定期抽检，抽检送第三方检测产生的费用由乙方承担，若检验不合格的，甲方有权拒绝收货并解除合同，并要求乙方承担该批次供货总价 %违约责任。 </w:t>
      </w:r>
    </w:p>
    <w:p w14:paraId="4F810500">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五、结算方式、结算价格、合同总价 </w:t>
      </w:r>
    </w:p>
    <w:p w14:paraId="606F1474">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1.结算方式：以实际供货数量结算。</w:t>
      </w:r>
    </w:p>
    <w:p w14:paraId="2EBDA35F">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2.结算价格：</w:t>
      </w:r>
    </w:p>
    <w:p w14:paraId="4406F634">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3.合同总价： </w:t>
      </w:r>
    </w:p>
    <w:p w14:paraId="598CCCAC">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六</w:t>
      </w:r>
      <w:r>
        <w:rPr>
          <w:rFonts w:hint="eastAsia" w:ascii="楷体" w:hAnsi="楷体" w:eastAsia="楷体" w:cs="楷体"/>
          <w:color w:val="auto"/>
          <w:sz w:val="24"/>
          <w:szCs w:val="24"/>
          <w:highlight w:val="none"/>
        </w:rPr>
        <w:t xml:space="preserve">、售后服务及责任 </w:t>
      </w:r>
    </w:p>
    <w:p w14:paraId="30A214F3">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1.乙方所供货物必须符合国家、行业相关标准。 </w:t>
      </w:r>
    </w:p>
    <w:p w14:paraId="2F470173">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2.甲方人为因素造成货物变质责任由甲方自行承担。 </w:t>
      </w:r>
    </w:p>
    <w:p w14:paraId="09FBF8B1">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3.乙方因素造成货物变质责任由乙方自行承担全部责任。 </w:t>
      </w:r>
    </w:p>
    <w:p w14:paraId="4A1FA7D2">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七</w:t>
      </w:r>
      <w:r>
        <w:rPr>
          <w:rFonts w:hint="eastAsia" w:ascii="楷体" w:hAnsi="楷体" w:eastAsia="楷体" w:cs="楷体"/>
          <w:color w:val="auto"/>
          <w:sz w:val="24"/>
          <w:szCs w:val="24"/>
          <w:highlight w:val="none"/>
        </w:rPr>
        <w:t xml:space="preserve">、责任划分 </w:t>
      </w:r>
    </w:p>
    <w:p w14:paraId="441DC7D4">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（一）乙方责任 </w:t>
      </w:r>
    </w:p>
    <w:p w14:paraId="2C9833AC">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r>
        <w:rPr>
          <w:rFonts w:hint="eastAsia" w:ascii="楷体" w:hAnsi="楷体" w:eastAsia="楷体" w:cs="楷体"/>
          <w:color w:val="auto"/>
          <w:sz w:val="24"/>
          <w:szCs w:val="24"/>
          <w:highlight w:val="none"/>
          <w:lang w:val="en-US" w:eastAsia="zh-CN"/>
        </w:rPr>
        <w:t>.</w:t>
      </w:r>
      <w:r>
        <w:rPr>
          <w:rFonts w:hint="eastAsia" w:ascii="楷体" w:hAnsi="楷体" w:eastAsia="楷体" w:cs="楷体"/>
          <w:color w:val="auto"/>
          <w:sz w:val="24"/>
          <w:szCs w:val="24"/>
          <w:highlight w:val="none"/>
        </w:rPr>
        <w:t>乙方须按与甲方商定的时间及有关要求按时、按质、按量将订购的</w:t>
      </w:r>
      <w:r>
        <w:rPr>
          <w:rFonts w:hint="eastAsia" w:ascii="楷体" w:hAnsi="楷体" w:eastAsia="楷体" w:cs="楷体"/>
          <w:color w:val="auto"/>
          <w:sz w:val="24"/>
          <w:szCs w:val="24"/>
          <w:highlight w:val="none"/>
          <w:lang w:val="en-US" w:eastAsia="zh-CN"/>
        </w:rPr>
        <w:t>货物</w:t>
      </w:r>
      <w:r>
        <w:rPr>
          <w:rFonts w:hint="eastAsia" w:ascii="楷体" w:hAnsi="楷体" w:eastAsia="楷体" w:cs="楷体"/>
          <w:color w:val="auto"/>
          <w:sz w:val="24"/>
          <w:szCs w:val="24"/>
          <w:highlight w:val="none"/>
        </w:rPr>
        <w:t>送达，如遇到不可抗力导致不能送达，乙方需在半个小时内通知甲方。非不可抗力因素导致</w:t>
      </w:r>
      <w:r>
        <w:rPr>
          <w:rFonts w:hint="eastAsia" w:ascii="楷体" w:hAnsi="楷体" w:eastAsia="楷体" w:cs="楷体"/>
          <w:color w:val="auto"/>
          <w:sz w:val="24"/>
          <w:szCs w:val="24"/>
          <w:highlight w:val="none"/>
          <w:lang w:val="en-US" w:eastAsia="zh-CN"/>
        </w:rPr>
        <w:t>货物</w:t>
      </w:r>
      <w:r>
        <w:rPr>
          <w:rFonts w:hint="eastAsia" w:ascii="楷体" w:hAnsi="楷体" w:eastAsia="楷体" w:cs="楷体"/>
          <w:color w:val="auto"/>
          <w:sz w:val="24"/>
          <w:szCs w:val="24"/>
          <w:highlight w:val="none"/>
        </w:rPr>
        <w:t xml:space="preserve">不能送达的，由乙方承担甲方相应损失。 </w:t>
      </w:r>
    </w:p>
    <w:p w14:paraId="0E29CB02">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2</w:t>
      </w:r>
      <w:r>
        <w:rPr>
          <w:rFonts w:hint="eastAsia" w:ascii="楷体" w:hAnsi="楷体" w:eastAsia="楷体" w:cs="楷体"/>
          <w:color w:val="auto"/>
          <w:sz w:val="24"/>
          <w:szCs w:val="24"/>
          <w:highlight w:val="none"/>
        </w:rPr>
        <w:t>.乙方员工及车辆在配送</w:t>
      </w:r>
      <w:r>
        <w:rPr>
          <w:rFonts w:hint="eastAsia" w:ascii="楷体" w:hAnsi="楷体" w:eastAsia="楷体" w:cs="楷体"/>
          <w:color w:val="auto"/>
          <w:sz w:val="24"/>
          <w:szCs w:val="24"/>
          <w:highlight w:val="none"/>
          <w:lang w:val="en-US" w:eastAsia="zh-CN"/>
        </w:rPr>
        <w:t>货物</w:t>
      </w:r>
      <w:r>
        <w:rPr>
          <w:rFonts w:hint="eastAsia" w:ascii="楷体" w:hAnsi="楷体" w:eastAsia="楷体" w:cs="楷体"/>
          <w:color w:val="auto"/>
          <w:sz w:val="24"/>
          <w:szCs w:val="24"/>
          <w:highlight w:val="none"/>
        </w:rPr>
        <w:t xml:space="preserve">过程中造成的一切损失由乙方承担，甲方不承担任何责任。 </w:t>
      </w:r>
    </w:p>
    <w:p w14:paraId="2FED276C">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（二）甲方责任 </w:t>
      </w:r>
    </w:p>
    <w:p w14:paraId="765A8CAA">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1.因甲方不能按时填报配送计划，导致乙方不能按时配送</w:t>
      </w:r>
      <w:r>
        <w:rPr>
          <w:rFonts w:hint="eastAsia" w:ascii="楷体" w:hAnsi="楷体" w:eastAsia="楷体" w:cs="楷体"/>
          <w:color w:val="auto"/>
          <w:sz w:val="24"/>
          <w:szCs w:val="24"/>
          <w:highlight w:val="none"/>
          <w:lang w:val="en-US" w:eastAsia="zh-CN"/>
        </w:rPr>
        <w:t>货物</w:t>
      </w:r>
      <w:r>
        <w:rPr>
          <w:rFonts w:hint="eastAsia" w:ascii="楷体" w:hAnsi="楷体" w:eastAsia="楷体" w:cs="楷体"/>
          <w:color w:val="auto"/>
          <w:sz w:val="24"/>
          <w:szCs w:val="24"/>
          <w:highlight w:val="none"/>
        </w:rPr>
        <w:t xml:space="preserve">的，由甲方承担责任。 </w:t>
      </w:r>
    </w:p>
    <w:p w14:paraId="179B16B8">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2.甲方无正当理由不得拒绝签收配送</w:t>
      </w:r>
      <w:r>
        <w:rPr>
          <w:rFonts w:hint="eastAsia" w:ascii="楷体" w:hAnsi="楷体" w:eastAsia="楷体" w:cs="楷体"/>
          <w:color w:val="auto"/>
          <w:sz w:val="24"/>
          <w:szCs w:val="24"/>
          <w:highlight w:val="none"/>
          <w:lang w:val="en-US" w:eastAsia="zh-CN"/>
        </w:rPr>
        <w:t>货物</w:t>
      </w:r>
      <w:r>
        <w:rPr>
          <w:rFonts w:hint="eastAsia" w:ascii="楷体" w:hAnsi="楷体" w:eastAsia="楷体" w:cs="楷体"/>
          <w:color w:val="auto"/>
          <w:sz w:val="24"/>
          <w:szCs w:val="24"/>
          <w:highlight w:val="none"/>
        </w:rPr>
        <w:t xml:space="preserve">，因甲方责任造成的损失由甲方承担。 </w:t>
      </w:r>
    </w:p>
    <w:p w14:paraId="2EEBEBA4">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八</w:t>
      </w:r>
      <w:r>
        <w:rPr>
          <w:rFonts w:hint="eastAsia" w:ascii="楷体" w:hAnsi="楷体" w:eastAsia="楷体" w:cs="楷体"/>
          <w:color w:val="auto"/>
          <w:sz w:val="24"/>
          <w:szCs w:val="24"/>
          <w:highlight w:val="none"/>
        </w:rPr>
        <w:t xml:space="preserve">、违约责任 </w:t>
      </w:r>
    </w:p>
    <w:p w14:paraId="3A0D9404">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乙方应履行自己的承诺，如出现违约现象，乙方应承担相应的责任。 </w:t>
      </w:r>
    </w:p>
    <w:p w14:paraId="4C49964B">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因乙方提供货物不符合国家质量标准造成的人身、财产损失，由乙方承担相应的法律责任。 </w:t>
      </w:r>
    </w:p>
    <w:p w14:paraId="4D7788E4">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乙方所提供的货物在甲方验收入库之前，所有风险（包括但不限于灭失、损毁、包装破损等风险责任）由乙方承担； </w:t>
      </w:r>
    </w:p>
    <w:p w14:paraId="279F5DC9">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乙方应承担的经济法律责任，不受本合同期限制约； </w:t>
      </w:r>
    </w:p>
    <w:p w14:paraId="3D7C7041">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未经甲方书面同意，不允许乙方向第三方转让整个合同或部分合同，否则将视为违约，甲方有权解除合同，乙方需承担按本合同暂定数量计算总金额 ％的违约金。 </w:t>
      </w:r>
    </w:p>
    <w:p w14:paraId="6419697A">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九、乙方发生违约情况的，甲方有权从履约保证金中直接予以扣除，履约保证金不足扣除的，甲方有权向乙方继续追偿。履约保证金扣除后，乙方须在甲方通知之日起三日内补足履约保证金，否则甲方有权随时解除合同。 </w:t>
      </w:r>
    </w:p>
    <w:p w14:paraId="069CF261">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十、附则 </w:t>
      </w:r>
    </w:p>
    <w:p w14:paraId="40A9E9C3">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 甲乙双方在履行合同过程中发生纠纷，应及时向有关政府采购监督管理部门反映，以便相关部门进行协调或处理；也可以直接向合同签订地仲裁部门申请仲裁；本合同发生争议产生的诉讼，由合同签订地人民法院管辖。 </w:t>
      </w:r>
    </w:p>
    <w:p w14:paraId="077D707C">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2.甲、乙双方就本协议未尽事宜，按国家《</w:t>
      </w:r>
      <w:r>
        <w:rPr>
          <w:rFonts w:hint="eastAsia" w:ascii="楷体" w:hAnsi="楷体" w:eastAsia="楷体" w:cs="楷体"/>
          <w:color w:val="auto"/>
          <w:sz w:val="24"/>
          <w:szCs w:val="24"/>
          <w:highlight w:val="none"/>
          <w:lang w:val="en-US" w:eastAsia="zh-CN"/>
        </w:rPr>
        <w:t>民法典</w:t>
      </w:r>
      <w:r>
        <w:rPr>
          <w:rFonts w:hint="eastAsia" w:ascii="楷体" w:hAnsi="楷体" w:eastAsia="楷体" w:cs="楷体"/>
          <w:color w:val="auto"/>
          <w:sz w:val="24"/>
          <w:szCs w:val="24"/>
          <w:highlight w:val="none"/>
        </w:rPr>
        <w:t xml:space="preserve">》有关规定处理，可另行协商做出补充协议，补充协议与本协议具有同等法律效力。 </w:t>
      </w:r>
    </w:p>
    <w:p w14:paraId="60D592F1">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十一、乙方提供的通讯地址：联系人： ，联系电话： ，甲方按照前述通讯地址或联系电话寄送的书面文书，自寄送之日起第三日为 送达日，乙方须变更通讯地址或联系电话的，必须以书面方式（加盖乙方印章）通知甲方，否则甲方按 照本合同约定地址寄送文书的法律后果对乙方仍然有效。 </w:t>
      </w:r>
    </w:p>
    <w:p w14:paraId="2289431B">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十二、本合同自双方签字盖章生效，如有未尽事宜，须双方共同协商作出补充规定，补充规定与本合同具有相同效力。 </w:t>
      </w:r>
    </w:p>
    <w:p w14:paraId="3AF501AF">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十三、本合同一式</w:t>
      </w:r>
      <w:r>
        <w:rPr>
          <w:rFonts w:hint="eastAsia" w:ascii="楷体" w:hAnsi="楷体" w:eastAsia="楷体" w:cs="楷体"/>
          <w:color w:val="auto"/>
          <w:sz w:val="24"/>
          <w:szCs w:val="24"/>
          <w:highlight w:val="none"/>
          <w:lang w:val="en-US" w:eastAsia="zh-CN"/>
        </w:rPr>
        <w:t>伍</w:t>
      </w:r>
      <w:r>
        <w:rPr>
          <w:rFonts w:hint="eastAsia" w:ascii="楷体" w:hAnsi="楷体" w:eastAsia="楷体" w:cs="楷体"/>
          <w:color w:val="auto"/>
          <w:sz w:val="24"/>
          <w:szCs w:val="24"/>
          <w:highlight w:val="none"/>
        </w:rPr>
        <w:t xml:space="preserve">份，甲方执肆份，乙方执贰份，代理机构执壹份。经双方签字盖章后生效。 </w:t>
      </w:r>
    </w:p>
    <w:p w14:paraId="6DFE816A">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十四、本合同不可分割之部分； </w:t>
      </w:r>
    </w:p>
    <w:p w14:paraId="384DB7ED">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1.招标文件 ；</w:t>
      </w:r>
    </w:p>
    <w:p w14:paraId="70DA1B6D">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2.中标人的投标文件及澄清； </w:t>
      </w:r>
    </w:p>
    <w:p w14:paraId="02CF7CEF">
      <w:pPr>
        <w:shd w:val="clear"/>
        <w:spacing w:line="360" w:lineRule="auto"/>
        <w:ind w:firstLine="480" w:firstLineChars="200"/>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3.中标通知书； </w:t>
      </w:r>
    </w:p>
    <w:p w14:paraId="0754B278">
      <w:pPr>
        <w:shd w:val="clear"/>
        <w:spacing w:line="360" w:lineRule="auto"/>
        <w:ind w:firstLine="480" w:firstLineChars="20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4.合同书附件。</w:t>
      </w:r>
    </w:p>
    <w:p w14:paraId="3C85928B">
      <w:pPr>
        <w:shd w:val="clear"/>
        <w:autoSpaceDE w:val="0"/>
        <w:autoSpaceDN w:val="0"/>
        <w:adjustRightInd w:val="0"/>
        <w:spacing w:line="560" w:lineRule="exact"/>
        <w:jc w:val="left"/>
        <w:rPr>
          <w:rFonts w:hint="eastAsia" w:ascii="楷体" w:hAnsi="楷体" w:eastAsia="楷体" w:cs="楷体"/>
          <w:color w:val="auto"/>
          <w:sz w:val="24"/>
          <w:highlight w:val="none"/>
        </w:rPr>
      </w:pPr>
    </w:p>
    <w:p w14:paraId="6C8398DD">
      <w:pPr>
        <w:shd w:val="clear"/>
        <w:autoSpaceDE w:val="0"/>
        <w:autoSpaceDN w:val="0"/>
        <w:adjustRightInd w:val="0"/>
        <w:spacing w:line="400" w:lineRule="exact"/>
        <w:rPr>
          <w:rFonts w:hint="eastAsia" w:ascii="楷体" w:hAnsi="楷体" w:eastAsia="楷体" w:cs="楷体"/>
          <w:color w:val="auto"/>
          <w:kern w:val="0"/>
          <w:sz w:val="28"/>
          <w:szCs w:val="28"/>
          <w:highlight w:val="none"/>
          <w:lang w:val="zh-CN"/>
        </w:rPr>
      </w:pPr>
      <w:r>
        <w:rPr>
          <w:rFonts w:hint="eastAsia" w:ascii="楷体" w:hAnsi="楷体" w:eastAsia="楷体" w:cs="楷体"/>
          <w:color w:val="auto"/>
          <w:kern w:val="0"/>
          <w:sz w:val="24"/>
          <w:highlight w:val="none"/>
          <w:lang w:val="zh-CN"/>
        </w:rPr>
        <w:br w:type="page"/>
      </w:r>
    </w:p>
    <w:p w14:paraId="0CF0024B">
      <w:pPr>
        <w:pStyle w:val="4"/>
        <w:numPr>
          <w:ilvl w:val="0"/>
          <w:numId w:val="0"/>
        </w:numPr>
        <w:shd w:val="clear"/>
        <w:spacing w:before="0" w:line="240" w:lineRule="auto"/>
        <w:jc w:val="center"/>
        <w:rPr>
          <w:rFonts w:hint="eastAsia" w:ascii="楷体" w:hAnsi="楷体" w:eastAsia="楷体" w:cs="楷体"/>
          <w:color w:val="auto"/>
          <w:sz w:val="36"/>
          <w:highlight w:val="none"/>
        </w:rPr>
      </w:pPr>
      <w:bookmarkStart w:id="85" w:name="_Toc29817"/>
      <w:bookmarkStart w:id="86" w:name="_Toc11055"/>
      <w:bookmarkStart w:id="87" w:name="_Toc13274"/>
      <w:bookmarkStart w:id="88" w:name="_Toc29417"/>
      <w:r>
        <w:rPr>
          <w:rFonts w:hint="eastAsia" w:ascii="楷体" w:hAnsi="楷体" w:eastAsia="楷体" w:cs="楷体"/>
          <w:color w:val="auto"/>
          <w:sz w:val="36"/>
          <w:highlight w:val="none"/>
        </w:rPr>
        <w:t>第四章  投标文件格式</w:t>
      </w:r>
      <w:bookmarkEnd w:id="85"/>
      <w:bookmarkEnd w:id="86"/>
      <w:bookmarkEnd w:id="87"/>
      <w:bookmarkEnd w:id="88"/>
    </w:p>
    <w:p w14:paraId="4D3BB64D">
      <w:pPr>
        <w:pStyle w:val="11"/>
        <w:shd w:val="clear"/>
        <w:jc w:val="center"/>
        <w:rPr>
          <w:rFonts w:hint="eastAsia" w:ascii="楷体" w:hAnsi="楷体" w:eastAsia="楷体" w:cs="楷体"/>
          <w:b/>
          <w:color w:val="auto"/>
          <w:sz w:val="32"/>
          <w:szCs w:val="32"/>
          <w:highlight w:val="none"/>
        </w:rPr>
      </w:pPr>
    </w:p>
    <w:p w14:paraId="45E12093">
      <w:pPr>
        <w:spacing w:line="225" w:lineRule="auto"/>
        <w:jc w:val="center"/>
        <w:rPr>
          <w:rFonts w:hint="eastAsia" w:ascii="楷体" w:hAnsi="楷体" w:eastAsia="楷体" w:cs="楷体"/>
          <w:b/>
          <w:bCs/>
          <w:color w:val="auto"/>
          <w:spacing w:val="4"/>
          <w:sz w:val="35"/>
          <w:szCs w:val="35"/>
          <w:highlight w:val="none"/>
          <w:lang w:eastAsia="zh-CN"/>
        </w:rPr>
      </w:pPr>
      <w:bookmarkStart w:id="89" w:name="_Toc32512"/>
      <w:bookmarkStart w:id="90" w:name="_Toc28587"/>
      <w:bookmarkStart w:id="91" w:name="_Toc10950"/>
      <w:r>
        <w:rPr>
          <w:rFonts w:hint="eastAsia" w:ascii="楷体" w:hAnsi="楷体" w:eastAsia="楷体" w:cs="楷体"/>
          <w:b/>
          <w:bCs/>
          <w:color w:val="auto"/>
          <w:spacing w:val="4"/>
          <w:sz w:val="35"/>
          <w:szCs w:val="35"/>
          <w:highlight w:val="none"/>
          <w:lang w:eastAsia="zh-CN"/>
        </w:rPr>
        <w:t>昆明市官渡区人民法院2024年警用耗材采购项目</w:t>
      </w:r>
    </w:p>
    <w:p w14:paraId="5FC79E1F">
      <w:pPr>
        <w:spacing w:line="225" w:lineRule="auto"/>
        <w:ind w:left="3469"/>
        <w:rPr>
          <w:rFonts w:hint="eastAsia" w:ascii="楷体" w:hAnsi="楷体" w:eastAsia="楷体" w:cs="楷体"/>
          <w:color w:val="auto"/>
          <w:spacing w:val="4"/>
          <w:sz w:val="35"/>
          <w:szCs w:val="35"/>
          <w:highlight w:val="none"/>
        </w:rPr>
      </w:pPr>
    </w:p>
    <w:p w14:paraId="6678140F">
      <w:pPr>
        <w:spacing w:line="225" w:lineRule="auto"/>
        <w:ind w:left="3469"/>
        <w:rPr>
          <w:rFonts w:hint="eastAsia" w:ascii="楷体" w:hAnsi="楷体" w:eastAsia="楷体" w:cs="楷体"/>
          <w:color w:val="auto"/>
          <w:spacing w:val="4"/>
          <w:sz w:val="35"/>
          <w:szCs w:val="35"/>
          <w:highlight w:val="none"/>
        </w:rPr>
      </w:pPr>
    </w:p>
    <w:p w14:paraId="592732B4">
      <w:pPr>
        <w:pStyle w:val="2"/>
        <w:outlineLvl w:val="9"/>
        <w:rPr>
          <w:rFonts w:hint="eastAsia" w:ascii="楷体" w:hAnsi="楷体" w:eastAsia="楷体" w:cs="楷体"/>
          <w:color w:val="auto"/>
          <w:spacing w:val="4"/>
          <w:sz w:val="35"/>
          <w:szCs w:val="35"/>
          <w:highlight w:val="none"/>
        </w:rPr>
      </w:pPr>
    </w:p>
    <w:p w14:paraId="287CBDFE">
      <w:pPr>
        <w:pStyle w:val="16"/>
        <w:outlineLvl w:val="9"/>
        <w:rPr>
          <w:rFonts w:hint="eastAsia" w:ascii="楷体" w:hAnsi="楷体" w:eastAsia="楷体" w:cs="楷体"/>
          <w:color w:val="auto"/>
          <w:spacing w:val="4"/>
          <w:sz w:val="35"/>
          <w:szCs w:val="35"/>
          <w:highlight w:val="none"/>
        </w:rPr>
      </w:pPr>
    </w:p>
    <w:p w14:paraId="5D6A8DA2">
      <w:pPr>
        <w:pStyle w:val="16"/>
        <w:outlineLvl w:val="9"/>
        <w:rPr>
          <w:rFonts w:hint="eastAsia" w:ascii="楷体" w:hAnsi="楷体" w:eastAsia="楷体" w:cs="楷体"/>
          <w:color w:val="auto"/>
          <w:spacing w:val="4"/>
          <w:sz w:val="35"/>
          <w:szCs w:val="35"/>
          <w:highlight w:val="none"/>
        </w:rPr>
      </w:pPr>
    </w:p>
    <w:p w14:paraId="4EE78374">
      <w:pPr>
        <w:pStyle w:val="2"/>
        <w:spacing w:line="255" w:lineRule="auto"/>
        <w:outlineLvl w:val="9"/>
        <w:rPr>
          <w:rFonts w:hint="eastAsia" w:ascii="楷体" w:hAnsi="楷体" w:eastAsia="楷体" w:cs="楷体"/>
          <w:color w:val="auto"/>
          <w:highlight w:val="none"/>
        </w:rPr>
      </w:pPr>
    </w:p>
    <w:p w14:paraId="3CF677D5">
      <w:pPr>
        <w:pStyle w:val="2"/>
        <w:spacing w:line="255" w:lineRule="auto"/>
        <w:outlineLvl w:val="9"/>
        <w:rPr>
          <w:rFonts w:hint="eastAsia" w:ascii="楷体" w:hAnsi="楷体" w:eastAsia="楷体" w:cs="楷体"/>
          <w:color w:val="auto"/>
          <w:highlight w:val="none"/>
        </w:rPr>
      </w:pPr>
    </w:p>
    <w:p w14:paraId="057B58A4">
      <w:pPr>
        <w:spacing w:before="270" w:line="222" w:lineRule="auto"/>
        <w:jc w:val="center"/>
        <w:outlineLvl w:val="1"/>
        <w:rPr>
          <w:rFonts w:hint="eastAsia" w:ascii="楷体" w:hAnsi="楷体" w:eastAsia="楷体" w:cs="楷体"/>
          <w:color w:val="auto"/>
          <w:sz w:val="83"/>
          <w:szCs w:val="83"/>
          <w:highlight w:val="none"/>
        </w:rPr>
      </w:pPr>
      <w:bookmarkStart w:id="92" w:name="_Toc29003"/>
      <w:bookmarkStart w:id="93" w:name="_Toc11679"/>
      <w:r>
        <w:rPr>
          <w:rFonts w:hint="eastAsia" w:ascii="楷体" w:hAnsi="楷体" w:eastAsia="楷体" w:cs="楷体"/>
          <w:color w:val="auto"/>
          <w:spacing w:val="-9"/>
          <w:sz w:val="83"/>
          <w:szCs w:val="83"/>
          <w:highlight w:val="none"/>
          <w:lang w:val="en-US" w:eastAsia="zh-CN"/>
        </w:rPr>
        <w:t>投标</w:t>
      </w:r>
      <w:r>
        <w:rPr>
          <w:rFonts w:hint="eastAsia" w:ascii="楷体" w:hAnsi="楷体" w:eastAsia="楷体" w:cs="楷体"/>
          <w:color w:val="auto"/>
          <w:spacing w:val="-9"/>
          <w:sz w:val="83"/>
          <w:szCs w:val="83"/>
          <w:highlight w:val="none"/>
        </w:rPr>
        <w:t>文件</w:t>
      </w:r>
      <w:bookmarkEnd w:id="92"/>
      <w:bookmarkEnd w:id="93"/>
    </w:p>
    <w:p w14:paraId="6F58DEA6">
      <w:pPr>
        <w:pStyle w:val="2"/>
        <w:spacing w:line="243" w:lineRule="auto"/>
        <w:jc w:val="center"/>
        <w:rPr>
          <w:rFonts w:hint="eastAsia" w:ascii="楷体" w:hAnsi="楷体" w:eastAsia="楷体" w:cs="楷体"/>
          <w:color w:val="auto"/>
          <w:sz w:val="32"/>
          <w:szCs w:val="40"/>
          <w:highlight w:val="none"/>
        </w:rPr>
      </w:pPr>
      <w:bookmarkStart w:id="94" w:name="_Toc3205"/>
      <w:r>
        <w:rPr>
          <w:rFonts w:hint="eastAsia" w:ascii="楷体" w:hAnsi="楷体" w:eastAsia="楷体" w:cs="楷体"/>
          <w:color w:val="auto"/>
          <w:sz w:val="32"/>
          <w:szCs w:val="40"/>
          <w:highlight w:val="none"/>
        </w:rPr>
        <w:t>项目编号：</w:t>
      </w:r>
      <w:bookmarkEnd w:id="94"/>
    </w:p>
    <w:p w14:paraId="79BF0A0B">
      <w:pPr>
        <w:pStyle w:val="2"/>
        <w:spacing w:line="243" w:lineRule="auto"/>
        <w:outlineLvl w:val="9"/>
        <w:rPr>
          <w:rFonts w:hint="eastAsia" w:ascii="楷体" w:hAnsi="楷体" w:eastAsia="楷体" w:cs="楷体"/>
          <w:color w:val="auto"/>
          <w:highlight w:val="none"/>
        </w:rPr>
      </w:pPr>
    </w:p>
    <w:p w14:paraId="2F6A1A59">
      <w:pPr>
        <w:pStyle w:val="2"/>
        <w:spacing w:line="244" w:lineRule="auto"/>
        <w:outlineLvl w:val="9"/>
        <w:rPr>
          <w:rFonts w:hint="eastAsia" w:ascii="楷体" w:hAnsi="楷体" w:eastAsia="楷体" w:cs="楷体"/>
          <w:color w:val="auto"/>
          <w:highlight w:val="none"/>
        </w:rPr>
      </w:pPr>
    </w:p>
    <w:p w14:paraId="0BBFC0CD">
      <w:pPr>
        <w:pStyle w:val="2"/>
        <w:spacing w:line="244" w:lineRule="auto"/>
        <w:outlineLvl w:val="9"/>
        <w:rPr>
          <w:rFonts w:hint="eastAsia" w:ascii="楷体" w:hAnsi="楷体" w:eastAsia="楷体" w:cs="楷体"/>
          <w:color w:val="auto"/>
          <w:highlight w:val="none"/>
        </w:rPr>
      </w:pPr>
    </w:p>
    <w:p w14:paraId="2998B94A">
      <w:pPr>
        <w:pStyle w:val="2"/>
        <w:spacing w:line="244" w:lineRule="auto"/>
        <w:outlineLvl w:val="9"/>
        <w:rPr>
          <w:rFonts w:hint="eastAsia" w:ascii="楷体" w:hAnsi="楷体" w:eastAsia="楷体" w:cs="楷体"/>
          <w:color w:val="auto"/>
          <w:highlight w:val="none"/>
        </w:rPr>
      </w:pPr>
    </w:p>
    <w:p w14:paraId="2EFC1356">
      <w:pPr>
        <w:pStyle w:val="2"/>
        <w:spacing w:line="244" w:lineRule="auto"/>
        <w:outlineLvl w:val="9"/>
        <w:rPr>
          <w:rFonts w:hint="eastAsia" w:ascii="楷体" w:hAnsi="楷体" w:eastAsia="楷体" w:cs="楷体"/>
          <w:color w:val="auto"/>
          <w:highlight w:val="none"/>
        </w:rPr>
      </w:pPr>
    </w:p>
    <w:p w14:paraId="5E9CC53F">
      <w:pPr>
        <w:pStyle w:val="2"/>
        <w:spacing w:line="244" w:lineRule="auto"/>
        <w:outlineLvl w:val="9"/>
        <w:rPr>
          <w:rFonts w:hint="eastAsia" w:ascii="楷体" w:hAnsi="楷体" w:eastAsia="楷体" w:cs="楷体"/>
          <w:color w:val="auto"/>
          <w:highlight w:val="none"/>
        </w:rPr>
      </w:pPr>
    </w:p>
    <w:p w14:paraId="27E9BC9B">
      <w:pPr>
        <w:pStyle w:val="2"/>
        <w:spacing w:line="244" w:lineRule="auto"/>
        <w:outlineLvl w:val="9"/>
        <w:rPr>
          <w:rFonts w:hint="eastAsia" w:ascii="楷体" w:hAnsi="楷体" w:eastAsia="楷体" w:cs="楷体"/>
          <w:color w:val="auto"/>
          <w:highlight w:val="none"/>
        </w:rPr>
      </w:pPr>
    </w:p>
    <w:p w14:paraId="71EFB03D">
      <w:pPr>
        <w:spacing w:before="92" w:line="542" w:lineRule="exact"/>
        <w:jc w:val="center"/>
        <w:rPr>
          <w:rFonts w:hint="eastAsia" w:ascii="楷体" w:hAnsi="楷体" w:eastAsia="楷体" w:cs="楷体"/>
          <w:color w:val="auto"/>
          <w:sz w:val="28"/>
          <w:szCs w:val="28"/>
          <w:highlight w:val="none"/>
        </w:rPr>
      </w:pPr>
      <w:r>
        <w:rPr>
          <w:rFonts w:hint="eastAsia" w:ascii="楷体" w:hAnsi="楷体" w:eastAsia="楷体" w:cs="楷体"/>
          <w:color w:val="auto"/>
          <w:spacing w:val="-2"/>
          <w:position w:val="19"/>
          <w:sz w:val="28"/>
          <w:szCs w:val="28"/>
          <w:highlight w:val="none"/>
          <w:lang w:eastAsia="zh-CN"/>
        </w:rPr>
        <w:t>供应商</w:t>
      </w:r>
      <w:r>
        <w:rPr>
          <w:rFonts w:hint="eastAsia" w:ascii="楷体" w:hAnsi="楷体" w:eastAsia="楷体" w:cs="楷体"/>
          <w:color w:val="auto"/>
          <w:spacing w:val="-2"/>
          <w:position w:val="19"/>
          <w:sz w:val="28"/>
          <w:szCs w:val="28"/>
          <w:highlight w:val="none"/>
        </w:rPr>
        <w:t>（</w:t>
      </w:r>
      <w:r>
        <w:rPr>
          <w:rFonts w:hint="eastAsia" w:ascii="楷体" w:hAnsi="楷体" w:eastAsia="楷体" w:cs="楷体"/>
          <w:color w:val="auto"/>
          <w:spacing w:val="-2"/>
          <w:position w:val="19"/>
          <w:sz w:val="28"/>
          <w:szCs w:val="28"/>
          <w:highlight w:val="none"/>
          <w:lang w:eastAsia="zh-CN"/>
        </w:rPr>
        <w:t>电子签章</w:t>
      </w:r>
      <w:r>
        <w:rPr>
          <w:rFonts w:hint="eastAsia" w:ascii="楷体" w:hAnsi="楷体" w:eastAsia="楷体" w:cs="楷体"/>
          <w:color w:val="auto"/>
          <w:spacing w:val="3"/>
          <w:position w:val="19"/>
          <w:sz w:val="28"/>
          <w:szCs w:val="28"/>
          <w:highlight w:val="none"/>
        </w:rPr>
        <w:t>）：</w:t>
      </w:r>
    </w:p>
    <w:p w14:paraId="215C5FAB">
      <w:pPr>
        <w:spacing w:before="1" w:line="220" w:lineRule="auto"/>
        <w:jc w:val="center"/>
        <w:rPr>
          <w:rFonts w:hint="eastAsia" w:ascii="楷体" w:hAnsi="楷体" w:eastAsia="楷体" w:cs="楷体"/>
          <w:color w:val="auto"/>
          <w:sz w:val="28"/>
          <w:szCs w:val="28"/>
          <w:highlight w:val="none"/>
        </w:rPr>
      </w:pPr>
      <w:r>
        <w:rPr>
          <w:rFonts w:hint="eastAsia" w:ascii="楷体" w:hAnsi="楷体" w:eastAsia="楷体" w:cs="楷体"/>
          <w:color w:val="auto"/>
          <w:spacing w:val="-7"/>
          <w:sz w:val="28"/>
          <w:szCs w:val="28"/>
          <w:highlight w:val="none"/>
        </w:rPr>
        <w:t>法定代表人</w:t>
      </w:r>
      <w:r>
        <w:rPr>
          <w:rFonts w:hint="eastAsia" w:ascii="楷体" w:hAnsi="楷体" w:eastAsia="楷体" w:cs="楷体"/>
          <w:color w:val="auto"/>
          <w:spacing w:val="-2"/>
          <w:sz w:val="28"/>
          <w:szCs w:val="28"/>
          <w:highlight w:val="none"/>
        </w:rPr>
        <w:t>或其委托代理人（电子签章</w:t>
      </w:r>
      <w:r>
        <w:rPr>
          <w:rFonts w:hint="eastAsia" w:ascii="楷体" w:hAnsi="楷体" w:eastAsia="楷体" w:cs="楷体"/>
          <w:color w:val="auto"/>
          <w:spacing w:val="2"/>
          <w:sz w:val="28"/>
          <w:szCs w:val="28"/>
          <w:highlight w:val="none"/>
        </w:rPr>
        <w:t>）：</w:t>
      </w:r>
    </w:p>
    <w:p w14:paraId="4CCBB920">
      <w:pPr>
        <w:spacing w:before="209" w:line="221" w:lineRule="auto"/>
        <w:jc w:val="center"/>
        <w:rPr>
          <w:rFonts w:hint="eastAsia" w:ascii="楷体" w:hAnsi="楷体" w:eastAsia="楷体" w:cs="楷体"/>
          <w:color w:val="auto"/>
          <w:sz w:val="28"/>
          <w:szCs w:val="28"/>
          <w:highlight w:val="none"/>
        </w:rPr>
      </w:pPr>
      <w:r>
        <w:rPr>
          <w:rFonts w:hint="eastAsia" w:ascii="楷体" w:hAnsi="楷体" w:eastAsia="楷体" w:cs="楷体"/>
          <w:color w:val="auto"/>
          <w:spacing w:val="-17"/>
          <w:sz w:val="28"/>
          <w:szCs w:val="28"/>
          <w:highlight w:val="none"/>
        </w:rPr>
        <w:t>日</w:t>
      </w:r>
      <w:r>
        <w:rPr>
          <w:rFonts w:hint="eastAsia" w:ascii="楷体" w:hAnsi="楷体" w:eastAsia="楷体" w:cs="楷体"/>
          <w:color w:val="auto"/>
          <w:spacing w:val="8"/>
          <w:sz w:val="28"/>
          <w:szCs w:val="28"/>
          <w:highlight w:val="none"/>
        </w:rPr>
        <w:t xml:space="preserve">  </w:t>
      </w:r>
      <w:r>
        <w:rPr>
          <w:rFonts w:hint="eastAsia" w:ascii="楷体" w:hAnsi="楷体" w:eastAsia="楷体" w:cs="楷体"/>
          <w:color w:val="auto"/>
          <w:spacing w:val="-17"/>
          <w:sz w:val="28"/>
          <w:szCs w:val="28"/>
          <w:highlight w:val="none"/>
        </w:rPr>
        <w:t>期：</w:t>
      </w:r>
      <w:r>
        <w:rPr>
          <w:rFonts w:hint="eastAsia" w:ascii="楷体" w:hAnsi="楷体" w:eastAsia="楷体" w:cs="楷体"/>
          <w:color w:val="auto"/>
          <w:spacing w:val="2"/>
          <w:sz w:val="28"/>
          <w:szCs w:val="28"/>
          <w:highlight w:val="none"/>
        </w:rPr>
        <w:t xml:space="preserve">   </w:t>
      </w:r>
      <w:r>
        <w:rPr>
          <w:rFonts w:hint="eastAsia" w:ascii="楷体" w:hAnsi="楷体" w:eastAsia="楷体" w:cs="楷体"/>
          <w:color w:val="auto"/>
          <w:spacing w:val="-17"/>
          <w:sz w:val="28"/>
          <w:szCs w:val="28"/>
          <w:highlight w:val="none"/>
        </w:rPr>
        <w:t>年</w:t>
      </w:r>
      <w:r>
        <w:rPr>
          <w:rFonts w:hint="eastAsia" w:ascii="楷体" w:hAnsi="楷体" w:eastAsia="楷体" w:cs="楷体"/>
          <w:color w:val="auto"/>
          <w:spacing w:val="3"/>
          <w:sz w:val="28"/>
          <w:szCs w:val="28"/>
          <w:highlight w:val="none"/>
        </w:rPr>
        <w:t xml:space="preserve">     </w:t>
      </w:r>
      <w:r>
        <w:rPr>
          <w:rFonts w:hint="eastAsia" w:ascii="楷体" w:hAnsi="楷体" w:eastAsia="楷体" w:cs="楷体"/>
          <w:color w:val="auto"/>
          <w:spacing w:val="-17"/>
          <w:sz w:val="28"/>
          <w:szCs w:val="28"/>
          <w:highlight w:val="none"/>
        </w:rPr>
        <w:t>月</w:t>
      </w:r>
      <w:r>
        <w:rPr>
          <w:rFonts w:hint="eastAsia" w:ascii="楷体" w:hAnsi="楷体" w:eastAsia="楷体" w:cs="楷体"/>
          <w:color w:val="auto"/>
          <w:spacing w:val="10"/>
          <w:sz w:val="28"/>
          <w:szCs w:val="28"/>
          <w:highlight w:val="none"/>
        </w:rPr>
        <w:t xml:space="preserve">    </w:t>
      </w:r>
      <w:r>
        <w:rPr>
          <w:rFonts w:hint="eastAsia" w:ascii="楷体" w:hAnsi="楷体" w:eastAsia="楷体" w:cs="楷体"/>
          <w:color w:val="auto"/>
          <w:spacing w:val="-17"/>
          <w:sz w:val="28"/>
          <w:szCs w:val="28"/>
          <w:highlight w:val="none"/>
        </w:rPr>
        <w:t>日</w:t>
      </w:r>
    </w:p>
    <w:p w14:paraId="0D103893">
      <w:pPr>
        <w:rPr>
          <w:rFonts w:hint="eastAsia" w:ascii="楷体" w:hAnsi="楷体" w:eastAsia="楷体" w:cs="楷体"/>
          <w:color w:val="auto"/>
          <w:highlight w:val="none"/>
          <w:lang w:eastAsia="zh-CN"/>
        </w:rPr>
      </w:pPr>
      <w:r>
        <w:rPr>
          <w:rFonts w:hint="eastAsia" w:ascii="楷体" w:hAnsi="楷体" w:eastAsia="楷体" w:cs="楷体"/>
          <w:color w:val="auto"/>
          <w:highlight w:val="none"/>
          <w:lang w:eastAsia="zh-CN"/>
        </w:rPr>
        <w:br w:type="page"/>
      </w:r>
    </w:p>
    <w:p w14:paraId="56D7E18A">
      <w:pPr>
        <w:jc w:val="center"/>
        <w:rPr>
          <w:rFonts w:hint="eastAsia" w:ascii="楷体" w:hAnsi="楷体" w:eastAsia="楷体" w:cs="楷体"/>
          <w:b/>
          <w:bCs/>
          <w:color w:val="auto"/>
          <w:sz w:val="24"/>
          <w:szCs w:val="32"/>
          <w:highlight w:val="none"/>
          <w:lang w:val="en-US" w:eastAsia="zh-CN"/>
        </w:rPr>
      </w:pPr>
      <w:r>
        <w:rPr>
          <w:rFonts w:hint="eastAsia" w:ascii="楷体" w:hAnsi="楷体" w:eastAsia="楷体" w:cs="楷体"/>
          <w:b/>
          <w:bCs/>
          <w:color w:val="auto"/>
          <w:sz w:val="24"/>
          <w:szCs w:val="32"/>
          <w:highlight w:val="none"/>
          <w:lang w:val="en-US" w:eastAsia="zh-CN"/>
        </w:rPr>
        <w:t>目 录</w:t>
      </w:r>
    </w:p>
    <w:p w14:paraId="43E83FBD">
      <w:pPr>
        <w:pStyle w:val="18"/>
        <w:jc w:val="center"/>
        <w:rPr>
          <w:rFonts w:hint="eastAsia" w:ascii="楷体" w:hAnsi="楷体" w:eastAsia="楷体" w:cs="楷体"/>
          <w:b/>
          <w:bCs/>
          <w:color w:val="auto"/>
          <w:sz w:val="24"/>
          <w:szCs w:val="32"/>
          <w:highlight w:val="none"/>
          <w:lang w:val="en-US" w:eastAsia="zh-CN"/>
        </w:rPr>
      </w:pPr>
    </w:p>
    <w:p w14:paraId="423C4B48">
      <w:pPr>
        <w:pStyle w:val="18"/>
        <w:jc w:val="center"/>
        <w:rPr>
          <w:rFonts w:hint="eastAsia" w:ascii="楷体" w:hAnsi="楷体" w:eastAsia="楷体" w:cs="楷体"/>
          <w:color w:val="auto"/>
          <w:lang w:val="en-US" w:eastAsia="zh-CN"/>
        </w:rPr>
      </w:pPr>
      <w:r>
        <w:rPr>
          <w:rFonts w:hint="eastAsia" w:ascii="楷体" w:hAnsi="楷体" w:eastAsia="楷体" w:cs="楷体"/>
          <w:b w:val="0"/>
          <w:bCs w:val="0"/>
          <w:color w:val="auto"/>
          <w:sz w:val="24"/>
          <w:szCs w:val="32"/>
          <w:highlight w:val="none"/>
          <w:lang w:val="en-US" w:eastAsia="zh-CN"/>
        </w:rPr>
        <w:t>供应商自行编写</w:t>
      </w:r>
    </w:p>
    <w:p w14:paraId="2640CDB3">
      <w:pPr>
        <w:rPr>
          <w:rFonts w:hint="eastAsia" w:ascii="楷体" w:hAnsi="楷体" w:eastAsia="楷体" w:cs="楷体"/>
          <w:color w:val="auto"/>
          <w:highlight w:val="none"/>
          <w:lang w:eastAsia="zh-CN"/>
        </w:rPr>
      </w:pPr>
      <w:r>
        <w:rPr>
          <w:rFonts w:hint="eastAsia" w:ascii="楷体" w:hAnsi="楷体" w:eastAsia="楷体" w:cs="楷体"/>
          <w:color w:val="auto"/>
          <w:highlight w:val="none"/>
          <w:lang w:eastAsia="zh-CN"/>
        </w:rPr>
        <w:br w:type="page"/>
      </w:r>
    </w:p>
    <w:p w14:paraId="781BF16C">
      <w:pPr>
        <w:pStyle w:val="4"/>
        <w:numPr>
          <w:ilvl w:val="0"/>
          <w:numId w:val="0"/>
        </w:numPr>
        <w:shd w:val="clear"/>
        <w:ind w:leftChars="0"/>
        <w:jc w:val="center"/>
        <w:rPr>
          <w:rFonts w:hint="eastAsia" w:ascii="楷体" w:hAnsi="楷体" w:eastAsia="楷体" w:cs="楷体"/>
          <w:color w:val="auto"/>
          <w:highlight w:val="none"/>
          <w:lang w:eastAsia="zh-CN"/>
        </w:rPr>
      </w:pPr>
      <w:bookmarkStart w:id="95" w:name="_Toc9253"/>
      <w:r>
        <w:rPr>
          <w:rFonts w:hint="eastAsia" w:ascii="楷体" w:hAnsi="楷体" w:eastAsia="楷体" w:cs="楷体"/>
          <w:color w:val="auto"/>
          <w:highlight w:val="none"/>
          <w:lang w:eastAsia="zh-CN"/>
        </w:rPr>
        <w:t>开标一览表</w:t>
      </w:r>
      <w:bookmarkEnd w:id="89"/>
      <w:bookmarkEnd w:id="90"/>
      <w:bookmarkEnd w:id="91"/>
      <w:bookmarkEnd w:id="95"/>
    </w:p>
    <w:p w14:paraId="56DB23C7">
      <w:pPr>
        <w:shd w:val="clear"/>
        <w:rPr>
          <w:rFonts w:hint="eastAsia" w:ascii="楷体" w:hAnsi="楷体" w:eastAsia="楷体" w:cs="楷体"/>
          <w:color w:val="auto"/>
          <w:highlight w:val="none"/>
        </w:rPr>
      </w:pPr>
    </w:p>
    <w:p w14:paraId="2A93605E">
      <w:pPr>
        <w:shd w:val="clear"/>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项目名称：</w:t>
      </w:r>
      <w:r>
        <w:rPr>
          <w:rFonts w:hint="eastAsia" w:ascii="楷体" w:hAnsi="楷体" w:eastAsia="楷体" w:cs="楷体"/>
          <w:color w:val="auto"/>
          <w:sz w:val="24"/>
          <w:highlight w:val="none"/>
          <w:lang w:eastAsia="zh-CN"/>
        </w:rPr>
        <w:t>昆明市官渡区人民法院2024年警用耗材采购项目</w:t>
      </w:r>
    </w:p>
    <w:p w14:paraId="1D04ABC1">
      <w:pPr>
        <w:shd w:val="clea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项目编号：</w:t>
      </w:r>
      <w:r>
        <w:rPr>
          <w:rFonts w:hint="eastAsia" w:ascii="楷体" w:hAnsi="楷体" w:eastAsia="楷体" w:cs="楷体"/>
          <w:color w:val="auto"/>
          <w:sz w:val="24"/>
          <w:highlight w:val="none"/>
          <w:lang w:eastAsia="zh-CN"/>
        </w:rPr>
        <w:t xml:space="preserve"> YNZC2024-G1-04913-YNJX-0023</w:t>
      </w:r>
      <w:r>
        <w:rPr>
          <w:rFonts w:hint="eastAsia" w:ascii="楷体" w:hAnsi="楷体" w:eastAsia="楷体" w:cs="楷体"/>
          <w:color w:val="auto"/>
          <w:sz w:val="24"/>
          <w:highlight w:val="none"/>
        </w:rPr>
        <w:t xml:space="preserve"> </w:t>
      </w:r>
    </w:p>
    <w:tbl>
      <w:tblPr>
        <w:tblStyle w:val="19"/>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0"/>
        <w:gridCol w:w="6870"/>
      </w:tblGrid>
      <w:tr w14:paraId="6C08D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2310" w:type="dxa"/>
            <w:vAlign w:val="center"/>
          </w:tcPr>
          <w:p w14:paraId="24E05FD5">
            <w:pPr>
              <w:shd w:val="clear"/>
              <w:spacing w:before="120" w:after="120" w:line="240" w:lineRule="atLeast"/>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供应商名称</w:t>
            </w:r>
          </w:p>
        </w:tc>
        <w:tc>
          <w:tcPr>
            <w:tcW w:w="6870" w:type="dxa"/>
            <w:vAlign w:val="center"/>
          </w:tcPr>
          <w:p w14:paraId="2F63EA9A">
            <w:pPr>
              <w:shd w:val="clear"/>
              <w:spacing w:before="120" w:after="120" w:line="240" w:lineRule="atLeast"/>
              <w:jc w:val="center"/>
              <w:rPr>
                <w:rFonts w:hint="eastAsia" w:ascii="楷体" w:hAnsi="楷体" w:eastAsia="楷体" w:cs="楷体"/>
                <w:color w:val="auto"/>
                <w:sz w:val="24"/>
                <w:highlight w:val="none"/>
              </w:rPr>
            </w:pPr>
          </w:p>
        </w:tc>
      </w:tr>
      <w:tr w14:paraId="2B3D6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2310" w:type="dxa"/>
            <w:vAlign w:val="center"/>
          </w:tcPr>
          <w:p w14:paraId="3F3EE9AE">
            <w:pPr>
              <w:shd w:val="clear"/>
              <w:spacing w:before="120" w:after="120" w:line="240" w:lineRule="atLeast"/>
              <w:jc w:val="center"/>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投标报价</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lang w:val="en-US" w:eastAsia="zh-CN"/>
              </w:rPr>
              <w:t>所有单价的合价</w:t>
            </w:r>
            <w:r>
              <w:rPr>
                <w:rFonts w:hint="eastAsia" w:ascii="楷体" w:hAnsi="楷体" w:eastAsia="楷体" w:cs="楷体"/>
                <w:color w:val="auto"/>
                <w:sz w:val="24"/>
                <w:highlight w:val="none"/>
                <w:lang w:eastAsia="zh-CN"/>
              </w:rPr>
              <w:t>）</w:t>
            </w:r>
          </w:p>
        </w:tc>
        <w:tc>
          <w:tcPr>
            <w:tcW w:w="6870" w:type="dxa"/>
            <w:vAlign w:val="center"/>
          </w:tcPr>
          <w:p w14:paraId="147F77A0">
            <w:pPr>
              <w:shd w:val="clear"/>
              <w:spacing w:before="120" w:after="120" w:line="240" w:lineRule="atLeast"/>
              <w:rPr>
                <w:rFonts w:hint="eastAsia" w:ascii="楷体" w:hAnsi="楷体" w:eastAsia="楷体" w:cs="楷体"/>
                <w:color w:val="auto"/>
                <w:sz w:val="24"/>
                <w:highlight w:val="none"/>
                <w:u w:val="single"/>
                <w:lang w:val="en-US" w:eastAsia="zh-CN"/>
              </w:rPr>
            </w:pPr>
            <w:r>
              <w:rPr>
                <w:rFonts w:hint="eastAsia" w:ascii="楷体" w:hAnsi="楷体" w:eastAsia="楷体" w:cs="楷体"/>
                <w:color w:val="auto"/>
                <w:sz w:val="24"/>
                <w:highlight w:val="none"/>
                <w:u w:val="single"/>
                <w:lang w:val="en-US" w:eastAsia="zh-CN"/>
              </w:rPr>
              <w:t xml:space="preserve">            元</w:t>
            </w:r>
          </w:p>
        </w:tc>
      </w:tr>
      <w:tr w14:paraId="072FE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2310" w:type="dxa"/>
            <w:vAlign w:val="center"/>
          </w:tcPr>
          <w:p w14:paraId="0C1DA269">
            <w:pPr>
              <w:shd w:val="clear"/>
              <w:spacing w:before="120" w:after="120" w:line="240" w:lineRule="atLeast"/>
              <w:jc w:val="center"/>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lang w:eastAsia="zh-CN"/>
              </w:rPr>
              <w:t>交货时间</w:t>
            </w:r>
          </w:p>
        </w:tc>
        <w:tc>
          <w:tcPr>
            <w:tcW w:w="6870" w:type="dxa"/>
            <w:vAlign w:val="center"/>
          </w:tcPr>
          <w:p w14:paraId="4F9826AA">
            <w:pPr>
              <w:shd w:val="clear"/>
              <w:spacing w:before="120" w:after="120" w:line="240" w:lineRule="atLeast"/>
              <w:rPr>
                <w:rFonts w:hint="eastAsia" w:ascii="楷体" w:hAnsi="楷体" w:eastAsia="楷体" w:cs="楷体"/>
                <w:color w:val="auto"/>
                <w:sz w:val="24"/>
                <w:highlight w:val="none"/>
              </w:rPr>
            </w:pPr>
          </w:p>
        </w:tc>
      </w:tr>
      <w:tr w14:paraId="09BEF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2310" w:type="dxa"/>
            <w:vAlign w:val="center"/>
          </w:tcPr>
          <w:p w14:paraId="57A85E60">
            <w:pPr>
              <w:shd w:val="clear"/>
              <w:spacing w:before="120" w:after="120" w:line="240" w:lineRule="atLeast"/>
              <w:jc w:val="center"/>
              <w:rPr>
                <w:rFonts w:hint="eastAsia" w:ascii="楷体" w:hAnsi="楷体" w:eastAsia="楷体" w:cs="楷体"/>
                <w:color w:val="auto"/>
                <w:sz w:val="24"/>
                <w:highlight w:val="none"/>
                <w:lang w:val="en-US" w:eastAsia="zh-CN"/>
              </w:rPr>
            </w:pPr>
            <w:r>
              <w:rPr>
                <w:rFonts w:hint="eastAsia" w:ascii="楷体" w:hAnsi="楷体" w:eastAsia="楷体" w:cs="楷体"/>
                <w:color w:val="auto"/>
                <w:kern w:val="2"/>
                <w:sz w:val="24"/>
                <w:szCs w:val="24"/>
                <w:highlight w:val="none"/>
                <w:lang w:eastAsia="zh-CN"/>
              </w:rPr>
              <w:t>交货地点</w:t>
            </w:r>
            <w:r>
              <w:rPr>
                <w:rFonts w:hint="eastAsia" w:ascii="楷体" w:hAnsi="楷体" w:eastAsia="楷体" w:cs="楷体"/>
                <w:color w:val="auto"/>
                <w:kern w:val="2"/>
                <w:sz w:val="24"/>
                <w:szCs w:val="24"/>
                <w:highlight w:val="none"/>
                <w:lang w:val="en-US" w:eastAsia="zh-CN"/>
              </w:rPr>
              <w:t xml:space="preserve">                                                                                                                                                                                                                                                                                                                                                                                                                                                                                                                     </w:t>
            </w:r>
          </w:p>
        </w:tc>
        <w:tc>
          <w:tcPr>
            <w:tcW w:w="6870" w:type="dxa"/>
            <w:vAlign w:val="center"/>
          </w:tcPr>
          <w:p w14:paraId="40C67E8A">
            <w:pPr>
              <w:shd w:val="clear"/>
              <w:spacing w:before="120" w:after="120" w:line="240" w:lineRule="atLeast"/>
              <w:rPr>
                <w:rFonts w:hint="eastAsia" w:ascii="楷体" w:hAnsi="楷体" w:eastAsia="楷体" w:cs="楷体"/>
                <w:color w:val="auto"/>
                <w:sz w:val="24"/>
                <w:highlight w:val="none"/>
              </w:rPr>
            </w:pPr>
          </w:p>
        </w:tc>
      </w:tr>
      <w:tr w14:paraId="68B7E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2310" w:type="dxa"/>
            <w:vAlign w:val="center"/>
          </w:tcPr>
          <w:p w14:paraId="2B741535">
            <w:pPr>
              <w:shd w:val="clear"/>
              <w:spacing w:before="120" w:after="120" w:line="240" w:lineRule="atLeast"/>
              <w:jc w:val="center"/>
              <w:rPr>
                <w:rFonts w:hint="eastAsia" w:ascii="楷体" w:hAnsi="楷体" w:eastAsia="楷体" w:cs="楷体"/>
                <w:color w:val="auto"/>
                <w:kern w:val="2"/>
                <w:sz w:val="24"/>
                <w:szCs w:val="24"/>
                <w:highlight w:val="none"/>
                <w:lang w:eastAsia="zh-CN"/>
              </w:rPr>
            </w:pPr>
            <w:r>
              <w:rPr>
                <w:rFonts w:hint="eastAsia" w:ascii="楷体" w:hAnsi="楷体" w:eastAsia="楷体" w:cs="楷体"/>
                <w:color w:val="auto"/>
                <w:kern w:val="2"/>
                <w:sz w:val="24"/>
                <w:szCs w:val="24"/>
                <w:highlight w:val="none"/>
                <w:lang w:eastAsia="zh-CN"/>
              </w:rPr>
              <w:t>备注</w:t>
            </w:r>
          </w:p>
        </w:tc>
        <w:tc>
          <w:tcPr>
            <w:tcW w:w="6870" w:type="dxa"/>
            <w:vAlign w:val="center"/>
          </w:tcPr>
          <w:p w14:paraId="7E853A0A">
            <w:pPr>
              <w:shd w:val="clear"/>
              <w:spacing w:before="120" w:after="120" w:line="240" w:lineRule="atLeast"/>
              <w:rPr>
                <w:rFonts w:hint="eastAsia" w:ascii="楷体" w:hAnsi="楷体" w:eastAsia="楷体" w:cs="楷体"/>
                <w:color w:val="auto"/>
                <w:sz w:val="24"/>
                <w:highlight w:val="none"/>
              </w:rPr>
            </w:pPr>
          </w:p>
        </w:tc>
      </w:tr>
    </w:tbl>
    <w:p w14:paraId="2599A48C">
      <w:pPr>
        <w:pStyle w:val="11"/>
        <w:shd w:val="clear"/>
        <w:spacing w:line="360" w:lineRule="auto"/>
        <w:ind w:left="846"/>
        <w:rPr>
          <w:rFonts w:hint="eastAsia" w:ascii="楷体" w:hAnsi="楷体" w:eastAsia="楷体" w:cs="楷体"/>
          <w:color w:val="auto"/>
          <w:sz w:val="24"/>
          <w:highlight w:val="none"/>
        </w:rPr>
      </w:pPr>
    </w:p>
    <w:p w14:paraId="4E7FC177">
      <w:pPr>
        <w:numPr>
          <w:ilvl w:val="1"/>
          <w:numId w:val="0"/>
        </w:numPr>
        <w:shd w:val="clear"/>
        <w:tabs>
          <w:tab w:val="left" w:pos="1021"/>
        </w:tabs>
        <w:spacing w:before="0" w:line="360" w:lineRule="auto"/>
        <w:jc w:val="left"/>
        <w:outlineLvl w:val="9"/>
        <w:rPr>
          <w:rFonts w:hint="eastAsia" w:ascii="楷体" w:hAnsi="楷体" w:eastAsia="楷体" w:cs="楷体"/>
          <w:b w:val="0"/>
          <w:bCs/>
          <w:color w:val="auto"/>
          <w:sz w:val="24"/>
          <w:szCs w:val="24"/>
          <w:highlight w:val="none"/>
        </w:rPr>
      </w:pPr>
      <w:bookmarkStart w:id="96" w:name="_Toc17821"/>
      <w:bookmarkStart w:id="97" w:name="_Toc22813255"/>
      <w:bookmarkStart w:id="98" w:name="_Toc11722"/>
      <w:bookmarkStart w:id="99" w:name="_Toc21049"/>
      <w:bookmarkStart w:id="100" w:name="_Toc509407332"/>
    </w:p>
    <w:bookmarkEnd w:id="96"/>
    <w:bookmarkEnd w:id="97"/>
    <w:bookmarkEnd w:id="98"/>
    <w:bookmarkEnd w:id="99"/>
    <w:p w14:paraId="5F133F49">
      <w:pPr>
        <w:shd w:val="clear"/>
        <w:spacing w:line="480" w:lineRule="exact"/>
        <w:ind w:firstLine="480"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供应商(</w:t>
      </w:r>
      <w:r>
        <w:rPr>
          <w:rFonts w:hint="eastAsia" w:ascii="楷体" w:hAnsi="楷体" w:eastAsia="楷体" w:cs="楷体"/>
          <w:color w:val="auto"/>
          <w:sz w:val="24"/>
          <w:highlight w:val="none"/>
          <w:lang w:eastAsia="zh-CN"/>
        </w:rPr>
        <w:t>电子签章</w:t>
      </w:r>
      <w:r>
        <w:rPr>
          <w:rFonts w:hint="eastAsia" w:ascii="楷体" w:hAnsi="楷体" w:eastAsia="楷体" w:cs="楷体"/>
          <w:color w:val="auto"/>
          <w:sz w:val="24"/>
          <w:highlight w:val="none"/>
        </w:rPr>
        <w:t>)：</w:t>
      </w:r>
    </w:p>
    <w:p w14:paraId="6D7BB76A">
      <w:pPr>
        <w:shd w:val="clear"/>
        <w:spacing w:line="480" w:lineRule="exact"/>
        <w:ind w:firstLine="480"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日期：     年      月      日</w:t>
      </w:r>
    </w:p>
    <w:p w14:paraId="3BEFEDFF">
      <w:pPr>
        <w:numPr>
          <w:ilvl w:val="1"/>
          <w:numId w:val="0"/>
        </w:numPr>
        <w:shd w:val="clear"/>
        <w:tabs>
          <w:tab w:val="left" w:pos="1021"/>
        </w:tabs>
        <w:jc w:val="center"/>
        <w:outlineLvl w:val="9"/>
        <w:rPr>
          <w:rFonts w:hint="eastAsia" w:ascii="楷体" w:hAnsi="楷体" w:eastAsia="楷体" w:cs="楷体"/>
          <w:color w:val="auto"/>
          <w:szCs w:val="28"/>
          <w:highlight w:val="none"/>
        </w:rPr>
      </w:pPr>
      <w:r>
        <w:rPr>
          <w:rFonts w:hint="eastAsia" w:ascii="楷体" w:hAnsi="楷体" w:eastAsia="楷体" w:cs="楷体"/>
          <w:b w:val="0"/>
          <w:bCs/>
          <w:color w:val="auto"/>
          <w:szCs w:val="28"/>
          <w:highlight w:val="none"/>
        </w:rPr>
        <w:br w:type="page"/>
      </w:r>
      <w:bookmarkEnd w:id="100"/>
      <w:bookmarkStart w:id="101" w:name="_Toc460395576"/>
      <w:bookmarkStart w:id="102" w:name="_Toc430097718"/>
      <w:bookmarkStart w:id="103" w:name="_Toc394588652"/>
      <w:bookmarkStart w:id="104" w:name="_Toc430097401"/>
      <w:bookmarkStart w:id="105" w:name="_Toc509407339"/>
    </w:p>
    <w:p w14:paraId="49525F03">
      <w:pPr>
        <w:pStyle w:val="4"/>
        <w:numPr>
          <w:ilvl w:val="0"/>
          <w:numId w:val="0"/>
        </w:numPr>
        <w:shd w:val="clear"/>
        <w:ind w:leftChars="0"/>
        <w:jc w:val="center"/>
        <w:rPr>
          <w:rFonts w:hint="eastAsia" w:ascii="楷体" w:hAnsi="楷体" w:eastAsia="楷体" w:cs="楷体"/>
          <w:color w:val="auto"/>
          <w:highlight w:val="none"/>
          <w:lang w:eastAsia="zh-CN"/>
        </w:rPr>
      </w:pPr>
      <w:bookmarkStart w:id="106" w:name="_Toc29923"/>
      <w:bookmarkStart w:id="107" w:name="_Toc19658"/>
      <w:bookmarkStart w:id="108" w:name="_Toc23560"/>
      <w:bookmarkStart w:id="109" w:name="_Toc20470"/>
      <w:bookmarkStart w:id="110" w:name="_Toc7053"/>
      <w:bookmarkStart w:id="111" w:name="_Toc22813259"/>
      <w:r>
        <w:rPr>
          <w:rFonts w:hint="eastAsia" w:ascii="楷体" w:hAnsi="楷体" w:eastAsia="楷体" w:cs="楷体"/>
          <w:color w:val="auto"/>
          <w:highlight w:val="none"/>
          <w:lang w:eastAsia="zh-CN"/>
        </w:rPr>
        <w:t>资格审查部分</w:t>
      </w:r>
      <w:bookmarkEnd w:id="106"/>
      <w:bookmarkEnd w:id="107"/>
      <w:bookmarkEnd w:id="108"/>
      <w:bookmarkEnd w:id="109"/>
    </w:p>
    <w:p w14:paraId="037DEBFC">
      <w:pPr>
        <w:shd w:val="clear"/>
        <w:spacing w:line="360" w:lineRule="auto"/>
        <w:jc w:val="center"/>
        <w:outlineLvl w:val="2"/>
        <w:rPr>
          <w:rFonts w:hint="eastAsia" w:ascii="楷体" w:hAnsi="楷体" w:eastAsia="楷体" w:cs="楷体"/>
          <w:b/>
          <w:color w:val="auto"/>
          <w:kern w:val="0"/>
          <w:sz w:val="28"/>
          <w:szCs w:val="28"/>
          <w:highlight w:val="none"/>
        </w:rPr>
      </w:pPr>
      <w:bookmarkStart w:id="112" w:name="_Toc18437"/>
      <w:r>
        <w:rPr>
          <w:rFonts w:hint="eastAsia" w:ascii="楷体" w:hAnsi="楷体" w:eastAsia="楷体" w:cs="楷体"/>
          <w:b/>
          <w:color w:val="auto"/>
          <w:kern w:val="0"/>
          <w:sz w:val="28"/>
          <w:szCs w:val="28"/>
          <w:highlight w:val="none"/>
          <w:lang w:eastAsia="zh-CN"/>
        </w:rPr>
        <w:t>一、</w:t>
      </w:r>
      <w:r>
        <w:rPr>
          <w:rFonts w:hint="eastAsia" w:ascii="楷体" w:hAnsi="楷体" w:eastAsia="楷体" w:cs="楷体"/>
          <w:b/>
          <w:color w:val="auto"/>
          <w:kern w:val="0"/>
          <w:sz w:val="28"/>
          <w:szCs w:val="28"/>
          <w:highlight w:val="none"/>
        </w:rPr>
        <w:t>供应商基本情况表</w:t>
      </w:r>
      <w:bookmarkEnd w:id="112"/>
    </w:p>
    <w:tbl>
      <w:tblPr>
        <w:tblStyle w:val="19"/>
        <w:tblW w:w="9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7"/>
        <w:gridCol w:w="1343"/>
        <w:gridCol w:w="408"/>
        <w:gridCol w:w="1525"/>
        <w:gridCol w:w="1256"/>
        <w:gridCol w:w="412"/>
        <w:gridCol w:w="1133"/>
        <w:gridCol w:w="1648"/>
      </w:tblGrid>
      <w:tr w14:paraId="6558C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957" w:type="dxa"/>
          </w:tcPr>
          <w:p w14:paraId="29EFA3DF">
            <w:pPr>
              <w:pStyle w:val="11"/>
              <w:shd w:val="clear"/>
              <w:snapToGrid w:val="0"/>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企业名称</w:t>
            </w:r>
          </w:p>
        </w:tc>
        <w:tc>
          <w:tcPr>
            <w:tcW w:w="4944" w:type="dxa"/>
            <w:gridSpan w:val="5"/>
          </w:tcPr>
          <w:p w14:paraId="09057965">
            <w:pPr>
              <w:pStyle w:val="11"/>
              <w:shd w:val="clear"/>
              <w:snapToGrid w:val="0"/>
              <w:spacing w:line="360" w:lineRule="auto"/>
              <w:rPr>
                <w:rFonts w:hint="eastAsia" w:ascii="楷体" w:hAnsi="楷体" w:eastAsia="楷体" w:cs="楷体"/>
                <w:color w:val="auto"/>
                <w:kern w:val="2"/>
                <w:sz w:val="24"/>
                <w:szCs w:val="24"/>
                <w:highlight w:val="none"/>
              </w:rPr>
            </w:pPr>
          </w:p>
        </w:tc>
        <w:tc>
          <w:tcPr>
            <w:tcW w:w="1133" w:type="dxa"/>
          </w:tcPr>
          <w:p w14:paraId="62297B96">
            <w:pPr>
              <w:pStyle w:val="11"/>
              <w:shd w:val="clear"/>
              <w:snapToGrid w:val="0"/>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邮编</w:t>
            </w:r>
          </w:p>
        </w:tc>
        <w:tc>
          <w:tcPr>
            <w:tcW w:w="1648" w:type="dxa"/>
          </w:tcPr>
          <w:p w14:paraId="6B91606F">
            <w:pPr>
              <w:pStyle w:val="11"/>
              <w:shd w:val="clear"/>
              <w:snapToGrid w:val="0"/>
              <w:spacing w:line="360" w:lineRule="auto"/>
              <w:rPr>
                <w:rFonts w:hint="eastAsia" w:ascii="楷体" w:hAnsi="楷体" w:eastAsia="楷体" w:cs="楷体"/>
                <w:color w:val="auto"/>
                <w:kern w:val="2"/>
                <w:sz w:val="24"/>
                <w:szCs w:val="24"/>
                <w:highlight w:val="none"/>
              </w:rPr>
            </w:pPr>
          </w:p>
        </w:tc>
      </w:tr>
      <w:tr w14:paraId="0A24F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57" w:type="dxa"/>
          </w:tcPr>
          <w:p w14:paraId="6A1215F4">
            <w:pPr>
              <w:pStyle w:val="11"/>
              <w:shd w:val="clear"/>
              <w:snapToGrid w:val="0"/>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企业地址</w:t>
            </w:r>
          </w:p>
        </w:tc>
        <w:tc>
          <w:tcPr>
            <w:tcW w:w="4944" w:type="dxa"/>
            <w:gridSpan w:val="5"/>
          </w:tcPr>
          <w:p w14:paraId="4E5E8FA7">
            <w:pPr>
              <w:pStyle w:val="11"/>
              <w:shd w:val="clear"/>
              <w:snapToGrid w:val="0"/>
              <w:spacing w:line="360" w:lineRule="auto"/>
              <w:rPr>
                <w:rFonts w:hint="eastAsia" w:ascii="楷体" w:hAnsi="楷体" w:eastAsia="楷体" w:cs="楷体"/>
                <w:color w:val="auto"/>
                <w:kern w:val="2"/>
                <w:sz w:val="24"/>
                <w:szCs w:val="24"/>
                <w:highlight w:val="none"/>
              </w:rPr>
            </w:pPr>
          </w:p>
        </w:tc>
        <w:tc>
          <w:tcPr>
            <w:tcW w:w="1133" w:type="dxa"/>
          </w:tcPr>
          <w:p w14:paraId="70AAF010">
            <w:pPr>
              <w:pStyle w:val="11"/>
              <w:shd w:val="clear"/>
              <w:snapToGrid w:val="0"/>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电话</w:t>
            </w:r>
          </w:p>
        </w:tc>
        <w:tc>
          <w:tcPr>
            <w:tcW w:w="1648" w:type="dxa"/>
          </w:tcPr>
          <w:p w14:paraId="46E73238">
            <w:pPr>
              <w:pStyle w:val="11"/>
              <w:shd w:val="clear"/>
              <w:snapToGrid w:val="0"/>
              <w:spacing w:line="360" w:lineRule="auto"/>
              <w:rPr>
                <w:rFonts w:hint="eastAsia" w:ascii="楷体" w:hAnsi="楷体" w:eastAsia="楷体" w:cs="楷体"/>
                <w:color w:val="auto"/>
                <w:kern w:val="2"/>
                <w:sz w:val="24"/>
                <w:szCs w:val="24"/>
                <w:highlight w:val="none"/>
              </w:rPr>
            </w:pPr>
          </w:p>
        </w:tc>
      </w:tr>
      <w:tr w14:paraId="63F3C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57" w:type="dxa"/>
            <w:vAlign w:val="center"/>
          </w:tcPr>
          <w:p w14:paraId="27BE6A18">
            <w:pPr>
              <w:pStyle w:val="11"/>
              <w:shd w:val="clear"/>
              <w:snapToGrid w:val="0"/>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法定代表人</w:t>
            </w:r>
          </w:p>
        </w:tc>
        <w:tc>
          <w:tcPr>
            <w:tcW w:w="1751" w:type="dxa"/>
            <w:gridSpan w:val="2"/>
          </w:tcPr>
          <w:p w14:paraId="628C9217">
            <w:pPr>
              <w:pStyle w:val="11"/>
              <w:shd w:val="clear"/>
              <w:snapToGrid w:val="0"/>
              <w:spacing w:line="360" w:lineRule="auto"/>
              <w:rPr>
                <w:rFonts w:hint="eastAsia" w:ascii="楷体" w:hAnsi="楷体" w:eastAsia="楷体" w:cs="楷体"/>
                <w:color w:val="auto"/>
                <w:kern w:val="2"/>
                <w:sz w:val="24"/>
                <w:szCs w:val="24"/>
                <w:highlight w:val="none"/>
              </w:rPr>
            </w:pPr>
          </w:p>
        </w:tc>
        <w:tc>
          <w:tcPr>
            <w:tcW w:w="1525" w:type="dxa"/>
            <w:vAlign w:val="center"/>
          </w:tcPr>
          <w:p w14:paraId="466A35FD">
            <w:pPr>
              <w:pStyle w:val="11"/>
              <w:shd w:val="clear"/>
              <w:snapToGrid w:val="0"/>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企业负责人</w:t>
            </w:r>
          </w:p>
        </w:tc>
        <w:tc>
          <w:tcPr>
            <w:tcW w:w="1668" w:type="dxa"/>
            <w:gridSpan w:val="2"/>
          </w:tcPr>
          <w:p w14:paraId="4D449211">
            <w:pPr>
              <w:pStyle w:val="11"/>
              <w:shd w:val="clear"/>
              <w:snapToGrid w:val="0"/>
              <w:spacing w:line="360" w:lineRule="auto"/>
              <w:rPr>
                <w:rFonts w:hint="eastAsia" w:ascii="楷体" w:hAnsi="楷体" w:eastAsia="楷体" w:cs="楷体"/>
                <w:color w:val="auto"/>
                <w:kern w:val="2"/>
                <w:sz w:val="24"/>
                <w:szCs w:val="24"/>
                <w:highlight w:val="none"/>
              </w:rPr>
            </w:pPr>
          </w:p>
        </w:tc>
        <w:tc>
          <w:tcPr>
            <w:tcW w:w="1133" w:type="dxa"/>
            <w:vAlign w:val="center"/>
          </w:tcPr>
          <w:p w14:paraId="1FBA14C5">
            <w:pPr>
              <w:pStyle w:val="11"/>
              <w:shd w:val="clear"/>
              <w:snapToGrid w:val="0"/>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企 业</w:t>
            </w:r>
          </w:p>
          <w:p w14:paraId="4C75A6EC">
            <w:pPr>
              <w:pStyle w:val="11"/>
              <w:shd w:val="clear"/>
              <w:snapToGrid w:val="0"/>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性 质</w:t>
            </w:r>
          </w:p>
        </w:tc>
        <w:tc>
          <w:tcPr>
            <w:tcW w:w="1648" w:type="dxa"/>
          </w:tcPr>
          <w:p w14:paraId="2D306E95">
            <w:pPr>
              <w:pStyle w:val="11"/>
              <w:shd w:val="clear"/>
              <w:snapToGrid w:val="0"/>
              <w:spacing w:line="360" w:lineRule="auto"/>
              <w:rPr>
                <w:rFonts w:hint="eastAsia" w:ascii="楷体" w:hAnsi="楷体" w:eastAsia="楷体" w:cs="楷体"/>
                <w:color w:val="auto"/>
                <w:kern w:val="2"/>
                <w:sz w:val="24"/>
                <w:szCs w:val="24"/>
                <w:highlight w:val="none"/>
              </w:rPr>
            </w:pPr>
          </w:p>
        </w:tc>
      </w:tr>
      <w:tr w14:paraId="5D1CC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57" w:type="dxa"/>
            <w:vAlign w:val="center"/>
          </w:tcPr>
          <w:p w14:paraId="2A6B58EB">
            <w:pPr>
              <w:pStyle w:val="11"/>
              <w:shd w:val="clear"/>
              <w:snapToGrid w:val="0"/>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注册资金</w:t>
            </w:r>
          </w:p>
        </w:tc>
        <w:tc>
          <w:tcPr>
            <w:tcW w:w="7725" w:type="dxa"/>
            <w:gridSpan w:val="7"/>
            <w:vAlign w:val="center"/>
          </w:tcPr>
          <w:p w14:paraId="249EC54B">
            <w:pPr>
              <w:pStyle w:val="11"/>
              <w:shd w:val="clear"/>
              <w:snapToGrid w:val="0"/>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u w:val="single"/>
              </w:rPr>
              <w:t xml:space="preserve">   </w:t>
            </w:r>
            <w:r>
              <w:rPr>
                <w:rFonts w:hint="eastAsia" w:ascii="楷体" w:hAnsi="楷体" w:eastAsia="楷体" w:cs="楷体"/>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u w:val="single"/>
              </w:rPr>
              <w:t xml:space="preserve">  </w:t>
            </w:r>
            <w:r>
              <w:rPr>
                <w:rFonts w:hint="eastAsia" w:ascii="楷体" w:hAnsi="楷体" w:eastAsia="楷体" w:cs="楷体"/>
                <w:color w:val="auto"/>
                <w:kern w:val="2"/>
                <w:sz w:val="24"/>
                <w:szCs w:val="24"/>
                <w:highlight w:val="none"/>
              </w:rPr>
              <w:t>万元</w:t>
            </w:r>
          </w:p>
        </w:tc>
      </w:tr>
      <w:tr w14:paraId="2CADA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57" w:type="dxa"/>
          </w:tcPr>
          <w:p w14:paraId="2F8677F4">
            <w:pPr>
              <w:pStyle w:val="11"/>
              <w:shd w:val="clear"/>
              <w:snapToGrid w:val="0"/>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职工总数</w:t>
            </w:r>
          </w:p>
        </w:tc>
        <w:tc>
          <w:tcPr>
            <w:tcW w:w="1343" w:type="dxa"/>
          </w:tcPr>
          <w:p w14:paraId="3D29EE08">
            <w:pPr>
              <w:pStyle w:val="11"/>
              <w:shd w:val="clear"/>
              <w:snapToGrid w:val="0"/>
              <w:spacing w:line="360" w:lineRule="auto"/>
              <w:rPr>
                <w:rFonts w:hint="eastAsia" w:ascii="楷体" w:hAnsi="楷体" w:eastAsia="楷体" w:cs="楷体"/>
                <w:color w:val="auto"/>
                <w:kern w:val="2"/>
                <w:sz w:val="24"/>
                <w:szCs w:val="24"/>
                <w:highlight w:val="none"/>
              </w:rPr>
            </w:pPr>
          </w:p>
        </w:tc>
        <w:tc>
          <w:tcPr>
            <w:tcW w:w="1933" w:type="dxa"/>
            <w:gridSpan w:val="2"/>
          </w:tcPr>
          <w:p w14:paraId="37870B4A">
            <w:pPr>
              <w:pStyle w:val="11"/>
              <w:shd w:val="clear"/>
              <w:snapToGrid w:val="0"/>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技术管理人数</w:t>
            </w:r>
          </w:p>
        </w:tc>
        <w:tc>
          <w:tcPr>
            <w:tcW w:w="1256" w:type="dxa"/>
          </w:tcPr>
          <w:p w14:paraId="134C01AA">
            <w:pPr>
              <w:pStyle w:val="11"/>
              <w:shd w:val="clear"/>
              <w:snapToGrid w:val="0"/>
              <w:spacing w:line="360" w:lineRule="auto"/>
              <w:rPr>
                <w:rFonts w:hint="eastAsia" w:ascii="楷体" w:hAnsi="楷体" w:eastAsia="楷体" w:cs="楷体"/>
                <w:color w:val="auto"/>
                <w:kern w:val="2"/>
                <w:sz w:val="24"/>
                <w:szCs w:val="24"/>
                <w:highlight w:val="none"/>
              </w:rPr>
            </w:pPr>
          </w:p>
        </w:tc>
        <w:tc>
          <w:tcPr>
            <w:tcW w:w="1545" w:type="dxa"/>
            <w:gridSpan w:val="2"/>
            <w:vAlign w:val="center"/>
          </w:tcPr>
          <w:p w14:paraId="4D9606AC">
            <w:pPr>
              <w:pStyle w:val="11"/>
              <w:shd w:val="clear"/>
              <w:snapToGrid w:val="0"/>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rPr>
              <w:t>技术工人</w:t>
            </w:r>
          </w:p>
        </w:tc>
        <w:tc>
          <w:tcPr>
            <w:tcW w:w="1648" w:type="dxa"/>
          </w:tcPr>
          <w:p w14:paraId="785AE3E9">
            <w:pPr>
              <w:pStyle w:val="11"/>
              <w:shd w:val="clear"/>
              <w:snapToGrid w:val="0"/>
              <w:spacing w:line="360" w:lineRule="auto"/>
              <w:rPr>
                <w:rFonts w:hint="eastAsia" w:ascii="楷体" w:hAnsi="楷体" w:eastAsia="楷体" w:cs="楷体"/>
                <w:color w:val="auto"/>
                <w:kern w:val="2"/>
                <w:sz w:val="24"/>
                <w:szCs w:val="24"/>
                <w:highlight w:val="none"/>
              </w:rPr>
            </w:pPr>
          </w:p>
        </w:tc>
      </w:tr>
      <w:tr w14:paraId="547E7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82" w:type="dxa"/>
            <w:gridSpan w:val="8"/>
          </w:tcPr>
          <w:p w14:paraId="40451B42">
            <w:pPr>
              <w:pStyle w:val="11"/>
              <w:shd w:val="clear"/>
              <w:snapToGrid w:val="0"/>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sz w:val="24"/>
                <w:szCs w:val="24"/>
                <w:highlight w:val="none"/>
              </w:rPr>
              <w:t>公司资质等级证书号:（请附有关证书的复印件）</w:t>
            </w:r>
          </w:p>
        </w:tc>
      </w:tr>
      <w:tr w14:paraId="60CEF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82" w:type="dxa"/>
            <w:gridSpan w:val="8"/>
          </w:tcPr>
          <w:p w14:paraId="4E9232E6">
            <w:pPr>
              <w:pStyle w:val="11"/>
              <w:shd w:val="clear"/>
              <w:snapToGrid w:val="0"/>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sz w:val="24"/>
                <w:szCs w:val="24"/>
                <w:highlight w:val="none"/>
              </w:rPr>
              <w:t>公司:</w:t>
            </w:r>
            <w:r>
              <w:rPr>
                <w:rFonts w:hint="eastAsia" w:ascii="楷体" w:hAnsi="楷体" w:eastAsia="楷体" w:cs="楷体"/>
                <w:color w:val="auto"/>
                <w:sz w:val="24"/>
                <w:szCs w:val="24"/>
                <w:highlight w:val="none"/>
                <w:u w:val="single"/>
              </w:rPr>
              <w:t xml:space="preserve"> （是否通过、何种）   </w:t>
            </w:r>
            <w:r>
              <w:rPr>
                <w:rFonts w:hint="eastAsia" w:ascii="楷体" w:hAnsi="楷体" w:eastAsia="楷体" w:cs="楷体"/>
                <w:color w:val="auto"/>
                <w:sz w:val="24"/>
                <w:szCs w:val="24"/>
                <w:highlight w:val="none"/>
              </w:rPr>
              <w:t>质量保证体系认证（如通过请附相关证书复印件，并提供认证机构年审监督报告）</w:t>
            </w:r>
          </w:p>
        </w:tc>
      </w:tr>
      <w:tr w14:paraId="7DB6C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82" w:type="dxa"/>
            <w:gridSpan w:val="8"/>
          </w:tcPr>
          <w:p w14:paraId="5854DECF">
            <w:pPr>
              <w:shd w:val="clear"/>
              <w:autoSpaceDE w:val="0"/>
              <w:autoSpaceDN w:val="0"/>
              <w:adjustRightInd w:val="0"/>
              <w:snapToGrid w:val="0"/>
              <w:spacing w:line="360" w:lineRule="auto"/>
              <w:jc w:val="left"/>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rPr>
              <w:t>主营范围:</w:t>
            </w:r>
          </w:p>
          <w:p w14:paraId="617A9D36">
            <w:pPr>
              <w:shd w:val="clear"/>
              <w:autoSpaceDE w:val="0"/>
              <w:autoSpaceDN w:val="0"/>
              <w:adjustRightInd w:val="0"/>
              <w:snapToGrid w:val="0"/>
              <w:spacing w:line="360" w:lineRule="auto"/>
              <w:jc w:val="left"/>
              <w:rPr>
                <w:rFonts w:hint="eastAsia" w:ascii="楷体" w:hAnsi="楷体" w:eastAsia="楷体" w:cs="楷体"/>
                <w:color w:val="auto"/>
                <w:kern w:val="0"/>
                <w:sz w:val="24"/>
                <w:highlight w:val="none"/>
                <w:u w:val="single"/>
              </w:rPr>
            </w:pPr>
            <w:r>
              <w:rPr>
                <w:rFonts w:hint="eastAsia" w:ascii="楷体" w:hAnsi="楷体" w:eastAsia="楷体" w:cs="楷体"/>
                <w:color w:val="auto"/>
                <w:kern w:val="0"/>
                <w:sz w:val="24"/>
                <w:highlight w:val="none"/>
              </w:rPr>
              <w:t>1．</w:t>
            </w:r>
            <w:r>
              <w:rPr>
                <w:rFonts w:hint="eastAsia" w:ascii="楷体" w:hAnsi="楷体" w:eastAsia="楷体" w:cs="楷体"/>
                <w:color w:val="auto"/>
                <w:kern w:val="0"/>
                <w:sz w:val="24"/>
                <w:highlight w:val="none"/>
                <w:u w:val="single"/>
              </w:rPr>
              <w:t xml:space="preserve">                                                             </w:t>
            </w:r>
          </w:p>
          <w:p w14:paraId="40704963">
            <w:pPr>
              <w:shd w:val="clear"/>
              <w:autoSpaceDE w:val="0"/>
              <w:autoSpaceDN w:val="0"/>
              <w:adjustRightInd w:val="0"/>
              <w:snapToGrid w:val="0"/>
              <w:spacing w:line="360" w:lineRule="auto"/>
              <w:jc w:val="left"/>
              <w:rPr>
                <w:rFonts w:hint="eastAsia" w:ascii="楷体" w:hAnsi="楷体" w:eastAsia="楷体" w:cs="楷体"/>
                <w:color w:val="auto"/>
                <w:kern w:val="0"/>
                <w:sz w:val="24"/>
                <w:highlight w:val="none"/>
                <w:u w:val="single"/>
              </w:rPr>
            </w:pPr>
            <w:r>
              <w:rPr>
                <w:rFonts w:hint="eastAsia" w:ascii="楷体" w:hAnsi="楷体" w:eastAsia="楷体" w:cs="楷体"/>
                <w:color w:val="auto"/>
                <w:kern w:val="0"/>
                <w:sz w:val="24"/>
                <w:highlight w:val="none"/>
              </w:rPr>
              <w:t>2．</w:t>
            </w:r>
            <w:r>
              <w:rPr>
                <w:rFonts w:hint="eastAsia" w:ascii="楷体" w:hAnsi="楷体" w:eastAsia="楷体" w:cs="楷体"/>
                <w:color w:val="auto"/>
                <w:kern w:val="0"/>
                <w:sz w:val="24"/>
                <w:highlight w:val="none"/>
                <w:u w:val="single"/>
              </w:rPr>
              <w:t xml:space="preserve">                                                             </w:t>
            </w:r>
          </w:p>
          <w:p w14:paraId="4EAFF490">
            <w:pPr>
              <w:shd w:val="clear"/>
              <w:autoSpaceDE w:val="0"/>
              <w:autoSpaceDN w:val="0"/>
              <w:adjustRightInd w:val="0"/>
              <w:snapToGrid w:val="0"/>
              <w:spacing w:line="360" w:lineRule="auto"/>
              <w:jc w:val="left"/>
              <w:rPr>
                <w:rFonts w:hint="eastAsia" w:ascii="楷体" w:hAnsi="楷体" w:eastAsia="楷体" w:cs="楷体"/>
                <w:color w:val="auto"/>
                <w:kern w:val="0"/>
                <w:sz w:val="24"/>
                <w:highlight w:val="none"/>
                <w:u w:val="single"/>
              </w:rPr>
            </w:pPr>
            <w:r>
              <w:rPr>
                <w:rFonts w:hint="eastAsia" w:ascii="楷体" w:hAnsi="楷体" w:eastAsia="楷体" w:cs="楷体"/>
                <w:color w:val="auto"/>
                <w:kern w:val="0"/>
                <w:sz w:val="24"/>
                <w:highlight w:val="none"/>
              </w:rPr>
              <w:t>3．</w:t>
            </w:r>
            <w:r>
              <w:rPr>
                <w:rFonts w:hint="eastAsia" w:ascii="楷体" w:hAnsi="楷体" w:eastAsia="楷体" w:cs="楷体"/>
                <w:color w:val="auto"/>
                <w:kern w:val="0"/>
                <w:sz w:val="24"/>
                <w:highlight w:val="none"/>
                <w:u w:val="single"/>
              </w:rPr>
              <w:t xml:space="preserve">                                                             </w:t>
            </w:r>
          </w:p>
          <w:p w14:paraId="2D3F64E0">
            <w:pPr>
              <w:shd w:val="clear"/>
              <w:autoSpaceDE w:val="0"/>
              <w:autoSpaceDN w:val="0"/>
              <w:adjustRightInd w:val="0"/>
              <w:snapToGrid w:val="0"/>
              <w:spacing w:line="360" w:lineRule="auto"/>
              <w:jc w:val="left"/>
              <w:rPr>
                <w:rFonts w:hint="eastAsia" w:ascii="楷体" w:hAnsi="楷体" w:eastAsia="楷体" w:cs="楷体"/>
                <w:color w:val="auto"/>
                <w:kern w:val="0"/>
                <w:sz w:val="24"/>
                <w:highlight w:val="none"/>
                <w:u w:val="single"/>
              </w:rPr>
            </w:pPr>
            <w:r>
              <w:rPr>
                <w:rFonts w:hint="eastAsia" w:ascii="楷体" w:hAnsi="楷体" w:eastAsia="楷体" w:cs="楷体"/>
                <w:color w:val="auto"/>
                <w:kern w:val="0"/>
                <w:sz w:val="24"/>
                <w:highlight w:val="none"/>
              </w:rPr>
              <w:t>4．</w:t>
            </w:r>
            <w:r>
              <w:rPr>
                <w:rFonts w:hint="eastAsia" w:ascii="楷体" w:hAnsi="楷体" w:eastAsia="楷体" w:cs="楷体"/>
                <w:color w:val="auto"/>
                <w:kern w:val="0"/>
                <w:sz w:val="24"/>
                <w:highlight w:val="none"/>
                <w:u w:val="single"/>
              </w:rPr>
              <w:t xml:space="preserve">                                                             </w:t>
            </w:r>
          </w:p>
          <w:p w14:paraId="3FDA2F21">
            <w:pPr>
              <w:shd w:val="clear"/>
              <w:autoSpaceDE w:val="0"/>
              <w:autoSpaceDN w:val="0"/>
              <w:adjustRightInd w:val="0"/>
              <w:snapToGrid w:val="0"/>
              <w:spacing w:line="360" w:lineRule="auto"/>
              <w:jc w:val="left"/>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rPr>
              <w:t>…</w:t>
            </w:r>
          </w:p>
          <w:p w14:paraId="5D706898">
            <w:pPr>
              <w:pStyle w:val="11"/>
              <w:shd w:val="clear"/>
              <w:snapToGrid w:val="0"/>
              <w:spacing w:line="360" w:lineRule="auto"/>
              <w:rPr>
                <w:rFonts w:hint="eastAsia" w:ascii="楷体" w:hAnsi="楷体" w:eastAsia="楷体" w:cs="楷体"/>
                <w:color w:val="auto"/>
                <w:kern w:val="2"/>
                <w:sz w:val="24"/>
                <w:szCs w:val="24"/>
                <w:highlight w:val="none"/>
              </w:rPr>
            </w:pPr>
            <w:r>
              <w:rPr>
                <w:rFonts w:hint="eastAsia" w:ascii="楷体" w:hAnsi="楷体" w:eastAsia="楷体" w:cs="楷体"/>
                <w:color w:val="auto"/>
                <w:sz w:val="24"/>
                <w:szCs w:val="24"/>
                <w:highlight w:val="none"/>
              </w:rPr>
              <w:t>…</w:t>
            </w:r>
          </w:p>
        </w:tc>
      </w:tr>
      <w:tr w14:paraId="7834E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82" w:type="dxa"/>
            <w:gridSpan w:val="8"/>
          </w:tcPr>
          <w:p w14:paraId="5F15C946">
            <w:pPr>
              <w:shd w:val="clear"/>
              <w:autoSpaceDE w:val="0"/>
              <w:autoSpaceDN w:val="0"/>
              <w:adjustRightInd w:val="0"/>
              <w:snapToGrid w:val="0"/>
              <w:spacing w:line="360" w:lineRule="auto"/>
              <w:jc w:val="left"/>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rPr>
              <w:t>其他需要说明的情况:</w:t>
            </w:r>
          </w:p>
        </w:tc>
      </w:tr>
    </w:tbl>
    <w:p w14:paraId="46673381">
      <w:pPr>
        <w:shd w:val="clear"/>
        <w:spacing w:line="480" w:lineRule="exact"/>
        <w:ind w:firstLine="480" w:firstLineChars="200"/>
        <w:rPr>
          <w:rFonts w:hint="eastAsia" w:ascii="楷体" w:hAnsi="楷体" w:eastAsia="楷体" w:cs="楷体"/>
          <w:color w:val="auto"/>
          <w:sz w:val="24"/>
          <w:highlight w:val="none"/>
        </w:rPr>
      </w:pPr>
    </w:p>
    <w:p w14:paraId="54A42106">
      <w:pPr>
        <w:shd w:val="clear"/>
        <w:spacing w:line="480" w:lineRule="exact"/>
        <w:ind w:firstLine="480"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供应商(</w:t>
      </w:r>
      <w:r>
        <w:rPr>
          <w:rFonts w:hint="eastAsia" w:ascii="楷体" w:hAnsi="楷体" w:eastAsia="楷体" w:cs="楷体"/>
          <w:color w:val="auto"/>
          <w:sz w:val="24"/>
          <w:highlight w:val="none"/>
          <w:lang w:eastAsia="zh-CN"/>
        </w:rPr>
        <w:t>电子签章</w:t>
      </w:r>
      <w:r>
        <w:rPr>
          <w:rFonts w:hint="eastAsia" w:ascii="楷体" w:hAnsi="楷体" w:eastAsia="楷体" w:cs="楷体"/>
          <w:color w:val="auto"/>
          <w:sz w:val="24"/>
          <w:highlight w:val="none"/>
        </w:rPr>
        <w:t>)：</w:t>
      </w:r>
    </w:p>
    <w:p w14:paraId="23F04B6C">
      <w:pPr>
        <w:shd w:val="clear"/>
        <w:spacing w:line="480" w:lineRule="exact"/>
        <w:ind w:firstLine="480"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日期：     年      月      日</w:t>
      </w:r>
    </w:p>
    <w:bookmarkEnd w:id="101"/>
    <w:bookmarkEnd w:id="102"/>
    <w:bookmarkEnd w:id="103"/>
    <w:bookmarkEnd w:id="104"/>
    <w:bookmarkEnd w:id="110"/>
    <w:bookmarkEnd w:id="111"/>
    <w:p w14:paraId="60C72201">
      <w:pPr>
        <w:shd w:val="clear"/>
        <w:rPr>
          <w:rFonts w:hint="eastAsia" w:ascii="楷体" w:hAnsi="楷体" w:eastAsia="楷体" w:cs="楷体"/>
          <w:color w:val="auto"/>
          <w:sz w:val="24"/>
          <w:highlight w:val="none"/>
        </w:rPr>
      </w:pPr>
    </w:p>
    <w:p w14:paraId="50135C4A">
      <w:pPr>
        <w:shd w:val="clear"/>
        <w:spacing w:line="500" w:lineRule="exact"/>
        <w:rPr>
          <w:rFonts w:hint="eastAsia" w:ascii="楷体" w:hAnsi="楷体" w:eastAsia="楷体" w:cs="楷体"/>
          <w:color w:val="auto"/>
          <w:sz w:val="24"/>
          <w:highlight w:val="none"/>
        </w:rPr>
      </w:pPr>
    </w:p>
    <w:p w14:paraId="053CC768">
      <w:pPr>
        <w:shd w:val="clear"/>
        <w:spacing w:line="500" w:lineRule="exact"/>
        <w:rPr>
          <w:rFonts w:hint="eastAsia" w:ascii="楷体" w:hAnsi="楷体" w:eastAsia="楷体" w:cs="楷体"/>
          <w:color w:val="auto"/>
          <w:sz w:val="24"/>
          <w:highlight w:val="none"/>
        </w:rPr>
      </w:pPr>
    </w:p>
    <w:p w14:paraId="40333F17">
      <w:pPr>
        <w:shd w:val="clear"/>
        <w:rPr>
          <w:rFonts w:hint="eastAsia" w:ascii="楷体" w:hAnsi="楷体" w:eastAsia="楷体" w:cs="楷体"/>
          <w:color w:val="auto"/>
          <w:highlight w:val="none"/>
        </w:rPr>
      </w:pPr>
    </w:p>
    <w:p w14:paraId="78B4EE90">
      <w:pPr>
        <w:numPr>
          <w:ilvl w:val="1"/>
          <w:numId w:val="0"/>
        </w:numPr>
        <w:shd w:val="clear"/>
        <w:tabs>
          <w:tab w:val="left" w:pos="1021"/>
        </w:tabs>
        <w:spacing w:line="360" w:lineRule="auto"/>
        <w:ind w:leftChars="0"/>
        <w:jc w:val="left"/>
        <w:outlineLvl w:val="9"/>
        <w:rPr>
          <w:rFonts w:hint="eastAsia" w:ascii="楷体" w:hAnsi="楷体" w:eastAsia="楷体" w:cs="楷体"/>
          <w:color w:val="auto"/>
          <w:highlight w:val="none"/>
        </w:rPr>
      </w:pPr>
      <w:r>
        <w:rPr>
          <w:rFonts w:hint="eastAsia" w:ascii="楷体" w:hAnsi="楷体" w:eastAsia="楷体" w:cs="楷体"/>
          <w:color w:val="auto"/>
          <w:highlight w:val="none"/>
        </w:rPr>
        <w:br w:type="page"/>
      </w:r>
    </w:p>
    <w:p w14:paraId="62AFCC65">
      <w:pPr>
        <w:shd w:val="clear"/>
        <w:spacing w:line="360" w:lineRule="auto"/>
        <w:jc w:val="center"/>
        <w:outlineLvl w:val="2"/>
        <w:rPr>
          <w:rFonts w:hint="eastAsia" w:ascii="楷体" w:hAnsi="楷体" w:eastAsia="楷体" w:cs="楷体"/>
          <w:b/>
          <w:color w:val="auto"/>
          <w:kern w:val="0"/>
          <w:sz w:val="28"/>
          <w:szCs w:val="28"/>
          <w:highlight w:val="none"/>
          <w:lang w:eastAsia="zh-CN"/>
        </w:rPr>
      </w:pPr>
      <w:bookmarkStart w:id="113" w:name="_Toc22860"/>
      <w:r>
        <w:rPr>
          <w:rFonts w:hint="eastAsia" w:ascii="楷体" w:hAnsi="楷体" w:eastAsia="楷体" w:cs="楷体"/>
          <w:b/>
          <w:color w:val="auto"/>
          <w:kern w:val="0"/>
          <w:sz w:val="28"/>
          <w:szCs w:val="28"/>
          <w:highlight w:val="none"/>
          <w:lang w:eastAsia="zh-CN"/>
        </w:rPr>
        <w:t>二、资格证明文件</w:t>
      </w:r>
      <w:bookmarkEnd w:id="113"/>
    </w:p>
    <w:p w14:paraId="23B63034">
      <w:p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b/>
          <w:bCs/>
          <w:color w:val="auto"/>
          <w:sz w:val="24"/>
          <w:szCs w:val="24"/>
          <w:highlight w:val="none"/>
          <w:lang w:val="en-US" w:eastAsia="zh-CN"/>
        </w:rPr>
        <w:t>1.</w:t>
      </w:r>
      <w:r>
        <w:rPr>
          <w:rFonts w:hint="eastAsia" w:ascii="楷体" w:hAnsi="楷体" w:eastAsia="楷体" w:cs="楷体"/>
          <w:b/>
          <w:bCs/>
          <w:color w:val="auto"/>
          <w:sz w:val="24"/>
          <w:szCs w:val="24"/>
          <w:highlight w:val="none"/>
        </w:rPr>
        <w:t>具有独立承担民事责任的能力，</w:t>
      </w:r>
      <w:r>
        <w:rPr>
          <w:rFonts w:hint="eastAsia" w:ascii="楷体" w:hAnsi="楷体" w:eastAsia="楷体" w:cs="楷体"/>
          <w:color w:val="auto"/>
          <w:kern w:val="0"/>
          <w:sz w:val="24"/>
          <w:szCs w:val="24"/>
          <w:highlight w:val="none"/>
        </w:rPr>
        <w:t>提供法人或者非法人组织的营业执照或其他法定凭证等证明文件</w:t>
      </w:r>
      <w:r>
        <w:rPr>
          <w:rFonts w:hint="eastAsia" w:ascii="楷体" w:hAnsi="楷体" w:eastAsia="楷体" w:cs="楷体"/>
          <w:color w:val="auto"/>
          <w:sz w:val="24"/>
          <w:szCs w:val="24"/>
          <w:highlight w:val="none"/>
        </w:rPr>
        <w:t>；</w:t>
      </w:r>
    </w:p>
    <w:p w14:paraId="4171F917">
      <w:pPr>
        <w:numPr>
          <w:ilvl w:val="0"/>
          <w:numId w:val="0"/>
        </w:numPr>
        <w:shd w:val="clear"/>
        <w:tabs>
          <w:tab w:val="left" w:pos="360"/>
        </w:tabs>
        <w:ind w:leftChars="0"/>
        <w:outlineLvl w:val="9"/>
        <w:rPr>
          <w:rFonts w:hint="eastAsia" w:ascii="楷体" w:hAnsi="楷体" w:eastAsia="楷体" w:cs="楷体"/>
          <w:color w:val="auto"/>
          <w:sz w:val="24"/>
          <w:szCs w:val="24"/>
          <w:highlight w:val="none"/>
        </w:rPr>
      </w:pPr>
    </w:p>
    <w:bookmarkEnd w:id="105"/>
    <w:p w14:paraId="52A9A77A">
      <w:p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b/>
          <w:bCs/>
          <w:color w:val="auto"/>
          <w:sz w:val="24"/>
          <w:szCs w:val="24"/>
          <w:highlight w:val="none"/>
          <w:lang w:val="en-US" w:eastAsia="zh-CN"/>
        </w:rPr>
        <w:t>2.</w:t>
      </w:r>
      <w:r>
        <w:rPr>
          <w:rFonts w:hint="eastAsia" w:ascii="楷体" w:hAnsi="楷体" w:eastAsia="楷体" w:cs="楷体"/>
          <w:b/>
          <w:bCs/>
          <w:color w:val="auto"/>
          <w:sz w:val="24"/>
          <w:szCs w:val="24"/>
          <w:highlight w:val="none"/>
        </w:rPr>
        <w:t>具有良好的商业信誉（提供声明书）和健全的财务会计制度</w:t>
      </w:r>
      <w:r>
        <w:rPr>
          <w:rFonts w:hint="eastAsia" w:ascii="楷体" w:hAnsi="楷体" w:eastAsia="楷体" w:cs="楷体"/>
          <w:color w:val="auto"/>
          <w:kern w:val="0"/>
          <w:sz w:val="24"/>
          <w:highlight w:val="none"/>
          <w:lang w:eastAsia="zh-CN"/>
        </w:rPr>
        <w:t>：</w:t>
      </w:r>
      <w:r>
        <w:rPr>
          <w:rFonts w:hint="eastAsia" w:ascii="楷体" w:hAnsi="楷体" w:eastAsia="楷体" w:cs="楷体"/>
          <w:color w:val="auto"/>
          <w:kern w:val="0"/>
          <w:sz w:val="24"/>
          <w:szCs w:val="24"/>
          <w:highlight w:val="none"/>
        </w:rPr>
        <w:t>提供202</w:t>
      </w:r>
      <w:r>
        <w:rPr>
          <w:rFonts w:hint="eastAsia" w:ascii="楷体" w:hAnsi="楷体" w:eastAsia="楷体" w:cs="楷体"/>
          <w:color w:val="auto"/>
          <w:kern w:val="0"/>
          <w:sz w:val="24"/>
          <w:szCs w:val="24"/>
          <w:highlight w:val="none"/>
          <w:lang w:val="en-US" w:eastAsia="zh-CN"/>
        </w:rPr>
        <w:t>2</w:t>
      </w:r>
      <w:r>
        <w:rPr>
          <w:rFonts w:hint="eastAsia" w:ascii="楷体" w:hAnsi="楷体" w:eastAsia="楷体" w:cs="楷体"/>
          <w:color w:val="auto"/>
          <w:kern w:val="0"/>
          <w:sz w:val="24"/>
          <w:szCs w:val="24"/>
          <w:highlight w:val="none"/>
        </w:rPr>
        <w:t>年的财务报告及报表（复印件加盖公章），</w:t>
      </w:r>
      <w:r>
        <w:rPr>
          <w:rFonts w:hint="eastAsia" w:ascii="楷体" w:hAnsi="楷体" w:eastAsia="楷体" w:cs="楷体"/>
          <w:color w:val="auto"/>
          <w:kern w:val="0"/>
          <w:sz w:val="24"/>
          <w:szCs w:val="24"/>
          <w:highlight w:val="none"/>
          <w:lang w:eastAsia="zh-CN"/>
        </w:rPr>
        <w:t>供应商</w:t>
      </w:r>
      <w:r>
        <w:rPr>
          <w:rFonts w:hint="eastAsia" w:ascii="楷体" w:hAnsi="楷体" w:eastAsia="楷体" w:cs="楷体"/>
          <w:color w:val="auto"/>
          <w:kern w:val="0"/>
          <w:sz w:val="24"/>
          <w:szCs w:val="24"/>
          <w:highlight w:val="none"/>
        </w:rPr>
        <w:t>成立时间不足一年的，可提供自</w:t>
      </w:r>
      <w:r>
        <w:rPr>
          <w:rFonts w:hint="eastAsia" w:ascii="楷体" w:hAnsi="楷体" w:eastAsia="楷体" w:cs="楷体"/>
          <w:color w:val="auto"/>
          <w:kern w:val="0"/>
          <w:sz w:val="24"/>
          <w:szCs w:val="24"/>
          <w:highlight w:val="none"/>
          <w:lang w:eastAsia="zh-CN"/>
        </w:rPr>
        <w:t>投标文件</w:t>
      </w:r>
      <w:r>
        <w:rPr>
          <w:rFonts w:hint="eastAsia" w:ascii="楷体" w:hAnsi="楷体" w:eastAsia="楷体" w:cs="楷体"/>
          <w:color w:val="auto"/>
          <w:kern w:val="0"/>
          <w:sz w:val="24"/>
          <w:szCs w:val="24"/>
          <w:highlight w:val="none"/>
        </w:rPr>
        <w:t>提交截止时间前三个月内开户银行出具的资信证明或资金存款证明（复印件加盖公章）</w:t>
      </w:r>
      <w:r>
        <w:rPr>
          <w:rFonts w:hint="eastAsia" w:ascii="楷体" w:hAnsi="楷体" w:eastAsia="楷体" w:cs="楷体"/>
          <w:color w:val="auto"/>
          <w:kern w:val="0"/>
          <w:sz w:val="24"/>
          <w:szCs w:val="24"/>
          <w:highlight w:val="none"/>
          <w:lang w:eastAsia="zh-CN"/>
        </w:rPr>
        <w:t>，新成立的公司可提供成立至今的</w:t>
      </w:r>
      <w:r>
        <w:rPr>
          <w:rFonts w:hint="eastAsia" w:ascii="楷体" w:hAnsi="楷体" w:eastAsia="楷体" w:cs="楷体"/>
          <w:color w:val="auto"/>
          <w:kern w:val="0"/>
          <w:sz w:val="24"/>
          <w:szCs w:val="24"/>
          <w:highlight w:val="none"/>
        </w:rPr>
        <w:t>开户银行出具的资信证明或资金存款证明（复印件加盖公章）</w:t>
      </w:r>
      <w:r>
        <w:rPr>
          <w:rFonts w:hint="eastAsia" w:ascii="楷体" w:hAnsi="楷体" w:eastAsia="楷体" w:cs="楷体"/>
          <w:color w:val="auto"/>
          <w:kern w:val="0"/>
          <w:sz w:val="24"/>
          <w:szCs w:val="24"/>
          <w:highlight w:val="none"/>
          <w:lang w:eastAsia="zh-CN"/>
        </w:rPr>
        <w:t>。</w:t>
      </w:r>
    </w:p>
    <w:p w14:paraId="46796BB8">
      <w:pPr>
        <w:shd w:val="clear"/>
        <w:bidi w:val="0"/>
        <w:spacing w:line="360" w:lineRule="auto"/>
        <w:rPr>
          <w:rFonts w:hint="eastAsia" w:ascii="楷体" w:hAnsi="楷体" w:eastAsia="楷体" w:cs="楷体"/>
          <w:b/>
          <w:bCs/>
          <w:color w:val="auto"/>
          <w:sz w:val="24"/>
          <w:szCs w:val="24"/>
          <w:highlight w:val="none"/>
          <w:lang w:val="en-US" w:eastAsia="zh-CN"/>
        </w:rPr>
      </w:pPr>
    </w:p>
    <w:p w14:paraId="0B1F8C2B">
      <w:p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b/>
          <w:bCs/>
          <w:color w:val="auto"/>
          <w:sz w:val="24"/>
          <w:szCs w:val="24"/>
          <w:highlight w:val="none"/>
          <w:lang w:val="en-US" w:eastAsia="zh-CN"/>
        </w:rPr>
        <w:t>3.</w:t>
      </w:r>
      <w:r>
        <w:rPr>
          <w:rFonts w:hint="eastAsia" w:ascii="楷体" w:hAnsi="楷体" w:eastAsia="楷体" w:cs="楷体"/>
          <w:b/>
          <w:bCs/>
          <w:color w:val="auto"/>
          <w:sz w:val="24"/>
          <w:szCs w:val="24"/>
          <w:highlight w:val="none"/>
        </w:rPr>
        <w:t>具有履行合同所必需的设备和专业技术能力</w:t>
      </w:r>
      <w:r>
        <w:rPr>
          <w:rFonts w:hint="eastAsia" w:ascii="楷体" w:hAnsi="楷体" w:eastAsia="楷体" w:cs="楷体"/>
          <w:color w:val="auto"/>
          <w:sz w:val="24"/>
          <w:szCs w:val="24"/>
          <w:highlight w:val="none"/>
        </w:rPr>
        <w:t>（提供书面声明）；</w:t>
      </w:r>
    </w:p>
    <w:p w14:paraId="00DB02A6">
      <w:pPr>
        <w:numPr>
          <w:ilvl w:val="0"/>
          <w:numId w:val="0"/>
        </w:numPr>
        <w:shd w:val="clear"/>
        <w:tabs>
          <w:tab w:val="left" w:pos="360"/>
        </w:tabs>
        <w:ind w:leftChars="0"/>
        <w:outlineLvl w:val="9"/>
        <w:rPr>
          <w:rFonts w:hint="eastAsia" w:ascii="楷体" w:hAnsi="楷体" w:eastAsia="楷体" w:cs="楷体"/>
          <w:color w:val="auto"/>
          <w:sz w:val="24"/>
          <w:szCs w:val="24"/>
          <w:highlight w:val="none"/>
          <w:lang w:eastAsia="zh-CN"/>
        </w:rPr>
      </w:pPr>
    </w:p>
    <w:p w14:paraId="47240DF7">
      <w:pPr>
        <w:numPr>
          <w:ilvl w:val="0"/>
          <w:numId w:val="0"/>
        </w:num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b/>
          <w:bCs/>
          <w:color w:val="auto"/>
          <w:sz w:val="24"/>
          <w:szCs w:val="24"/>
          <w:highlight w:val="none"/>
          <w:lang w:val="en-US" w:eastAsia="zh-CN"/>
        </w:rPr>
        <w:t>4.</w:t>
      </w:r>
      <w:r>
        <w:rPr>
          <w:rFonts w:hint="eastAsia" w:ascii="楷体" w:hAnsi="楷体" w:eastAsia="楷体" w:cs="楷体"/>
          <w:b/>
          <w:bCs/>
          <w:color w:val="auto"/>
          <w:sz w:val="24"/>
          <w:szCs w:val="24"/>
          <w:highlight w:val="none"/>
        </w:rPr>
        <w:t>有依法缴纳税收和社会保障资金的良好记录</w:t>
      </w:r>
      <w:r>
        <w:rPr>
          <w:rFonts w:hint="eastAsia" w:ascii="楷体" w:hAnsi="楷体" w:eastAsia="楷体" w:cs="楷体"/>
          <w:color w:val="auto"/>
          <w:sz w:val="24"/>
          <w:szCs w:val="24"/>
          <w:highlight w:val="none"/>
        </w:rPr>
        <w:t>（</w:t>
      </w:r>
      <w:r>
        <w:rPr>
          <w:rFonts w:hint="eastAsia" w:ascii="楷体" w:hAnsi="楷体" w:eastAsia="楷体" w:cs="楷体"/>
          <w:color w:val="auto"/>
          <w:kern w:val="0"/>
          <w:sz w:val="24"/>
          <w:highlight w:val="none"/>
        </w:rPr>
        <w:t>①提供缴税所属时间在202</w:t>
      </w:r>
      <w:r>
        <w:rPr>
          <w:rFonts w:hint="eastAsia" w:ascii="楷体" w:hAnsi="楷体" w:eastAsia="楷体" w:cs="楷体"/>
          <w:color w:val="auto"/>
          <w:kern w:val="0"/>
          <w:sz w:val="24"/>
          <w:highlight w:val="none"/>
          <w:lang w:val="en-US" w:eastAsia="zh-CN"/>
        </w:rPr>
        <w:t>4</w:t>
      </w:r>
      <w:r>
        <w:rPr>
          <w:rFonts w:hint="eastAsia" w:ascii="楷体" w:hAnsi="楷体" w:eastAsia="楷体" w:cs="楷体"/>
          <w:color w:val="auto"/>
          <w:kern w:val="0"/>
          <w:sz w:val="24"/>
          <w:highlight w:val="none"/>
        </w:rPr>
        <w:t>年1月至本项目投标文件提交截止时间前任意3个月的税务局税收通用缴款书或银行电子缴税（费）凭证或税务局出具纳税情况的相关证明，依法免税的，应提供依法免税的相关证明文件；若为新成立的公司，提供情况说明。②提供缴费所属时间在202</w:t>
      </w:r>
      <w:r>
        <w:rPr>
          <w:rFonts w:hint="eastAsia" w:ascii="楷体" w:hAnsi="楷体" w:eastAsia="楷体" w:cs="楷体"/>
          <w:color w:val="auto"/>
          <w:kern w:val="0"/>
          <w:sz w:val="24"/>
          <w:highlight w:val="none"/>
          <w:lang w:val="en-US" w:eastAsia="zh-CN"/>
        </w:rPr>
        <w:t>4</w:t>
      </w:r>
      <w:r>
        <w:rPr>
          <w:rFonts w:hint="eastAsia" w:ascii="楷体" w:hAnsi="楷体" w:eastAsia="楷体" w:cs="楷体"/>
          <w:color w:val="auto"/>
          <w:kern w:val="0"/>
          <w:sz w:val="24"/>
          <w:highlight w:val="none"/>
        </w:rPr>
        <w:t>年1月至本项目投标文件提交截止时间前任意3个月的社会保险费缴款书或银行电子缴税（费）凭证或社保管理部门出具的有效的缴款证明，依法免缴的，应提供依法免缴的相关证明文件）。若为新成立的公司，提供情况说明</w:t>
      </w:r>
      <w:r>
        <w:rPr>
          <w:rFonts w:hint="eastAsia" w:ascii="楷体" w:hAnsi="楷体" w:eastAsia="楷体" w:cs="楷体"/>
          <w:color w:val="auto"/>
          <w:sz w:val="24"/>
          <w:szCs w:val="24"/>
          <w:highlight w:val="none"/>
        </w:rPr>
        <w:t>。</w:t>
      </w:r>
    </w:p>
    <w:p w14:paraId="7150E329">
      <w:pPr>
        <w:numPr>
          <w:ilvl w:val="0"/>
          <w:numId w:val="0"/>
        </w:numPr>
        <w:shd w:val="clear"/>
        <w:tabs>
          <w:tab w:val="left" w:pos="360"/>
        </w:tabs>
        <w:ind w:leftChars="0"/>
        <w:outlineLvl w:val="9"/>
        <w:rPr>
          <w:rFonts w:hint="eastAsia" w:ascii="楷体" w:hAnsi="楷体" w:eastAsia="楷体" w:cs="楷体"/>
          <w:color w:val="auto"/>
          <w:sz w:val="24"/>
          <w:szCs w:val="24"/>
          <w:highlight w:val="none"/>
          <w:lang w:eastAsia="zh-CN"/>
        </w:rPr>
      </w:pPr>
    </w:p>
    <w:p w14:paraId="45832CFC">
      <w:pPr>
        <w:numPr>
          <w:ilvl w:val="0"/>
          <w:numId w:val="0"/>
        </w:numPr>
        <w:shd w:val="clear"/>
        <w:bidi w:val="0"/>
        <w:spacing w:line="360" w:lineRule="auto"/>
        <w:ind w:leftChars="0"/>
        <w:rPr>
          <w:rFonts w:hint="eastAsia" w:ascii="楷体" w:hAnsi="楷体" w:eastAsia="楷体" w:cs="楷体"/>
          <w:color w:val="auto"/>
          <w:sz w:val="24"/>
          <w:szCs w:val="24"/>
          <w:highlight w:val="none"/>
        </w:rPr>
      </w:pPr>
      <w:r>
        <w:rPr>
          <w:rFonts w:hint="eastAsia" w:ascii="楷体" w:hAnsi="楷体" w:eastAsia="楷体" w:cs="楷体"/>
          <w:b/>
          <w:bCs/>
          <w:color w:val="auto"/>
          <w:sz w:val="24"/>
          <w:szCs w:val="24"/>
          <w:highlight w:val="none"/>
          <w:lang w:val="en-US" w:eastAsia="zh-CN"/>
        </w:rPr>
        <w:t>5.</w:t>
      </w:r>
      <w:r>
        <w:rPr>
          <w:rFonts w:hint="eastAsia" w:ascii="楷体" w:hAnsi="楷体" w:eastAsia="楷体" w:cs="楷体"/>
          <w:b/>
          <w:bCs/>
          <w:color w:val="auto"/>
          <w:sz w:val="24"/>
          <w:szCs w:val="24"/>
          <w:highlight w:val="none"/>
        </w:rPr>
        <w:t>参加本次政府采购活动前三年内，在经营活动中没有重大违法记录</w:t>
      </w:r>
      <w:r>
        <w:rPr>
          <w:rFonts w:hint="eastAsia" w:ascii="楷体" w:hAnsi="楷体" w:eastAsia="楷体" w:cs="楷体"/>
          <w:color w:val="auto"/>
          <w:sz w:val="24"/>
          <w:szCs w:val="24"/>
          <w:highlight w:val="none"/>
        </w:rPr>
        <w:t>（提供书面声明）；</w:t>
      </w:r>
    </w:p>
    <w:p w14:paraId="2A5F0C68">
      <w:pPr>
        <w:numPr>
          <w:ilvl w:val="0"/>
          <w:numId w:val="0"/>
        </w:numPr>
        <w:shd w:val="clear"/>
        <w:tabs>
          <w:tab w:val="left" w:pos="360"/>
        </w:tabs>
        <w:ind w:leftChars="0"/>
        <w:outlineLvl w:val="9"/>
        <w:rPr>
          <w:rFonts w:hint="eastAsia" w:ascii="楷体" w:hAnsi="楷体" w:eastAsia="楷体" w:cs="楷体"/>
          <w:color w:val="auto"/>
          <w:sz w:val="24"/>
          <w:szCs w:val="24"/>
          <w:highlight w:val="none"/>
        </w:rPr>
      </w:pPr>
    </w:p>
    <w:p w14:paraId="6C3AAD34">
      <w:pPr>
        <w:shd w:val="clear"/>
        <w:bidi w:val="0"/>
        <w:spacing w:line="360" w:lineRule="auto"/>
        <w:rPr>
          <w:rStyle w:val="23"/>
          <w:rFonts w:hint="eastAsia" w:ascii="楷体" w:hAnsi="楷体" w:eastAsia="楷体" w:cs="楷体"/>
          <w:color w:val="auto"/>
          <w:kern w:val="0"/>
          <w:sz w:val="24"/>
          <w:szCs w:val="24"/>
          <w:highlight w:val="none"/>
          <w:u w:val="none"/>
        </w:rPr>
      </w:pPr>
      <w:r>
        <w:rPr>
          <w:rFonts w:hint="eastAsia" w:ascii="楷体" w:hAnsi="楷体" w:eastAsia="楷体" w:cs="楷体"/>
          <w:b/>
          <w:bCs/>
          <w:color w:val="auto"/>
          <w:sz w:val="24"/>
          <w:szCs w:val="24"/>
          <w:highlight w:val="none"/>
          <w:lang w:val="en-US" w:eastAsia="zh-CN"/>
        </w:rPr>
        <w:t>6.</w:t>
      </w:r>
      <w:r>
        <w:rPr>
          <w:rFonts w:hint="eastAsia" w:ascii="楷体" w:hAnsi="楷体" w:eastAsia="楷体" w:cs="楷体"/>
          <w:b/>
          <w:bCs/>
          <w:color w:val="auto"/>
          <w:sz w:val="24"/>
          <w:szCs w:val="24"/>
          <w:highlight w:val="none"/>
        </w:rPr>
        <w:t>法律、行政法规规定的其他条件</w:t>
      </w:r>
      <w:r>
        <w:rPr>
          <w:rFonts w:hint="eastAsia" w:ascii="楷体" w:hAnsi="楷体" w:eastAsia="楷体" w:cs="楷体"/>
          <w:color w:val="auto"/>
          <w:sz w:val="24"/>
          <w:szCs w:val="24"/>
          <w:highlight w:val="none"/>
        </w:rPr>
        <w:t>（按照《财政部关于在政府采购活动中查询及使用信用记录有关问题的通知》(财库〔2016〕125号)的相关要求，采购人或采购代理机构在</w:t>
      </w:r>
      <w:r>
        <w:rPr>
          <w:rFonts w:hint="eastAsia" w:ascii="楷体" w:hAnsi="楷体" w:eastAsia="楷体" w:cs="楷体"/>
          <w:color w:val="auto"/>
          <w:sz w:val="24"/>
          <w:szCs w:val="24"/>
          <w:highlight w:val="none"/>
          <w:lang w:eastAsia="zh-CN"/>
        </w:rPr>
        <w:t>投标文件</w:t>
      </w:r>
      <w:r>
        <w:rPr>
          <w:rFonts w:hint="eastAsia" w:ascii="楷体" w:hAnsi="楷体" w:eastAsia="楷体" w:cs="楷体"/>
          <w:color w:val="auto"/>
          <w:sz w:val="24"/>
          <w:szCs w:val="24"/>
          <w:highlight w:val="none"/>
        </w:rPr>
        <w:t>递交截止时间后将通过“信用中国（网址：www.creditchina.gov.cn)”、“中国政府采购网（网址：www.ccgp.gov.cn）”、“国家企业信用信息公示系统（网址：</w:t>
      </w:r>
      <w:r>
        <w:rPr>
          <w:rFonts w:hint="eastAsia" w:ascii="楷体" w:hAnsi="楷体" w:eastAsia="楷体" w:cs="楷体"/>
          <w:color w:val="auto"/>
          <w:sz w:val="24"/>
          <w:szCs w:val="24"/>
          <w:highlight w:val="none"/>
        </w:rPr>
        <w:fldChar w:fldCharType="begin"/>
      </w:r>
      <w:r>
        <w:rPr>
          <w:rFonts w:hint="eastAsia" w:ascii="楷体" w:hAnsi="楷体" w:eastAsia="楷体" w:cs="楷体"/>
          <w:color w:val="auto"/>
          <w:sz w:val="24"/>
          <w:szCs w:val="24"/>
          <w:highlight w:val="none"/>
        </w:rPr>
        <w:instrText xml:space="preserve"> HYPERLINK "http://www.gsxt.gov.cn/index.html）查询供应商信用记录，供应商如被列入\“信用中国\”失信被执行人（或失信惩戒人）或重大税收违法案件当事人名单的，或被列入\“国家企业信用信息公示系统\”严重违法失信企业名单（黑名单），或被列入\“中国政府采购网\”政府采购严重违法失信行为信息记录（被禁止在一定期限内参加政府采购活动，但期限届满的除外）名单的，不得参与本次政府采购活动）。" </w:instrText>
      </w:r>
      <w:r>
        <w:rPr>
          <w:rFonts w:hint="eastAsia" w:ascii="楷体" w:hAnsi="楷体" w:eastAsia="楷体" w:cs="楷体"/>
          <w:color w:val="auto"/>
          <w:sz w:val="24"/>
          <w:szCs w:val="24"/>
          <w:highlight w:val="none"/>
        </w:rPr>
        <w:fldChar w:fldCharType="separate"/>
      </w:r>
      <w:r>
        <w:rPr>
          <w:rStyle w:val="23"/>
          <w:rFonts w:hint="eastAsia" w:ascii="楷体" w:hAnsi="楷体" w:eastAsia="楷体" w:cs="楷体"/>
          <w:color w:val="auto"/>
          <w:kern w:val="0"/>
          <w:sz w:val="24"/>
          <w:szCs w:val="24"/>
          <w:highlight w:val="none"/>
          <w:u w:val="none"/>
        </w:rPr>
        <w:t>http://www.gsxt.gov.cn/index.html）查询供应商信用记录，供应商如被列入“信用中国”失信被执行人（或失信惩戒人）或重大税收违法案件当事人名单的，或被列入“国家企业信用信息公示系统”严重违法失信企业名单（黑名单），或被列入“中国政府采购网”政府采购严重违法失信行为信息记录（被禁止在一定期限内参加政府采购活动，但期限届满的除外）名单的，不得参与本次政府采购活动）</w:t>
      </w:r>
      <w:r>
        <w:rPr>
          <w:rFonts w:hint="eastAsia" w:ascii="楷体" w:hAnsi="楷体" w:eastAsia="楷体" w:cs="楷体"/>
          <w:color w:val="auto"/>
          <w:kern w:val="0"/>
          <w:sz w:val="24"/>
          <w:highlight w:val="none"/>
          <w:lang w:eastAsia="zh-CN"/>
        </w:rPr>
        <w:t>，</w:t>
      </w:r>
      <w:r>
        <w:rPr>
          <w:rFonts w:hint="eastAsia" w:ascii="楷体" w:hAnsi="楷体" w:eastAsia="楷体" w:cs="楷体"/>
          <w:color w:val="auto"/>
          <w:kern w:val="0"/>
          <w:sz w:val="24"/>
          <w:highlight w:val="none"/>
          <w:lang w:val="en-US" w:eastAsia="zh-CN"/>
        </w:rPr>
        <w:t>以采购人或采购代理机构查询结果为准</w:t>
      </w:r>
      <w:r>
        <w:rPr>
          <w:rStyle w:val="23"/>
          <w:rFonts w:hint="eastAsia" w:ascii="楷体" w:hAnsi="楷体" w:eastAsia="楷体" w:cs="楷体"/>
          <w:color w:val="auto"/>
          <w:kern w:val="0"/>
          <w:sz w:val="24"/>
          <w:szCs w:val="24"/>
          <w:highlight w:val="none"/>
          <w:u w:val="none"/>
        </w:rPr>
        <w:t>。</w:t>
      </w:r>
    </w:p>
    <w:p w14:paraId="3C95F09B">
      <w:pPr>
        <w:shd w:val="clear"/>
        <w:bidi w:val="0"/>
        <w:spacing w:line="360" w:lineRule="auto"/>
        <w:rPr>
          <w:rStyle w:val="23"/>
          <w:rFonts w:hint="eastAsia" w:ascii="楷体" w:hAnsi="楷体" w:eastAsia="楷体" w:cs="楷体"/>
          <w:color w:val="auto"/>
          <w:kern w:val="0"/>
          <w:sz w:val="24"/>
          <w:szCs w:val="24"/>
          <w:highlight w:val="none"/>
          <w:u w:val="none"/>
        </w:rPr>
      </w:pPr>
      <w:r>
        <w:rPr>
          <w:rStyle w:val="23"/>
          <w:rFonts w:hint="eastAsia" w:ascii="楷体" w:hAnsi="楷体" w:eastAsia="楷体" w:cs="楷体"/>
          <w:color w:val="auto"/>
          <w:kern w:val="0"/>
          <w:sz w:val="24"/>
          <w:szCs w:val="24"/>
          <w:highlight w:val="none"/>
          <w:u w:val="none"/>
        </w:rPr>
        <w:br w:type="page"/>
      </w:r>
    </w:p>
    <w:p w14:paraId="31AEADFA">
      <w:pPr>
        <w:shd w:val="clear"/>
        <w:spacing w:line="360" w:lineRule="auto"/>
        <w:jc w:val="center"/>
        <w:outlineLvl w:val="2"/>
        <w:rPr>
          <w:rFonts w:hint="eastAsia" w:ascii="楷体" w:hAnsi="楷体" w:eastAsia="楷体" w:cs="楷体"/>
          <w:b/>
          <w:color w:val="auto"/>
          <w:kern w:val="0"/>
          <w:sz w:val="28"/>
          <w:szCs w:val="28"/>
          <w:highlight w:val="none"/>
          <w:lang w:eastAsia="zh-CN"/>
        </w:rPr>
      </w:pPr>
      <w:bookmarkStart w:id="114" w:name="_Toc13615"/>
      <w:r>
        <w:rPr>
          <w:rFonts w:hint="eastAsia" w:ascii="楷体" w:hAnsi="楷体" w:eastAsia="楷体" w:cs="楷体"/>
          <w:b/>
          <w:color w:val="auto"/>
          <w:kern w:val="0"/>
          <w:sz w:val="28"/>
          <w:szCs w:val="28"/>
          <w:highlight w:val="none"/>
          <w:lang w:eastAsia="zh-CN"/>
        </w:rPr>
        <w:t>三、法定代表人身份证明书</w:t>
      </w:r>
      <w:bookmarkEnd w:id="114"/>
    </w:p>
    <w:p w14:paraId="7CC6801B">
      <w:pPr>
        <w:shd w:val="clear"/>
        <w:bidi w:val="0"/>
        <w:spacing w:line="360" w:lineRule="auto"/>
        <w:rPr>
          <w:rFonts w:hint="eastAsia" w:ascii="楷体" w:hAnsi="楷体" w:eastAsia="楷体" w:cs="楷体"/>
          <w:color w:val="auto"/>
          <w:sz w:val="24"/>
          <w:szCs w:val="24"/>
          <w:highlight w:val="none"/>
        </w:rPr>
      </w:pPr>
    </w:p>
    <w:p w14:paraId="6A2190C7">
      <w:p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单位名称：</w:t>
      </w:r>
      <w:r>
        <w:rPr>
          <w:rFonts w:hint="eastAsia" w:ascii="楷体" w:hAnsi="楷体" w:eastAsia="楷体" w:cs="楷体"/>
          <w:color w:val="auto"/>
          <w:sz w:val="24"/>
          <w:szCs w:val="24"/>
          <w:highlight w:val="none"/>
          <w:u w:val="single"/>
        </w:rPr>
        <w:tab/>
      </w:r>
      <w:r>
        <w:rPr>
          <w:rFonts w:hint="eastAsia" w:ascii="楷体" w:hAnsi="楷体" w:eastAsia="楷体" w:cs="楷体"/>
          <w:color w:val="auto"/>
          <w:sz w:val="24"/>
          <w:szCs w:val="24"/>
          <w:highlight w:val="none"/>
          <w:u w:val="single"/>
        </w:rPr>
        <w:tab/>
      </w:r>
      <w:r>
        <w:rPr>
          <w:rFonts w:hint="eastAsia" w:ascii="楷体" w:hAnsi="楷体" w:eastAsia="楷体" w:cs="楷体"/>
          <w:color w:val="auto"/>
          <w:sz w:val="24"/>
          <w:szCs w:val="24"/>
          <w:highlight w:val="none"/>
          <w:u w:val="single"/>
        </w:rPr>
        <w:tab/>
      </w:r>
      <w:r>
        <w:rPr>
          <w:rFonts w:hint="eastAsia" w:ascii="楷体" w:hAnsi="楷体" w:eastAsia="楷体" w:cs="楷体"/>
          <w:color w:val="auto"/>
          <w:sz w:val="24"/>
          <w:szCs w:val="24"/>
          <w:highlight w:val="none"/>
          <w:u w:val="single"/>
        </w:rPr>
        <w:tab/>
      </w:r>
      <w:r>
        <w:rPr>
          <w:rFonts w:hint="eastAsia" w:ascii="楷体" w:hAnsi="楷体" w:eastAsia="楷体" w:cs="楷体"/>
          <w:color w:val="auto"/>
          <w:sz w:val="24"/>
          <w:szCs w:val="24"/>
          <w:highlight w:val="none"/>
          <w:u w:val="single"/>
        </w:rPr>
        <w:tab/>
      </w:r>
      <w:r>
        <w:rPr>
          <w:rFonts w:hint="eastAsia" w:ascii="楷体" w:hAnsi="楷体" w:eastAsia="楷体" w:cs="楷体"/>
          <w:color w:val="auto"/>
          <w:sz w:val="24"/>
          <w:szCs w:val="24"/>
          <w:highlight w:val="none"/>
          <w:u w:val="single"/>
        </w:rPr>
        <w:tab/>
      </w:r>
      <w:r>
        <w:rPr>
          <w:rFonts w:hint="eastAsia" w:ascii="楷体" w:hAnsi="楷体" w:eastAsia="楷体" w:cs="楷体"/>
          <w:color w:val="auto"/>
          <w:sz w:val="24"/>
          <w:szCs w:val="24"/>
          <w:highlight w:val="none"/>
          <w:u w:val="single"/>
        </w:rPr>
        <w:tab/>
      </w:r>
      <w:r>
        <w:rPr>
          <w:rFonts w:hint="eastAsia" w:ascii="楷体" w:hAnsi="楷体" w:eastAsia="楷体" w:cs="楷体"/>
          <w:color w:val="auto"/>
          <w:sz w:val="24"/>
          <w:szCs w:val="24"/>
          <w:highlight w:val="none"/>
        </w:rPr>
        <w:tab/>
      </w:r>
      <w:r>
        <w:rPr>
          <w:rFonts w:hint="eastAsia" w:ascii="楷体" w:hAnsi="楷体" w:eastAsia="楷体" w:cs="楷体"/>
          <w:color w:val="auto"/>
          <w:sz w:val="24"/>
          <w:szCs w:val="24"/>
          <w:highlight w:val="none"/>
        </w:rPr>
        <w:tab/>
      </w:r>
      <w:r>
        <w:rPr>
          <w:rFonts w:hint="eastAsia" w:ascii="楷体" w:hAnsi="楷体" w:eastAsia="楷体" w:cs="楷体"/>
          <w:color w:val="auto"/>
          <w:sz w:val="24"/>
          <w:szCs w:val="24"/>
          <w:highlight w:val="none"/>
        </w:rPr>
        <w:tab/>
      </w:r>
    </w:p>
    <w:p w14:paraId="0DA33054">
      <w:pPr>
        <w:shd w:val="clear"/>
        <w:bidi w:val="0"/>
        <w:spacing w:line="360" w:lineRule="auto"/>
        <w:rPr>
          <w:rFonts w:hint="eastAsia" w:ascii="楷体" w:hAnsi="楷体" w:eastAsia="楷体" w:cs="楷体"/>
          <w:color w:val="auto"/>
          <w:sz w:val="24"/>
          <w:szCs w:val="24"/>
          <w:highlight w:val="none"/>
        </w:rPr>
      </w:pPr>
    </w:p>
    <w:p w14:paraId="27A278FB">
      <w:p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单位性质：</w:t>
      </w:r>
      <w:r>
        <w:rPr>
          <w:rFonts w:hint="eastAsia" w:ascii="楷体" w:hAnsi="楷体" w:eastAsia="楷体" w:cs="楷体"/>
          <w:color w:val="auto"/>
          <w:sz w:val="24"/>
          <w:szCs w:val="24"/>
          <w:highlight w:val="none"/>
          <w:u w:val="single"/>
        </w:rPr>
        <w:tab/>
      </w:r>
      <w:r>
        <w:rPr>
          <w:rFonts w:hint="eastAsia" w:ascii="楷体" w:hAnsi="楷体" w:eastAsia="楷体" w:cs="楷体"/>
          <w:color w:val="auto"/>
          <w:sz w:val="24"/>
          <w:szCs w:val="24"/>
          <w:highlight w:val="none"/>
          <w:u w:val="single"/>
        </w:rPr>
        <w:tab/>
      </w:r>
      <w:r>
        <w:rPr>
          <w:rFonts w:hint="eastAsia" w:ascii="楷体" w:hAnsi="楷体" w:eastAsia="楷体" w:cs="楷体"/>
          <w:color w:val="auto"/>
          <w:sz w:val="24"/>
          <w:szCs w:val="24"/>
          <w:highlight w:val="none"/>
          <w:u w:val="single"/>
        </w:rPr>
        <w:tab/>
      </w:r>
      <w:r>
        <w:rPr>
          <w:rFonts w:hint="eastAsia" w:ascii="楷体" w:hAnsi="楷体" w:eastAsia="楷体" w:cs="楷体"/>
          <w:color w:val="auto"/>
          <w:sz w:val="24"/>
          <w:szCs w:val="24"/>
          <w:highlight w:val="none"/>
          <w:u w:val="single"/>
        </w:rPr>
        <w:tab/>
      </w:r>
      <w:r>
        <w:rPr>
          <w:rFonts w:hint="eastAsia" w:ascii="楷体" w:hAnsi="楷体" w:eastAsia="楷体" w:cs="楷体"/>
          <w:color w:val="auto"/>
          <w:sz w:val="24"/>
          <w:szCs w:val="24"/>
          <w:highlight w:val="none"/>
          <w:u w:val="single"/>
        </w:rPr>
        <w:tab/>
      </w:r>
      <w:r>
        <w:rPr>
          <w:rFonts w:hint="eastAsia" w:ascii="楷体" w:hAnsi="楷体" w:eastAsia="楷体" w:cs="楷体"/>
          <w:color w:val="auto"/>
          <w:sz w:val="24"/>
          <w:szCs w:val="24"/>
          <w:highlight w:val="none"/>
          <w:u w:val="single"/>
        </w:rPr>
        <w:tab/>
      </w:r>
      <w:r>
        <w:rPr>
          <w:rFonts w:hint="eastAsia" w:ascii="楷体" w:hAnsi="楷体" w:eastAsia="楷体" w:cs="楷体"/>
          <w:color w:val="auto"/>
          <w:sz w:val="24"/>
          <w:szCs w:val="24"/>
          <w:highlight w:val="none"/>
          <w:u w:val="single"/>
        </w:rPr>
        <w:tab/>
      </w:r>
      <w:r>
        <w:rPr>
          <w:rFonts w:hint="eastAsia" w:ascii="楷体" w:hAnsi="楷体" w:eastAsia="楷体" w:cs="楷体"/>
          <w:color w:val="auto"/>
          <w:sz w:val="24"/>
          <w:szCs w:val="24"/>
          <w:highlight w:val="none"/>
        </w:rPr>
        <w:tab/>
      </w:r>
      <w:r>
        <w:rPr>
          <w:rFonts w:hint="eastAsia" w:ascii="楷体" w:hAnsi="楷体" w:eastAsia="楷体" w:cs="楷体"/>
          <w:color w:val="auto"/>
          <w:sz w:val="24"/>
          <w:szCs w:val="24"/>
          <w:highlight w:val="none"/>
        </w:rPr>
        <w:tab/>
      </w:r>
      <w:r>
        <w:rPr>
          <w:rFonts w:hint="eastAsia" w:ascii="楷体" w:hAnsi="楷体" w:eastAsia="楷体" w:cs="楷体"/>
          <w:color w:val="auto"/>
          <w:sz w:val="24"/>
          <w:szCs w:val="24"/>
          <w:highlight w:val="none"/>
        </w:rPr>
        <w:tab/>
      </w:r>
    </w:p>
    <w:p w14:paraId="0452F9DE">
      <w:pPr>
        <w:shd w:val="clear"/>
        <w:bidi w:val="0"/>
        <w:spacing w:line="360" w:lineRule="auto"/>
        <w:rPr>
          <w:rFonts w:hint="eastAsia" w:ascii="楷体" w:hAnsi="楷体" w:eastAsia="楷体" w:cs="楷体"/>
          <w:color w:val="auto"/>
          <w:sz w:val="24"/>
          <w:szCs w:val="24"/>
          <w:highlight w:val="none"/>
        </w:rPr>
      </w:pPr>
    </w:p>
    <w:p w14:paraId="4F5A74F9">
      <w:p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地    址：</w:t>
      </w:r>
      <w:r>
        <w:rPr>
          <w:rFonts w:hint="eastAsia" w:ascii="楷体" w:hAnsi="楷体" w:eastAsia="楷体" w:cs="楷体"/>
          <w:color w:val="auto"/>
          <w:sz w:val="24"/>
          <w:szCs w:val="24"/>
          <w:highlight w:val="none"/>
          <w:u w:val="single"/>
        </w:rPr>
        <w:tab/>
      </w:r>
      <w:r>
        <w:rPr>
          <w:rFonts w:hint="eastAsia" w:ascii="楷体" w:hAnsi="楷体" w:eastAsia="楷体" w:cs="楷体"/>
          <w:color w:val="auto"/>
          <w:sz w:val="24"/>
          <w:szCs w:val="24"/>
          <w:highlight w:val="none"/>
          <w:u w:val="single"/>
        </w:rPr>
        <w:tab/>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u w:val="single"/>
        </w:rPr>
        <w:tab/>
      </w:r>
      <w:r>
        <w:rPr>
          <w:rFonts w:hint="eastAsia" w:ascii="楷体" w:hAnsi="楷体" w:eastAsia="楷体" w:cs="楷体"/>
          <w:color w:val="auto"/>
          <w:sz w:val="24"/>
          <w:szCs w:val="24"/>
          <w:highlight w:val="none"/>
          <w:u w:val="single"/>
        </w:rPr>
        <w:tab/>
      </w:r>
      <w:r>
        <w:rPr>
          <w:rFonts w:hint="eastAsia" w:ascii="楷体" w:hAnsi="楷体" w:eastAsia="楷体" w:cs="楷体"/>
          <w:color w:val="auto"/>
          <w:sz w:val="24"/>
          <w:szCs w:val="24"/>
          <w:highlight w:val="none"/>
          <w:u w:val="single"/>
        </w:rPr>
        <w:tab/>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ab/>
      </w:r>
      <w:r>
        <w:rPr>
          <w:rFonts w:hint="eastAsia" w:ascii="楷体" w:hAnsi="楷体" w:eastAsia="楷体" w:cs="楷体"/>
          <w:color w:val="auto"/>
          <w:sz w:val="24"/>
          <w:szCs w:val="24"/>
          <w:highlight w:val="none"/>
        </w:rPr>
        <w:tab/>
      </w:r>
      <w:r>
        <w:rPr>
          <w:rFonts w:hint="eastAsia" w:ascii="楷体" w:hAnsi="楷体" w:eastAsia="楷体" w:cs="楷体"/>
          <w:color w:val="auto"/>
          <w:sz w:val="24"/>
          <w:szCs w:val="24"/>
          <w:highlight w:val="none"/>
        </w:rPr>
        <w:tab/>
      </w:r>
      <w:r>
        <w:rPr>
          <w:rFonts w:hint="eastAsia" w:ascii="楷体" w:hAnsi="楷体" w:eastAsia="楷体" w:cs="楷体"/>
          <w:color w:val="auto"/>
          <w:sz w:val="24"/>
          <w:szCs w:val="24"/>
          <w:highlight w:val="none"/>
        </w:rPr>
        <w:tab/>
      </w:r>
    </w:p>
    <w:p w14:paraId="2268190E">
      <w:pPr>
        <w:shd w:val="clear"/>
        <w:bidi w:val="0"/>
        <w:spacing w:line="360" w:lineRule="auto"/>
        <w:rPr>
          <w:rFonts w:hint="eastAsia" w:ascii="楷体" w:hAnsi="楷体" w:eastAsia="楷体" w:cs="楷体"/>
          <w:color w:val="auto"/>
          <w:sz w:val="24"/>
          <w:szCs w:val="24"/>
          <w:highlight w:val="none"/>
        </w:rPr>
      </w:pPr>
    </w:p>
    <w:p w14:paraId="4118FF6A">
      <w:pPr>
        <w:shd w:val="clear"/>
        <w:bidi w:val="0"/>
        <w:spacing w:line="360" w:lineRule="auto"/>
        <w:rPr>
          <w:rFonts w:hint="eastAsia" w:ascii="楷体" w:hAnsi="楷体" w:eastAsia="楷体" w:cs="楷体"/>
          <w:color w:val="auto"/>
          <w:sz w:val="24"/>
          <w:szCs w:val="24"/>
          <w:highlight w:val="none"/>
          <w:u w:val="single"/>
        </w:rPr>
      </w:pPr>
      <w:r>
        <w:rPr>
          <w:rFonts w:hint="eastAsia" w:ascii="楷体" w:hAnsi="楷体" w:eastAsia="楷体" w:cs="楷体"/>
          <w:color w:val="auto"/>
          <w:sz w:val="24"/>
          <w:szCs w:val="24"/>
          <w:highlight w:val="none"/>
        </w:rPr>
        <w:t>成立时间：</w:t>
      </w:r>
      <w:r>
        <w:rPr>
          <w:rFonts w:hint="eastAsia" w:ascii="楷体" w:hAnsi="楷体" w:eastAsia="楷体" w:cs="楷体"/>
          <w:color w:val="auto"/>
          <w:sz w:val="24"/>
          <w:szCs w:val="24"/>
          <w:highlight w:val="none"/>
          <w:u w:val="single"/>
        </w:rPr>
        <w:t xml:space="preserve">    年     月      日</w:t>
      </w:r>
    </w:p>
    <w:p w14:paraId="2D4D61C5">
      <w:pPr>
        <w:shd w:val="clear"/>
        <w:bidi w:val="0"/>
        <w:spacing w:line="360" w:lineRule="auto"/>
        <w:rPr>
          <w:rFonts w:hint="eastAsia" w:ascii="楷体" w:hAnsi="楷体" w:eastAsia="楷体" w:cs="楷体"/>
          <w:color w:val="auto"/>
          <w:sz w:val="24"/>
          <w:szCs w:val="24"/>
          <w:highlight w:val="none"/>
        </w:rPr>
      </w:pPr>
    </w:p>
    <w:p w14:paraId="6F1A9818">
      <w:p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经营期限：</w:t>
      </w:r>
      <w:r>
        <w:rPr>
          <w:rFonts w:hint="eastAsia" w:ascii="楷体" w:hAnsi="楷体" w:eastAsia="楷体" w:cs="楷体"/>
          <w:color w:val="auto"/>
          <w:sz w:val="24"/>
          <w:szCs w:val="24"/>
          <w:highlight w:val="none"/>
          <w:u w:val="single"/>
        </w:rPr>
        <w:tab/>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       </w:t>
      </w:r>
      <w:r>
        <w:rPr>
          <w:rFonts w:hint="eastAsia" w:ascii="楷体" w:hAnsi="楷体" w:eastAsia="楷体" w:cs="楷体"/>
          <w:color w:val="auto"/>
          <w:sz w:val="24"/>
          <w:szCs w:val="24"/>
          <w:highlight w:val="none"/>
        </w:rPr>
        <w:tab/>
      </w:r>
    </w:p>
    <w:p w14:paraId="590DB06B">
      <w:pPr>
        <w:shd w:val="clear"/>
        <w:bidi w:val="0"/>
        <w:spacing w:line="360" w:lineRule="auto"/>
        <w:rPr>
          <w:rFonts w:hint="eastAsia" w:ascii="楷体" w:hAnsi="楷体" w:eastAsia="楷体" w:cs="楷体"/>
          <w:color w:val="auto"/>
          <w:sz w:val="24"/>
          <w:szCs w:val="24"/>
          <w:highlight w:val="none"/>
        </w:rPr>
      </w:pPr>
    </w:p>
    <w:p w14:paraId="2DDBEE88">
      <w:p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姓    名：</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 性别：</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年龄：</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 职务：</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4"/>
          <w:szCs w:val="24"/>
          <w:highlight w:val="none"/>
          <w:u w:val="single"/>
        </w:rPr>
        <w:tab/>
      </w:r>
      <w:r>
        <w:rPr>
          <w:rFonts w:hint="eastAsia" w:ascii="楷体" w:hAnsi="楷体" w:eastAsia="楷体" w:cs="楷体"/>
          <w:color w:val="auto"/>
          <w:sz w:val="24"/>
          <w:szCs w:val="24"/>
          <w:highlight w:val="none"/>
        </w:rPr>
        <w:tab/>
      </w:r>
      <w:r>
        <w:rPr>
          <w:rFonts w:hint="eastAsia" w:ascii="楷体" w:hAnsi="楷体" w:eastAsia="楷体" w:cs="楷体"/>
          <w:color w:val="auto"/>
          <w:sz w:val="24"/>
          <w:szCs w:val="24"/>
          <w:highlight w:val="none"/>
        </w:rPr>
        <w:t xml:space="preserve"> </w:t>
      </w:r>
    </w:p>
    <w:p w14:paraId="234510F6">
      <w:pPr>
        <w:shd w:val="clear"/>
        <w:bidi w:val="0"/>
        <w:spacing w:line="360" w:lineRule="auto"/>
        <w:rPr>
          <w:rFonts w:hint="eastAsia" w:ascii="楷体" w:hAnsi="楷体" w:eastAsia="楷体" w:cs="楷体"/>
          <w:color w:val="auto"/>
          <w:sz w:val="24"/>
          <w:szCs w:val="24"/>
          <w:highlight w:val="none"/>
        </w:rPr>
      </w:pPr>
    </w:p>
    <w:p w14:paraId="2F258058">
      <w:p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系 </w:t>
      </w:r>
      <w:r>
        <w:rPr>
          <w:rFonts w:hint="eastAsia" w:ascii="楷体" w:hAnsi="楷体" w:eastAsia="楷体" w:cs="楷体"/>
          <w:color w:val="auto"/>
          <w:sz w:val="24"/>
          <w:szCs w:val="24"/>
          <w:highlight w:val="none"/>
          <w:u w:val="single"/>
        </w:rPr>
        <w:t xml:space="preserve">    （供应商单位名称）   </w:t>
      </w:r>
      <w:r>
        <w:rPr>
          <w:rFonts w:hint="eastAsia" w:ascii="楷体" w:hAnsi="楷体" w:eastAsia="楷体" w:cs="楷体"/>
          <w:color w:val="auto"/>
          <w:sz w:val="24"/>
          <w:szCs w:val="24"/>
          <w:highlight w:val="none"/>
        </w:rPr>
        <w:t xml:space="preserve"> 的法定代表人。</w:t>
      </w:r>
    </w:p>
    <w:p w14:paraId="68EA51E2">
      <w:pPr>
        <w:shd w:val="clear"/>
        <w:bidi w:val="0"/>
        <w:spacing w:line="360" w:lineRule="auto"/>
        <w:rPr>
          <w:rFonts w:hint="eastAsia" w:ascii="楷体" w:hAnsi="楷体" w:eastAsia="楷体" w:cs="楷体"/>
          <w:color w:val="auto"/>
          <w:sz w:val="24"/>
          <w:szCs w:val="24"/>
          <w:highlight w:val="none"/>
        </w:rPr>
      </w:pPr>
    </w:p>
    <w:p w14:paraId="41482203">
      <w:p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特此证明。</w:t>
      </w:r>
    </w:p>
    <w:p w14:paraId="2AEFEBF5">
      <w:p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                                                供应商（</w:t>
      </w:r>
      <w:r>
        <w:rPr>
          <w:rFonts w:hint="eastAsia" w:ascii="楷体" w:hAnsi="楷体" w:eastAsia="楷体" w:cs="楷体"/>
          <w:color w:val="auto"/>
          <w:sz w:val="24"/>
          <w:szCs w:val="24"/>
          <w:highlight w:val="none"/>
          <w:lang w:eastAsia="zh-CN"/>
        </w:rPr>
        <w:t>电子签章</w:t>
      </w:r>
      <w:r>
        <w:rPr>
          <w:rFonts w:hint="eastAsia" w:ascii="楷体" w:hAnsi="楷体" w:eastAsia="楷体" w:cs="楷体"/>
          <w:color w:val="auto"/>
          <w:sz w:val="24"/>
          <w:szCs w:val="24"/>
          <w:highlight w:val="none"/>
        </w:rPr>
        <w:t>）：</w:t>
      </w:r>
    </w:p>
    <w:p w14:paraId="5E7D8322">
      <w:p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                                 </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日期：   年   月   日</w:t>
      </w:r>
    </w:p>
    <w:p w14:paraId="63DA1DDE">
      <w:pPr>
        <w:shd w:val="clear"/>
        <w:bidi w:val="0"/>
        <w:spacing w:line="360" w:lineRule="auto"/>
        <w:rPr>
          <w:rFonts w:hint="eastAsia" w:ascii="楷体" w:hAnsi="楷体" w:eastAsia="楷体" w:cs="楷体"/>
          <w:color w:val="auto"/>
          <w:sz w:val="24"/>
          <w:szCs w:val="24"/>
          <w:highlight w:val="none"/>
        </w:rPr>
      </w:pPr>
    </w:p>
    <w:p w14:paraId="34C854CE">
      <w:pPr>
        <w:shd w:val="clear"/>
        <w:bidi w:val="0"/>
        <w:spacing w:line="360" w:lineRule="auto"/>
        <w:rPr>
          <w:rFonts w:hint="eastAsia" w:ascii="楷体" w:hAnsi="楷体" w:eastAsia="楷体" w:cs="楷体"/>
          <w:color w:val="auto"/>
          <w:sz w:val="24"/>
          <w:szCs w:val="24"/>
          <w:highlight w:val="none"/>
        </w:rPr>
      </w:pPr>
    </w:p>
    <w:tbl>
      <w:tblPr>
        <w:tblStyle w:val="19"/>
        <w:tblW w:w="9135" w:type="dxa"/>
        <w:tblInd w:w="108"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515"/>
        <w:gridCol w:w="420"/>
        <w:gridCol w:w="4200"/>
      </w:tblGrid>
      <w:tr w14:paraId="3AD129B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46" w:hRule="atLeast"/>
        </w:trPr>
        <w:tc>
          <w:tcPr>
            <w:tcW w:w="4515" w:type="dxa"/>
          </w:tcPr>
          <w:p w14:paraId="7B56044F">
            <w:pPr>
              <w:shd w:val="clear"/>
              <w:bidi w:val="0"/>
              <w:spacing w:line="360" w:lineRule="auto"/>
              <w:rPr>
                <w:rFonts w:hint="eastAsia" w:ascii="楷体" w:hAnsi="楷体" w:eastAsia="楷体" w:cs="楷体"/>
                <w:color w:val="auto"/>
                <w:sz w:val="24"/>
                <w:szCs w:val="24"/>
                <w:highlight w:val="none"/>
              </w:rPr>
            </w:pPr>
          </w:p>
          <w:p w14:paraId="1B2C89DA">
            <w:pPr>
              <w:shd w:val="clear"/>
              <w:bidi w:val="0"/>
              <w:spacing w:line="360" w:lineRule="auto"/>
              <w:rPr>
                <w:rFonts w:hint="eastAsia" w:ascii="楷体" w:hAnsi="楷体" w:eastAsia="楷体" w:cs="楷体"/>
                <w:color w:val="auto"/>
                <w:sz w:val="24"/>
                <w:szCs w:val="24"/>
                <w:highlight w:val="none"/>
              </w:rPr>
            </w:pPr>
          </w:p>
          <w:p w14:paraId="0DFEED08">
            <w:pPr>
              <w:shd w:val="clear"/>
              <w:bidi w:val="0"/>
              <w:spacing w:line="360" w:lineRule="auto"/>
              <w:rPr>
                <w:rFonts w:hint="eastAsia" w:ascii="楷体" w:hAnsi="楷体" w:eastAsia="楷体" w:cs="楷体"/>
                <w:color w:val="auto"/>
                <w:sz w:val="24"/>
                <w:szCs w:val="24"/>
                <w:highlight w:val="none"/>
              </w:rPr>
            </w:pPr>
          </w:p>
          <w:p w14:paraId="3BF3D8A7">
            <w:p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法定代表人身份证正面复印件</w:t>
            </w:r>
          </w:p>
        </w:tc>
        <w:tc>
          <w:tcPr>
            <w:tcW w:w="420" w:type="dxa"/>
            <w:tcBorders>
              <w:top w:val="nil"/>
              <w:bottom w:val="nil"/>
            </w:tcBorders>
          </w:tcPr>
          <w:p w14:paraId="3216A7E8">
            <w:pPr>
              <w:shd w:val="clear"/>
              <w:bidi w:val="0"/>
              <w:spacing w:line="360" w:lineRule="auto"/>
              <w:rPr>
                <w:rFonts w:hint="eastAsia" w:ascii="楷体" w:hAnsi="楷体" w:eastAsia="楷体" w:cs="楷体"/>
                <w:color w:val="auto"/>
                <w:sz w:val="24"/>
                <w:szCs w:val="24"/>
                <w:highlight w:val="none"/>
              </w:rPr>
            </w:pPr>
          </w:p>
          <w:p w14:paraId="19D93760">
            <w:pPr>
              <w:shd w:val="clear"/>
              <w:bidi w:val="0"/>
              <w:spacing w:line="360" w:lineRule="auto"/>
              <w:rPr>
                <w:rFonts w:hint="eastAsia" w:ascii="楷体" w:hAnsi="楷体" w:eastAsia="楷体" w:cs="楷体"/>
                <w:color w:val="auto"/>
                <w:sz w:val="24"/>
                <w:szCs w:val="24"/>
                <w:highlight w:val="none"/>
              </w:rPr>
            </w:pPr>
          </w:p>
        </w:tc>
        <w:tc>
          <w:tcPr>
            <w:tcW w:w="4200" w:type="dxa"/>
          </w:tcPr>
          <w:p w14:paraId="0B05FA39">
            <w:pPr>
              <w:shd w:val="clear"/>
              <w:bidi w:val="0"/>
              <w:spacing w:line="360" w:lineRule="auto"/>
              <w:rPr>
                <w:rFonts w:hint="eastAsia" w:ascii="楷体" w:hAnsi="楷体" w:eastAsia="楷体" w:cs="楷体"/>
                <w:color w:val="auto"/>
                <w:sz w:val="24"/>
                <w:szCs w:val="24"/>
                <w:highlight w:val="none"/>
              </w:rPr>
            </w:pPr>
          </w:p>
          <w:p w14:paraId="0CE0C150">
            <w:pPr>
              <w:shd w:val="clear"/>
              <w:bidi w:val="0"/>
              <w:spacing w:line="360" w:lineRule="auto"/>
              <w:rPr>
                <w:rFonts w:hint="eastAsia" w:ascii="楷体" w:hAnsi="楷体" w:eastAsia="楷体" w:cs="楷体"/>
                <w:color w:val="auto"/>
                <w:sz w:val="24"/>
                <w:szCs w:val="24"/>
                <w:highlight w:val="none"/>
              </w:rPr>
            </w:pPr>
          </w:p>
          <w:p w14:paraId="3C64209E">
            <w:pPr>
              <w:shd w:val="clear"/>
              <w:bidi w:val="0"/>
              <w:spacing w:line="360" w:lineRule="auto"/>
              <w:rPr>
                <w:rFonts w:hint="eastAsia" w:ascii="楷体" w:hAnsi="楷体" w:eastAsia="楷体" w:cs="楷体"/>
                <w:color w:val="auto"/>
                <w:sz w:val="24"/>
                <w:szCs w:val="24"/>
                <w:highlight w:val="none"/>
              </w:rPr>
            </w:pPr>
          </w:p>
          <w:p w14:paraId="349E667A">
            <w:p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法定代表人身份证反面复印件</w:t>
            </w:r>
          </w:p>
        </w:tc>
      </w:tr>
    </w:tbl>
    <w:p w14:paraId="4177987D">
      <w:pPr>
        <w:shd w:val="clear"/>
        <w:bidi w:val="0"/>
        <w:spacing w:line="36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br w:type="page"/>
      </w:r>
    </w:p>
    <w:p w14:paraId="79BAC371">
      <w:pPr>
        <w:shd w:val="clear"/>
        <w:bidi w:val="0"/>
        <w:spacing w:line="360" w:lineRule="auto"/>
        <w:jc w:val="center"/>
        <w:rPr>
          <w:rFonts w:hint="eastAsia" w:ascii="楷体" w:hAnsi="楷体" w:eastAsia="楷体" w:cs="楷体"/>
          <w:color w:val="auto"/>
          <w:sz w:val="24"/>
          <w:szCs w:val="24"/>
          <w:highlight w:val="none"/>
        </w:rPr>
      </w:pPr>
    </w:p>
    <w:p w14:paraId="474F8663">
      <w:pPr>
        <w:shd w:val="clear"/>
        <w:jc w:val="center"/>
        <w:outlineLvl w:val="2"/>
        <w:rPr>
          <w:rFonts w:hint="eastAsia" w:ascii="楷体" w:hAnsi="楷体" w:eastAsia="楷体" w:cs="楷体"/>
          <w:b/>
          <w:color w:val="auto"/>
          <w:kern w:val="0"/>
          <w:sz w:val="28"/>
          <w:szCs w:val="28"/>
          <w:highlight w:val="none"/>
          <w:lang w:eastAsia="zh-CN"/>
        </w:rPr>
      </w:pPr>
      <w:bookmarkStart w:id="115" w:name="_Toc1037"/>
      <w:r>
        <w:rPr>
          <w:rFonts w:hint="eastAsia" w:ascii="楷体" w:hAnsi="楷体" w:eastAsia="楷体" w:cs="楷体"/>
          <w:b/>
          <w:color w:val="auto"/>
          <w:kern w:val="0"/>
          <w:sz w:val="28"/>
          <w:szCs w:val="28"/>
          <w:highlight w:val="none"/>
          <w:lang w:eastAsia="zh-CN"/>
        </w:rPr>
        <w:t>四、法定代表人授权委托书</w:t>
      </w:r>
      <w:bookmarkEnd w:id="115"/>
    </w:p>
    <w:p w14:paraId="430804E1">
      <w:pPr>
        <w:shd w:val="clear"/>
        <w:bidi w:val="0"/>
        <w:spacing w:line="360" w:lineRule="auto"/>
        <w:rPr>
          <w:rFonts w:hint="eastAsia" w:ascii="楷体" w:hAnsi="楷体" w:eastAsia="楷体" w:cs="楷体"/>
          <w:color w:val="auto"/>
          <w:sz w:val="24"/>
          <w:szCs w:val="24"/>
          <w:highlight w:val="none"/>
        </w:rPr>
      </w:pPr>
    </w:p>
    <w:p w14:paraId="1F63EC6C">
      <w:p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本授权委托书声明：我</w:t>
      </w:r>
      <w:r>
        <w:rPr>
          <w:rFonts w:hint="eastAsia" w:ascii="楷体" w:hAnsi="楷体" w:eastAsia="楷体" w:cs="楷体"/>
          <w:color w:val="auto"/>
          <w:sz w:val="24"/>
          <w:szCs w:val="24"/>
          <w:highlight w:val="none"/>
          <w:u w:val="single"/>
        </w:rPr>
        <w:t xml:space="preserve">        （姓名）</w:t>
      </w:r>
      <w:r>
        <w:rPr>
          <w:rFonts w:hint="eastAsia" w:ascii="楷体" w:hAnsi="楷体" w:eastAsia="楷体" w:cs="楷体"/>
          <w:color w:val="auto"/>
          <w:sz w:val="24"/>
          <w:szCs w:val="24"/>
          <w:highlight w:val="none"/>
        </w:rPr>
        <w:t xml:space="preserve">系 </w:t>
      </w:r>
      <w:r>
        <w:rPr>
          <w:rFonts w:hint="eastAsia" w:ascii="楷体" w:hAnsi="楷体" w:eastAsia="楷体" w:cs="楷体"/>
          <w:color w:val="auto"/>
          <w:sz w:val="24"/>
          <w:szCs w:val="24"/>
          <w:highlight w:val="none"/>
          <w:u w:val="single"/>
        </w:rPr>
        <w:t xml:space="preserve">                      （供应商名称）</w:t>
      </w:r>
      <w:r>
        <w:rPr>
          <w:rFonts w:hint="eastAsia" w:ascii="楷体" w:hAnsi="楷体" w:eastAsia="楷体" w:cs="楷体"/>
          <w:color w:val="auto"/>
          <w:sz w:val="24"/>
          <w:szCs w:val="24"/>
          <w:highlight w:val="none"/>
        </w:rPr>
        <w:t xml:space="preserve">的法定代表人，现授权委托我单位的 </w:t>
      </w:r>
      <w:r>
        <w:rPr>
          <w:rFonts w:hint="eastAsia" w:ascii="楷体" w:hAnsi="楷体" w:eastAsia="楷体" w:cs="楷体"/>
          <w:color w:val="auto"/>
          <w:sz w:val="24"/>
          <w:szCs w:val="24"/>
          <w:highlight w:val="none"/>
          <w:u w:val="single"/>
        </w:rPr>
        <w:t xml:space="preserve">         （姓名）</w:t>
      </w:r>
      <w:r>
        <w:rPr>
          <w:rFonts w:hint="eastAsia" w:ascii="楷体" w:hAnsi="楷体" w:eastAsia="楷体" w:cs="楷体"/>
          <w:color w:val="auto"/>
          <w:sz w:val="24"/>
          <w:szCs w:val="24"/>
          <w:highlight w:val="none"/>
        </w:rPr>
        <w:t>为我公司代理人，以公司名义参加</w:t>
      </w:r>
      <w:r>
        <w:rPr>
          <w:rFonts w:hint="eastAsia" w:ascii="楷体" w:hAnsi="楷体" w:eastAsia="楷体" w:cs="楷体"/>
          <w:color w:val="auto"/>
          <w:sz w:val="24"/>
          <w:szCs w:val="24"/>
          <w:highlight w:val="none"/>
          <w:lang w:eastAsia="zh-CN"/>
        </w:rPr>
        <w:t>云南建协招标有限责任公司</w:t>
      </w:r>
      <w:r>
        <w:rPr>
          <w:rFonts w:hint="eastAsia" w:ascii="楷体" w:hAnsi="楷体" w:eastAsia="楷体" w:cs="楷体"/>
          <w:color w:val="auto"/>
          <w:sz w:val="24"/>
          <w:szCs w:val="24"/>
          <w:highlight w:val="none"/>
        </w:rPr>
        <w:t>代理的</w:t>
      </w:r>
      <w:r>
        <w:rPr>
          <w:rFonts w:hint="eastAsia" w:ascii="楷体" w:hAnsi="楷体" w:eastAsia="楷体" w:cs="楷体"/>
          <w:color w:val="auto"/>
          <w:sz w:val="24"/>
          <w:szCs w:val="24"/>
          <w:highlight w:val="none"/>
          <w:lang w:eastAsia="zh-CN"/>
        </w:rPr>
        <w:t>昆明市官渡区人民法院2024年警用耗材采购项目</w:t>
      </w:r>
      <w:r>
        <w:rPr>
          <w:rFonts w:hint="eastAsia" w:ascii="楷体" w:hAnsi="楷体" w:eastAsia="楷体" w:cs="楷体"/>
          <w:color w:val="auto"/>
          <w:sz w:val="24"/>
          <w:szCs w:val="24"/>
          <w:highlight w:val="none"/>
        </w:rPr>
        <w:t>（</w:t>
      </w:r>
      <w:r>
        <w:rPr>
          <w:rFonts w:hint="eastAsia" w:ascii="楷体" w:hAnsi="楷体" w:eastAsia="楷体" w:cs="楷体"/>
          <w:color w:val="auto"/>
          <w:sz w:val="24"/>
          <w:szCs w:val="24"/>
          <w:highlight w:val="none"/>
          <w:u w:val="single"/>
        </w:rPr>
        <w:t xml:space="preserve">项目编号            </w:t>
      </w:r>
      <w:r>
        <w:rPr>
          <w:rFonts w:hint="eastAsia" w:ascii="楷体" w:hAnsi="楷体" w:eastAsia="楷体" w:cs="楷体"/>
          <w:color w:val="auto"/>
          <w:sz w:val="24"/>
          <w:szCs w:val="24"/>
          <w:highlight w:val="none"/>
        </w:rPr>
        <w:t>）的投标活动。代理人所签署的一切文件和处理与之有关的一切事务，我均予以承认。</w:t>
      </w:r>
    </w:p>
    <w:p w14:paraId="79A7A7E4">
      <w:pPr>
        <w:shd w:val="clear"/>
        <w:bidi w:val="0"/>
        <w:spacing w:line="360" w:lineRule="auto"/>
        <w:rPr>
          <w:rFonts w:hint="eastAsia" w:ascii="楷体" w:hAnsi="楷体" w:eastAsia="楷体" w:cs="楷体"/>
          <w:color w:val="auto"/>
          <w:sz w:val="24"/>
          <w:szCs w:val="24"/>
          <w:highlight w:val="none"/>
        </w:rPr>
      </w:pPr>
    </w:p>
    <w:p w14:paraId="4A350178">
      <w:pPr>
        <w:shd w:val="clear"/>
        <w:bidi w:val="0"/>
        <w:spacing w:line="360" w:lineRule="auto"/>
        <w:rPr>
          <w:rFonts w:hint="eastAsia" w:ascii="楷体" w:hAnsi="楷体" w:eastAsia="楷体" w:cs="楷体"/>
          <w:color w:val="auto"/>
          <w:sz w:val="24"/>
          <w:szCs w:val="24"/>
          <w:highlight w:val="none"/>
          <w:u w:val="single"/>
          <w:lang w:val="en-US" w:eastAsia="zh-CN"/>
        </w:rPr>
      </w:pPr>
      <w:r>
        <w:rPr>
          <w:rFonts w:hint="eastAsia" w:ascii="楷体" w:hAnsi="楷体" w:eastAsia="楷体" w:cs="楷体"/>
          <w:color w:val="auto"/>
          <w:sz w:val="24"/>
          <w:szCs w:val="24"/>
          <w:highlight w:val="none"/>
        </w:rPr>
        <w:t>委托代理人（签字）：</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性别：</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  年龄：</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4"/>
          <w:szCs w:val="24"/>
          <w:highlight w:val="none"/>
        </w:rPr>
        <w:t>部门：</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 职务：</w:t>
      </w:r>
      <w:r>
        <w:rPr>
          <w:rFonts w:hint="eastAsia" w:ascii="楷体" w:hAnsi="楷体" w:eastAsia="楷体" w:cs="楷体"/>
          <w:color w:val="auto"/>
          <w:sz w:val="24"/>
          <w:szCs w:val="24"/>
          <w:highlight w:val="none"/>
          <w:u w:val="single"/>
          <w:lang w:val="en-US" w:eastAsia="zh-CN"/>
        </w:rPr>
        <w:t xml:space="preserve">           </w:t>
      </w:r>
    </w:p>
    <w:p w14:paraId="025ED916">
      <w:p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代理人无转委权。特此委托。</w:t>
      </w:r>
    </w:p>
    <w:p w14:paraId="156600DF">
      <w:p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供应商（</w:t>
      </w:r>
      <w:r>
        <w:rPr>
          <w:rFonts w:hint="eastAsia" w:ascii="楷体" w:hAnsi="楷体" w:eastAsia="楷体" w:cs="楷体"/>
          <w:color w:val="auto"/>
          <w:sz w:val="24"/>
          <w:szCs w:val="24"/>
          <w:highlight w:val="none"/>
          <w:lang w:eastAsia="zh-CN"/>
        </w:rPr>
        <w:t>电子签章</w:t>
      </w:r>
      <w:r>
        <w:rPr>
          <w:rFonts w:hint="eastAsia" w:ascii="楷体" w:hAnsi="楷体" w:eastAsia="楷体" w:cs="楷体"/>
          <w:color w:val="auto"/>
          <w:sz w:val="24"/>
          <w:szCs w:val="24"/>
          <w:highlight w:val="none"/>
        </w:rPr>
        <w:t>）：</w:t>
      </w:r>
    </w:p>
    <w:p w14:paraId="4D736F5B">
      <w:p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法定代表人（</w:t>
      </w:r>
      <w:r>
        <w:rPr>
          <w:rFonts w:hint="eastAsia" w:ascii="楷体" w:hAnsi="楷体" w:eastAsia="楷体" w:cs="楷体"/>
          <w:color w:val="auto"/>
          <w:sz w:val="24"/>
          <w:szCs w:val="24"/>
          <w:highlight w:val="none"/>
          <w:lang w:eastAsia="zh-CN"/>
        </w:rPr>
        <w:t>电子签章</w:t>
      </w:r>
      <w:r>
        <w:rPr>
          <w:rFonts w:hint="eastAsia" w:ascii="楷体" w:hAnsi="楷体" w:eastAsia="楷体" w:cs="楷体"/>
          <w:color w:val="auto"/>
          <w:sz w:val="24"/>
          <w:szCs w:val="24"/>
          <w:highlight w:val="none"/>
        </w:rPr>
        <w:t>）：</w:t>
      </w:r>
    </w:p>
    <w:p w14:paraId="058C8ABD">
      <w:p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日期：   年   月   日</w:t>
      </w:r>
    </w:p>
    <w:p w14:paraId="56530A36">
      <w:pPr>
        <w:shd w:val="clear"/>
        <w:bidi w:val="0"/>
        <w:spacing w:line="360" w:lineRule="auto"/>
        <w:rPr>
          <w:rFonts w:hint="eastAsia" w:ascii="楷体" w:hAnsi="楷体" w:eastAsia="楷体" w:cs="楷体"/>
          <w:color w:val="auto"/>
          <w:sz w:val="24"/>
          <w:szCs w:val="24"/>
          <w:highlight w:val="none"/>
        </w:rPr>
      </w:pPr>
    </w:p>
    <w:tbl>
      <w:tblPr>
        <w:tblStyle w:val="19"/>
        <w:tblW w:w="9135" w:type="dxa"/>
        <w:tblInd w:w="108"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515"/>
        <w:gridCol w:w="420"/>
        <w:gridCol w:w="4200"/>
      </w:tblGrid>
      <w:tr w14:paraId="10A8127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46" w:hRule="atLeast"/>
        </w:trPr>
        <w:tc>
          <w:tcPr>
            <w:tcW w:w="4515" w:type="dxa"/>
          </w:tcPr>
          <w:p w14:paraId="3AA1D842">
            <w:pPr>
              <w:shd w:val="clear"/>
              <w:bidi w:val="0"/>
              <w:spacing w:line="360" w:lineRule="auto"/>
              <w:rPr>
                <w:rFonts w:hint="eastAsia" w:ascii="楷体" w:hAnsi="楷体" w:eastAsia="楷体" w:cs="楷体"/>
                <w:color w:val="auto"/>
                <w:sz w:val="24"/>
                <w:szCs w:val="24"/>
                <w:highlight w:val="none"/>
              </w:rPr>
            </w:pPr>
          </w:p>
          <w:p w14:paraId="254FC8AD">
            <w:pPr>
              <w:shd w:val="clear"/>
              <w:bidi w:val="0"/>
              <w:spacing w:line="360" w:lineRule="auto"/>
              <w:rPr>
                <w:rFonts w:hint="eastAsia" w:ascii="楷体" w:hAnsi="楷体" w:eastAsia="楷体" w:cs="楷体"/>
                <w:color w:val="auto"/>
                <w:sz w:val="24"/>
                <w:szCs w:val="24"/>
                <w:highlight w:val="none"/>
              </w:rPr>
            </w:pPr>
          </w:p>
          <w:p w14:paraId="346520CF">
            <w:pPr>
              <w:shd w:val="clear"/>
              <w:bidi w:val="0"/>
              <w:spacing w:line="360" w:lineRule="auto"/>
              <w:rPr>
                <w:rFonts w:hint="eastAsia" w:ascii="楷体" w:hAnsi="楷体" w:eastAsia="楷体" w:cs="楷体"/>
                <w:color w:val="auto"/>
                <w:sz w:val="24"/>
                <w:szCs w:val="24"/>
                <w:highlight w:val="none"/>
              </w:rPr>
            </w:pPr>
          </w:p>
          <w:p w14:paraId="4B59CFF0">
            <w:p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委托代理人身份证正面复印件</w:t>
            </w:r>
          </w:p>
        </w:tc>
        <w:tc>
          <w:tcPr>
            <w:tcW w:w="420" w:type="dxa"/>
            <w:tcBorders>
              <w:top w:val="nil"/>
              <w:bottom w:val="nil"/>
            </w:tcBorders>
          </w:tcPr>
          <w:p w14:paraId="57ACE3BB">
            <w:pPr>
              <w:shd w:val="clear"/>
              <w:bidi w:val="0"/>
              <w:spacing w:line="360" w:lineRule="auto"/>
              <w:rPr>
                <w:rFonts w:hint="eastAsia" w:ascii="楷体" w:hAnsi="楷体" w:eastAsia="楷体" w:cs="楷体"/>
                <w:color w:val="auto"/>
                <w:sz w:val="24"/>
                <w:szCs w:val="24"/>
                <w:highlight w:val="none"/>
              </w:rPr>
            </w:pPr>
          </w:p>
          <w:p w14:paraId="31660CC1">
            <w:pPr>
              <w:shd w:val="clear"/>
              <w:bidi w:val="0"/>
              <w:spacing w:line="360" w:lineRule="auto"/>
              <w:rPr>
                <w:rFonts w:hint="eastAsia" w:ascii="楷体" w:hAnsi="楷体" w:eastAsia="楷体" w:cs="楷体"/>
                <w:color w:val="auto"/>
                <w:sz w:val="24"/>
                <w:szCs w:val="24"/>
                <w:highlight w:val="none"/>
              </w:rPr>
            </w:pPr>
          </w:p>
        </w:tc>
        <w:tc>
          <w:tcPr>
            <w:tcW w:w="4200" w:type="dxa"/>
          </w:tcPr>
          <w:p w14:paraId="34FCD1A6">
            <w:pPr>
              <w:shd w:val="clear"/>
              <w:bidi w:val="0"/>
              <w:spacing w:line="360" w:lineRule="auto"/>
              <w:rPr>
                <w:rFonts w:hint="eastAsia" w:ascii="楷体" w:hAnsi="楷体" w:eastAsia="楷体" w:cs="楷体"/>
                <w:color w:val="auto"/>
                <w:sz w:val="24"/>
                <w:szCs w:val="24"/>
                <w:highlight w:val="none"/>
              </w:rPr>
            </w:pPr>
          </w:p>
          <w:p w14:paraId="7B457F7B">
            <w:pPr>
              <w:shd w:val="clear"/>
              <w:bidi w:val="0"/>
              <w:spacing w:line="360" w:lineRule="auto"/>
              <w:rPr>
                <w:rFonts w:hint="eastAsia" w:ascii="楷体" w:hAnsi="楷体" w:eastAsia="楷体" w:cs="楷体"/>
                <w:color w:val="auto"/>
                <w:sz w:val="24"/>
                <w:szCs w:val="24"/>
                <w:highlight w:val="none"/>
              </w:rPr>
            </w:pPr>
          </w:p>
          <w:p w14:paraId="52D92D90">
            <w:pPr>
              <w:shd w:val="clear"/>
              <w:bidi w:val="0"/>
              <w:spacing w:line="360" w:lineRule="auto"/>
              <w:rPr>
                <w:rFonts w:hint="eastAsia" w:ascii="楷体" w:hAnsi="楷体" w:eastAsia="楷体" w:cs="楷体"/>
                <w:color w:val="auto"/>
                <w:sz w:val="24"/>
                <w:szCs w:val="24"/>
                <w:highlight w:val="none"/>
              </w:rPr>
            </w:pPr>
          </w:p>
          <w:p w14:paraId="41565CD0">
            <w:pPr>
              <w:shd w:val="clear"/>
              <w:bidi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委托代理人身份证反面复印件</w:t>
            </w:r>
          </w:p>
        </w:tc>
      </w:tr>
    </w:tbl>
    <w:p w14:paraId="0CE39391">
      <w:pPr>
        <w:shd w:val="clear"/>
        <w:bidi w:val="0"/>
        <w:spacing w:line="360" w:lineRule="auto"/>
        <w:rPr>
          <w:rFonts w:hint="eastAsia" w:ascii="楷体" w:hAnsi="楷体" w:eastAsia="楷体" w:cs="楷体"/>
          <w:color w:val="auto"/>
          <w:sz w:val="24"/>
          <w:szCs w:val="24"/>
          <w:highlight w:val="none"/>
        </w:rPr>
      </w:pPr>
    </w:p>
    <w:p w14:paraId="7F29DC12">
      <w:pPr>
        <w:shd w:val="clear"/>
        <w:bidi w:val="0"/>
        <w:spacing w:line="360" w:lineRule="auto"/>
        <w:rPr>
          <w:rFonts w:hint="eastAsia" w:ascii="楷体" w:hAnsi="楷体" w:eastAsia="楷体" w:cs="楷体"/>
          <w:color w:val="auto"/>
          <w:sz w:val="24"/>
          <w:szCs w:val="24"/>
          <w:highlight w:val="none"/>
        </w:rPr>
      </w:pPr>
    </w:p>
    <w:p w14:paraId="69319292">
      <w:pPr>
        <w:shd w:val="clear"/>
        <w:bidi w:val="0"/>
        <w:spacing w:line="360" w:lineRule="auto"/>
        <w:rPr>
          <w:rFonts w:hint="eastAsia" w:ascii="楷体" w:hAnsi="楷体" w:eastAsia="楷体" w:cs="楷体"/>
          <w:color w:val="auto"/>
          <w:sz w:val="24"/>
          <w:szCs w:val="24"/>
          <w:highlight w:val="none"/>
        </w:rPr>
      </w:pPr>
    </w:p>
    <w:p w14:paraId="024383A5">
      <w:pPr>
        <w:shd w:val="clear"/>
        <w:bidi w:val="0"/>
        <w:spacing w:line="360" w:lineRule="auto"/>
        <w:rPr>
          <w:rFonts w:hint="eastAsia" w:ascii="楷体" w:hAnsi="楷体" w:eastAsia="楷体" w:cs="楷体"/>
          <w:color w:val="auto"/>
          <w:highlight w:val="none"/>
        </w:rPr>
      </w:pPr>
      <w:r>
        <w:rPr>
          <w:rStyle w:val="23"/>
          <w:rFonts w:hint="eastAsia" w:ascii="楷体" w:hAnsi="楷体" w:eastAsia="楷体" w:cs="楷体"/>
          <w:color w:val="auto"/>
          <w:kern w:val="0"/>
          <w:sz w:val="24"/>
          <w:szCs w:val="24"/>
          <w:highlight w:val="none"/>
          <w:u w:val="none"/>
        </w:rPr>
        <w:br w:type="page"/>
      </w:r>
      <w:r>
        <w:rPr>
          <w:rFonts w:hint="eastAsia" w:ascii="楷体" w:hAnsi="楷体" w:eastAsia="楷体" w:cs="楷体"/>
          <w:color w:val="auto"/>
          <w:sz w:val="24"/>
          <w:szCs w:val="24"/>
          <w:highlight w:val="none"/>
        </w:rPr>
        <w:fldChar w:fldCharType="end"/>
      </w:r>
    </w:p>
    <w:p w14:paraId="586390F9">
      <w:pPr>
        <w:shd w:val="clear"/>
        <w:rPr>
          <w:rFonts w:hint="eastAsia" w:ascii="楷体" w:hAnsi="楷体" w:eastAsia="楷体" w:cs="楷体"/>
          <w:color w:val="auto"/>
          <w:highlight w:val="none"/>
        </w:rPr>
      </w:pPr>
    </w:p>
    <w:p w14:paraId="5614579C">
      <w:pPr>
        <w:shd w:val="clear"/>
        <w:jc w:val="center"/>
        <w:outlineLvl w:val="2"/>
        <w:rPr>
          <w:rFonts w:hint="eastAsia" w:ascii="楷体" w:hAnsi="楷体" w:eastAsia="楷体" w:cs="楷体"/>
          <w:b/>
          <w:color w:val="auto"/>
          <w:kern w:val="0"/>
          <w:sz w:val="28"/>
          <w:szCs w:val="28"/>
          <w:highlight w:val="none"/>
          <w:lang w:eastAsia="zh-CN"/>
        </w:rPr>
      </w:pPr>
      <w:bookmarkStart w:id="116" w:name="_Toc31440"/>
      <w:bookmarkStart w:id="117" w:name="_Toc509407358"/>
      <w:bookmarkStart w:id="118" w:name="_Toc385430437"/>
      <w:r>
        <w:rPr>
          <w:rFonts w:hint="eastAsia" w:ascii="楷体" w:hAnsi="楷体" w:eastAsia="楷体" w:cs="楷体"/>
          <w:b/>
          <w:color w:val="auto"/>
          <w:kern w:val="0"/>
          <w:sz w:val="28"/>
          <w:szCs w:val="28"/>
          <w:highlight w:val="none"/>
          <w:lang w:val="en-US" w:eastAsia="zh-CN"/>
        </w:rPr>
        <w:t>五、</w:t>
      </w:r>
      <w:r>
        <w:rPr>
          <w:rFonts w:hint="eastAsia" w:ascii="楷体" w:hAnsi="楷体" w:eastAsia="楷体" w:cs="楷体"/>
          <w:b/>
          <w:color w:val="auto"/>
          <w:kern w:val="0"/>
          <w:sz w:val="28"/>
          <w:szCs w:val="28"/>
          <w:highlight w:val="none"/>
          <w:lang w:eastAsia="zh-CN"/>
        </w:rPr>
        <w:t>类似业绩表</w:t>
      </w:r>
      <w:bookmarkEnd w:id="116"/>
    </w:p>
    <w:p w14:paraId="50333C2F">
      <w:pPr>
        <w:pStyle w:val="18"/>
        <w:rPr>
          <w:rFonts w:hint="eastAsia" w:ascii="楷体" w:hAnsi="楷体" w:eastAsia="楷体" w:cs="楷体"/>
          <w:color w:val="auto"/>
          <w:lang w:eastAsia="zh-CN"/>
        </w:rPr>
      </w:pPr>
    </w:p>
    <w:tbl>
      <w:tblPr>
        <w:tblStyle w:val="19"/>
        <w:tblpPr w:leftFromText="180" w:rightFromText="180" w:vertAnchor="text" w:horzAnchor="page" w:tblpXSpec="center" w:tblpY="61"/>
        <w:tblOverlap w:val="neve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1"/>
        <w:gridCol w:w="3183"/>
        <w:gridCol w:w="2176"/>
        <w:gridCol w:w="1648"/>
        <w:gridCol w:w="2022"/>
      </w:tblGrid>
      <w:tr w14:paraId="082F7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417" w:type="pct"/>
            <w:tcBorders>
              <w:top w:val="single" w:color="auto" w:sz="4" w:space="0"/>
              <w:left w:val="single" w:color="auto" w:sz="4" w:space="0"/>
              <w:bottom w:val="single" w:color="auto" w:sz="4" w:space="0"/>
              <w:right w:val="single" w:color="auto" w:sz="4" w:space="0"/>
            </w:tcBorders>
            <w:vAlign w:val="center"/>
          </w:tcPr>
          <w:p w14:paraId="6160FAAC">
            <w:pPr>
              <w:shd w:val="clear"/>
              <w:spacing w:line="360" w:lineRule="auto"/>
              <w:jc w:val="center"/>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序号</w:t>
            </w:r>
          </w:p>
        </w:tc>
        <w:tc>
          <w:tcPr>
            <w:tcW w:w="1615" w:type="pct"/>
            <w:tcBorders>
              <w:top w:val="single" w:color="auto" w:sz="4" w:space="0"/>
              <w:left w:val="single" w:color="auto" w:sz="4" w:space="0"/>
              <w:bottom w:val="single" w:color="auto" w:sz="4" w:space="0"/>
              <w:right w:val="single" w:color="auto" w:sz="4" w:space="0"/>
            </w:tcBorders>
            <w:vAlign w:val="center"/>
          </w:tcPr>
          <w:p w14:paraId="7E9CDFBA">
            <w:pPr>
              <w:shd w:val="clear"/>
              <w:spacing w:line="360" w:lineRule="auto"/>
              <w:jc w:val="center"/>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项目名称</w:t>
            </w:r>
          </w:p>
        </w:tc>
        <w:tc>
          <w:tcPr>
            <w:tcW w:w="1104" w:type="pct"/>
            <w:tcBorders>
              <w:top w:val="single" w:color="auto" w:sz="4" w:space="0"/>
              <w:left w:val="single" w:color="auto" w:sz="4" w:space="0"/>
              <w:bottom w:val="single" w:color="auto" w:sz="4" w:space="0"/>
              <w:right w:val="single" w:color="auto" w:sz="4" w:space="0"/>
            </w:tcBorders>
            <w:vAlign w:val="center"/>
          </w:tcPr>
          <w:p w14:paraId="7D8409C7">
            <w:pPr>
              <w:shd w:val="clear"/>
              <w:spacing w:line="360" w:lineRule="auto"/>
              <w:jc w:val="center"/>
              <w:rPr>
                <w:rFonts w:hint="eastAsia" w:ascii="楷体" w:hAnsi="楷体" w:eastAsia="楷体" w:cs="楷体"/>
                <w:b/>
                <w:bCs/>
                <w:color w:val="auto"/>
                <w:sz w:val="24"/>
                <w:szCs w:val="24"/>
                <w:highlight w:val="none"/>
                <w:lang w:val="en-US" w:eastAsia="zh-CN"/>
              </w:rPr>
            </w:pPr>
            <w:r>
              <w:rPr>
                <w:rFonts w:hint="eastAsia" w:ascii="楷体" w:hAnsi="楷体" w:eastAsia="楷体" w:cs="楷体"/>
                <w:b/>
                <w:bCs/>
                <w:color w:val="auto"/>
                <w:sz w:val="24"/>
                <w:szCs w:val="24"/>
                <w:highlight w:val="none"/>
                <w:lang w:val="en-US" w:eastAsia="zh-CN"/>
              </w:rPr>
              <w:t>项目规模</w:t>
            </w:r>
          </w:p>
        </w:tc>
        <w:tc>
          <w:tcPr>
            <w:tcW w:w="836" w:type="pct"/>
            <w:tcBorders>
              <w:top w:val="single" w:color="auto" w:sz="4" w:space="0"/>
              <w:left w:val="single" w:color="auto" w:sz="4" w:space="0"/>
              <w:bottom w:val="single" w:color="auto" w:sz="4" w:space="0"/>
              <w:right w:val="single" w:color="auto" w:sz="4" w:space="0"/>
            </w:tcBorders>
            <w:vAlign w:val="center"/>
          </w:tcPr>
          <w:p w14:paraId="23F2DFC4">
            <w:pPr>
              <w:shd w:val="clear"/>
              <w:spacing w:line="360" w:lineRule="auto"/>
              <w:jc w:val="center"/>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完成时间</w:t>
            </w:r>
          </w:p>
        </w:tc>
        <w:tc>
          <w:tcPr>
            <w:tcW w:w="1026" w:type="pct"/>
            <w:tcBorders>
              <w:top w:val="single" w:color="auto" w:sz="4" w:space="0"/>
              <w:left w:val="single" w:color="auto" w:sz="4" w:space="0"/>
              <w:bottom w:val="single" w:color="auto" w:sz="4" w:space="0"/>
              <w:right w:val="single" w:color="auto" w:sz="4" w:space="0"/>
            </w:tcBorders>
            <w:vAlign w:val="center"/>
          </w:tcPr>
          <w:p w14:paraId="6F0A5D56">
            <w:pPr>
              <w:shd w:val="clear"/>
              <w:spacing w:line="360" w:lineRule="auto"/>
              <w:jc w:val="center"/>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项目单位</w:t>
            </w:r>
          </w:p>
        </w:tc>
      </w:tr>
      <w:tr w14:paraId="131CD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417" w:type="pct"/>
            <w:tcBorders>
              <w:top w:val="single" w:color="auto" w:sz="4" w:space="0"/>
              <w:left w:val="single" w:color="auto" w:sz="4" w:space="0"/>
              <w:bottom w:val="single" w:color="auto" w:sz="4" w:space="0"/>
              <w:right w:val="single" w:color="auto" w:sz="4" w:space="0"/>
            </w:tcBorders>
            <w:vAlign w:val="center"/>
          </w:tcPr>
          <w:p w14:paraId="59FCB29A">
            <w:pPr>
              <w:shd w:val="clear"/>
              <w:spacing w:line="36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w:t>
            </w:r>
          </w:p>
        </w:tc>
        <w:tc>
          <w:tcPr>
            <w:tcW w:w="1615" w:type="pct"/>
            <w:tcBorders>
              <w:top w:val="single" w:color="auto" w:sz="4" w:space="0"/>
              <w:left w:val="single" w:color="auto" w:sz="4" w:space="0"/>
              <w:bottom w:val="single" w:color="auto" w:sz="4" w:space="0"/>
              <w:right w:val="single" w:color="auto" w:sz="4" w:space="0"/>
            </w:tcBorders>
            <w:vAlign w:val="center"/>
          </w:tcPr>
          <w:p w14:paraId="63518DFC">
            <w:pPr>
              <w:shd w:val="clear"/>
              <w:spacing w:line="360" w:lineRule="auto"/>
              <w:jc w:val="center"/>
              <w:rPr>
                <w:rFonts w:hint="eastAsia" w:ascii="楷体" w:hAnsi="楷体" w:eastAsia="楷体" w:cs="楷体"/>
                <w:color w:val="auto"/>
                <w:sz w:val="24"/>
                <w:szCs w:val="24"/>
                <w:highlight w:val="none"/>
              </w:rPr>
            </w:pPr>
          </w:p>
        </w:tc>
        <w:tc>
          <w:tcPr>
            <w:tcW w:w="1104" w:type="pct"/>
            <w:tcBorders>
              <w:top w:val="single" w:color="auto" w:sz="4" w:space="0"/>
              <w:left w:val="single" w:color="auto" w:sz="4" w:space="0"/>
              <w:bottom w:val="single" w:color="auto" w:sz="4" w:space="0"/>
              <w:right w:val="single" w:color="auto" w:sz="4" w:space="0"/>
            </w:tcBorders>
            <w:vAlign w:val="center"/>
          </w:tcPr>
          <w:p w14:paraId="719C4BE2">
            <w:pPr>
              <w:shd w:val="clear"/>
              <w:spacing w:line="360" w:lineRule="auto"/>
              <w:jc w:val="center"/>
              <w:rPr>
                <w:rFonts w:hint="eastAsia" w:ascii="楷体" w:hAnsi="楷体" w:eastAsia="楷体" w:cs="楷体"/>
                <w:color w:val="auto"/>
                <w:sz w:val="24"/>
                <w:szCs w:val="24"/>
                <w:highlight w:val="none"/>
              </w:rPr>
            </w:pPr>
          </w:p>
        </w:tc>
        <w:tc>
          <w:tcPr>
            <w:tcW w:w="836" w:type="pct"/>
            <w:tcBorders>
              <w:top w:val="single" w:color="auto" w:sz="4" w:space="0"/>
              <w:left w:val="single" w:color="auto" w:sz="4" w:space="0"/>
              <w:bottom w:val="single" w:color="auto" w:sz="4" w:space="0"/>
              <w:right w:val="single" w:color="auto" w:sz="4" w:space="0"/>
            </w:tcBorders>
            <w:vAlign w:val="center"/>
          </w:tcPr>
          <w:p w14:paraId="55CE0D39">
            <w:pPr>
              <w:shd w:val="clear"/>
              <w:spacing w:line="360" w:lineRule="auto"/>
              <w:jc w:val="center"/>
              <w:rPr>
                <w:rFonts w:hint="eastAsia" w:ascii="楷体" w:hAnsi="楷体" w:eastAsia="楷体" w:cs="楷体"/>
                <w:color w:val="auto"/>
                <w:sz w:val="24"/>
                <w:szCs w:val="24"/>
                <w:highlight w:val="none"/>
              </w:rPr>
            </w:pPr>
          </w:p>
        </w:tc>
        <w:tc>
          <w:tcPr>
            <w:tcW w:w="1026" w:type="pct"/>
            <w:tcBorders>
              <w:top w:val="single" w:color="auto" w:sz="4" w:space="0"/>
              <w:left w:val="single" w:color="auto" w:sz="4" w:space="0"/>
              <w:bottom w:val="single" w:color="auto" w:sz="4" w:space="0"/>
              <w:right w:val="single" w:color="auto" w:sz="4" w:space="0"/>
            </w:tcBorders>
            <w:vAlign w:val="center"/>
          </w:tcPr>
          <w:p w14:paraId="67FA5FF1">
            <w:pPr>
              <w:shd w:val="clear"/>
              <w:spacing w:line="360" w:lineRule="auto"/>
              <w:jc w:val="center"/>
              <w:rPr>
                <w:rFonts w:hint="eastAsia" w:ascii="楷体" w:hAnsi="楷体" w:eastAsia="楷体" w:cs="楷体"/>
                <w:color w:val="auto"/>
                <w:sz w:val="24"/>
                <w:szCs w:val="24"/>
                <w:highlight w:val="none"/>
              </w:rPr>
            </w:pPr>
          </w:p>
        </w:tc>
      </w:tr>
      <w:tr w14:paraId="313F7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17" w:type="pct"/>
            <w:tcBorders>
              <w:top w:val="single" w:color="auto" w:sz="4" w:space="0"/>
              <w:left w:val="single" w:color="auto" w:sz="4" w:space="0"/>
              <w:bottom w:val="single" w:color="auto" w:sz="4" w:space="0"/>
              <w:right w:val="single" w:color="auto" w:sz="4" w:space="0"/>
            </w:tcBorders>
            <w:vAlign w:val="center"/>
          </w:tcPr>
          <w:p w14:paraId="67C373A5">
            <w:pPr>
              <w:shd w:val="clear"/>
              <w:spacing w:line="36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2</w:t>
            </w:r>
          </w:p>
        </w:tc>
        <w:tc>
          <w:tcPr>
            <w:tcW w:w="1615" w:type="pct"/>
            <w:tcBorders>
              <w:top w:val="single" w:color="auto" w:sz="4" w:space="0"/>
              <w:left w:val="single" w:color="auto" w:sz="4" w:space="0"/>
              <w:bottom w:val="single" w:color="auto" w:sz="4" w:space="0"/>
              <w:right w:val="single" w:color="auto" w:sz="4" w:space="0"/>
            </w:tcBorders>
            <w:vAlign w:val="center"/>
          </w:tcPr>
          <w:p w14:paraId="433EEACE">
            <w:pPr>
              <w:shd w:val="clear"/>
              <w:spacing w:line="360" w:lineRule="auto"/>
              <w:jc w:val="center"/>
              <w:rPr>
                <w:rFonts w:hint="eastAsia" w:ascii="楷体" w:hAnsi="楷体" w:eastAsia="楷体" w:cs="楷体"/>
                <w:color w:val="auto"/>
                <w:sz w:val="24"/>
                <w:szCs w:val="24"/>
                <w:highlight w:val="none"/>
                <w:lang w:val="en-US" w:eastAsia="zh-CN"/>
              </w:rPr>
            </w:pPr>
          </w:p>
        </w:tc>
        <w:tc>
          <w:tcPr>
            <w:tcW w:w="1104" w:type="pct"/>
            <w:tcBorders>
              <w:top w:val="single" w:color="auto" w:sz="4" w:space="0"/>
              <w:left w:val="single" w:color="auto" w:sz="4" w:space="0"/>
              <w:bottom w:val="single" w:color="auto" w:sz="4" w:space="0"/>
              <w:right w:val="single" w:color="auto" w:sz="4" w:space="0"/>
            </w:tcBorders>
            <w:vAlign w:val="center"/>
          </w:tcPr>
          <w:p w14:paraId="56A8AF81">
            <w:pPr>
              <w:shd w:val="clear"/>
              <w:spacing w:line="360" w:lineRule="auto"/>
              <w:jc w:val="center"/>
              <w:rPr>
                <w:rFonts w:hint="eastAsia" w:ascii="楷体" w:hAnsi="楷体" w:eastAsia="楷体" w:cs="楷体"/>
                <w:color w:val="auto"/>
                <w:sz w:val="24"/>
                <w:szCs w:val="24"/>
                <w:highlight w:val="none"/>
              </w:rPr>
            </w:pPr>
          </w:p>
        </w:tc>
        <w:tc>
          <w:tcPr>
            <w:tcW w:w="836" w:type="pct"/>
            <w:tcBorders>
              <w:top w:val="single" w:color="auto" w:sz="4" w:space="0"/>
              <w:left w:val="single" w:color="auto" w:sz="4" w:space="0"/>
              <w:bottom w:val="single" w:color="auto" w:sz="4" w:space="0"/>
              <w:right w:val="single" w:color="auto" w:sz="4" w:space="0"/>
            </w:tcBorders>
            <w:vAlign w:val="center"/>
          </w:tcPr>
          <w:p w14:paraId="1625A07A">
            <w:pPr>
              <w:shd w:val="clear"/>
              <w:spacing w:line="360" w:lineRule="auto"/>
              <w:jc w:val="center"/>
              <w:rPr>
                <w:rFonts w:hint="eastAsia" w:ascii="楷体" w:hAnsi="楷体" w:eastAsia="楷体" w:cs="楷体"/>
                <w:color w:val="auto"/>
                <w:sz w:val="24"/>
                <w:szCs w:val="24"/>
                <w:highlight w:val="none"/>
              </w:rPr>
            </w:pPr>
          </w:p>
        </w:tc>
        <w:tc>
          <w:tcPr>
            <w:tcW w:w="1026" w:type="pct"/>
            <w:tcBorders>
              <w:top w:val="single" w:color="auto" w:sz="4" w:space="0"/>
              <w:left w:val="single" w:color="auto" w:sz="4" w:space="0"/>
              <w:bottom w:val="single" w:color="auto" w:sz="4" w:space="0"/>
              <w:right w:val="single" w:color="auto" w:sz="4" w:space="0"/>
            </w:tcBorders>
            <w:vAlign w:val="center"/>
          </w:tcPr>
          <w:p w14:paraId="0D6C231F">
            <w:pPr>
              <w:shd w:val="clear"/>
              <w:spacing w:line="360" w:lineRule="auto"/>
              <w:jc w:val="center"/>
              <w:rPr>
                <w:rFonts w:hint="eastAsia" w:ascii="楷体" w:hAnsi="楷体" w:eastAsia="楷体" w:cs="楷体"/>
                <w:color w:val="auto"/>
                <w:sz w:val="24"/>
                <w:szCs w:val="24"/>
                <w:highlight w:val="none"/>
              </w:rPr>
            </w:pPr>
          </w:p>
        </w:tc>
      </w:tr>
      <w:tr w14:paraId="68ACE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17" w:type="pct"/>
            <w:tcBorders>
              <w:top w:val="single" w:color="auto" w:sz="4" w:space="0"/>
              <w:left w:val="single" w:color="auto" w:sz="4" w:space="0"/>
              <w:bottom w:val="single" w:color="auto" w:sz="4" w:space="0"/>
              <w:right w:val="single" w:color="auto" w:sz="4" w:space="0"/>
            </w:tcBorders>
            <w:vAlign w:val="center"/>
          </w:tcPr>
          <w:p w14:paraId="09C1851C">
            <w:pPr>
              <w:shd w:val="clear"/>
              <w:spacing w:line="36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3</w:t>
            </w:r>
          </w:p>
        </w:tc>
        <w:tc>
          <w:tcPr>
            <w:tcW w:w="1615" w:type="pct"/>
            <w:tcBorders>
              <w:top w:val="single" w:color="auto" w:sz="4" w:space="0"/>
              <w:left w:val="single" w:color="auto" w:sz="4" w:space="0"/>
              <w:bottom w:val="single" w:color="auto" w:sz="4" w:space="0"/>
              <w:right w:val="single" w:color="auto" w:sz="4" w:space="0"/>
            </w:tcBorders>
            <w:vAlign w:val="center"/>
          </w:tcPr>
          <w:p w14:paraId="7BB8F384">
            <w:pPr>
              <w:shd w:val="clear"/>
              <w:spacing w:line="360" w:lineRule="auto"/>
              <w:jc w:val="center"/>
              <w:rPr>
                <w:rFonts w:hint="eastAsia" w:ascii="楷体" w:hAnsi="楷体" w:eastAsia="楷体" w:cs="楷体"/>
                <w:color w:val="auto"/>
                <w:sz w:val="24"/>
                <w:szCs w:val="24"/>
                <w:highlight w:val="none"/>
              </w:rPr>
            </w:pPr>
          </w:p>
        </w:tc>
        <w:tc>
          <w:tcPr>
            <w:tcW w:w="1104" w:type="pct"/>
            <w:tcBorders>
              <w:top w:val="single" w:color="auto" w:sz="4" w:space="0"/>
              <w:left w:val="single" w:color="auto" w:sz="4" w:space="0"/>
              <w:bottom w:val="single" w:color="auto" w:sz="4" w:space="0"/>
              <w:right w:val="single" w:color="auto" w:sz="4" w:space="0"/>
            </w:tcBorders>
            <w:vAlign w:val="center"/>
          </w:tcPr>
          <w:p w14:paraId="4ECFF76A">
            <w:pPr>
              <w:shd w:val="clear"/>
              <w:spacing w:line="360" w:lineRule="auto"/>
              <w:jc w:val="center"/>
              <w:rPr>
                <w:rFonts w:hint="eastAsia" w:ascii="楷体" w:hAnsi="楷体" w:eastAsia="楷体" w:cs="楷体"/>
                <w:color w:val="auto"/>
                <w:sz w:val="24"/>
                <w:szCs w:val="24"/>
                <w:highlight w:val="none"/>
              </w:rPr>
            </w:pPr>
          </w:p>
        </w:tc>
        <w:tc>
          <w:tcPr>
            <w:tcW w:w="836" w:type="pct"/>
            <w:tcBorders>
              <w:top w:val="single" w:color="auto" w:sz="4" w:space="0"/>
              <w:left w:val="single" w:color="auto" w:sz="4" w:space="0"/>
              <w:bottom w:val="single" w:color="auto" w:sz="4" w:space="0"/>
              <w:right w:val="single" w:color="auto" w:sz="4" w:space="0"/>
            </w:tcBorders>
            <w:vAlign w:val="center"/>
          </w:tcPr>
          <w:p w14:paraId="4FFDAF87">
            <w:pPr>
              <w:shd w:val="clear"/>
              <w:spacing w:line="360" w:lineRule="auto"/>
              <w:jc w:val="center"/>
              <w:rPr>
                <w:rFonts w:hint="eastAsia" w:ascii="楷体" w:hAnsi="楷体" w:eastAsia="楷体" w:cs="楷体"/>
                <w:color w:val="auto"/>
                <w:sz w:val="24"/>
                <w:szCs w:val="24"/>
                <w:highlight w:val="none"/>
              </w:rPr>
            </w:pPr>
          </w:p>
        </w:tc>
        <w:tc>
          <w:tcPr>
            <w:tcW w:w="1026" w:type="pct"/>
            <w:tcBorders>
              <w:top w:val="single" w:color="auto" w:sz="4" w:space="0"/>
              <w:left w:val="single" w:color="auto" w:sz="4" w:space="0"/>
              <w:bottom w:val="single" w:color="auto" w:sz="4" w:space="0"/>
              <w:right w:val="single" w:color="auto" w:sz="4" w:space="0"/>
            </w:tcBorders>
            <w:vAlign w:val="center"/>
          </w:tcPr>
          <w:p w14:paraId="3E6A145C">
            <w:pPr>
              <w:shd w:val="clear"/>
              <w:spacing w:line="360" w:lineRule="auto"/>
              <w:jc w:val="center"/>
              <w:rPr>
                <w:rFonts w:hint="eastAsia" w:ascii="楷体" w:hAnsi="楷体" w:eastAsia="楷体" w:cs="楷体"/>
                <w:color w:val="auto"/>
                <w:sz w:val="24"/>
                <w:szCs w:val="24"/>
                <w:highlight w:val="none"/>
              </w:rPr>
            </w:pPr>
          </w:p>
        </w:tc>
      </w:tr>
      <w:tr w14:paraId="306BC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17" w:type="pct"/>
            <w:tcBorders>
              <w:top w:val="single" w:color="auto" w:sz="4" w:space="0"/>
              <w:left w:val="single" w:color="auto" w:sz="4" w:space="0"/>
              <w:bottom w:val="single" w:color="auto" w:sz="4" w:space="0"/>
              <w:right w:val="single" w:color="auto" w:sz="4" w:space="0"/>
            </w:tcBorders>
            <w:vAlign w:val="center"/>
          </w:tcPr>
          <w:p w14:paraId="6C2A1E05">
            <w:pPr>
              <w:shd w:val="clear"/>
              <w:spacing w:line="36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4</w:t>
            </w:r>
          </w:p>
        </w:tc>
        <w:tc>
          <w:tcPr>
            <w:tcW w:w="1615" w:type="pct"/>
            <w:tcBorders>
              <w:top w:val="single" w:color="auto" w:sz="4" w:space="0"/>
              <w:left w:val="single" w:color="auto" w:sz="4" w:space="0"/>
              <w:bottom w:val="single" w:color="auto" w:sz="4" w:space="0"/>
              <w:right w:val="single" w:color="auto" w:sz="4" w:space="0"/>
            </w:tcBorders>
            <w:vAlign w:val="center"/>
          </w:tcPr>
          <w:p w14:paraId="1E278751">
            <w:pPr>
              <w:shd w:val="clear"/>
              <w:spacing w:line="360" w:lineRule="auto"/>
              <w:jc w:val="center"/>
              <w:rPr>
                <w:rFonts w:hint="eastAsia" w:ascii="楷体" w:hAnsi="楷体" w:eastAsia="楷体" w:cs="楷体"/>
                <w:color w:val="auto"/>
                <w:sz w:val="24"/>
                <w:szCs w:val="24"/>
                <w:highlight w:val="none"/>
              </w:rPr>
            </w:pPr>
          </w:p>
        </w:tc>
        <w:tc>
          <w:tcPr>
            <w:tcW w:w="1104" w:type="pct"/>
            <w:tcBorders>
              <w:top w:val="single" w:color="auto" w:sz="4" w:space="0"/>
              <w:left w:val="single" w:color="auto" w:sz="4" w:space="0"/>
              <w:bottom w:val="single" w:color="auto" w:sz="4" w:space="0"/>
              <w:right w:val="single" w:color="auto" w:sz="4" w:space="0"/>
            </w:tcBorders>
            <w:vAlign w:val="center"/>
          </w:tcPr>
          <w:p w14:paraId="74230950">
            <w:pPr>
              <w:shd w:val="clear"/>
              <w:spacing w:line="360" w:lineRule="auto"/>
              <w:jc w:val="center"/>
              <w:rPr>
                <w:rFonts w:hint="eastAsia" w:ascii="楷体" w:hAnsi="楷体" w:eastAsia="楷体" w:cs="楷体"/>
                <w:color w:val="auto"/>
                <w:sz w:val="24"/>
                <w:szCs w:val="24"/>
                <w:highlight w:val="none"/>
              </w:rPr>
            </w:pPr>
          </w:p>
        </w:tc>
        <w:tc>
          <w:tcPr>
            <w:tcW w:w="836" w:type="pct"/>
            <w:tcBorders>
              <w:top w:val="single" w:color="auto" w:sz="4" w:space="0"/>
              <w:left w:val="single" w:color="auto" w:sz="4" w:space="0"/>
              <w:bottom w:val="single" w:color="auto" w:sz="4" w:space="0"/>
              <w:right w:val="single" w:color="auto" w:sz="4" w:space="0"/>
            </w:tcBorders>
            <w:vAlign w:val="center"/>
          </w:tcPr>
          <w:p w14:paraId="519BA0A6">
            <w:pPr>
              <w:shd w:val="clear"/>
              <w:spacing w:line="360" w:lineRule="auto"/>
              <w:jc w:val="center"/>
              <w:rPr>
                <w:rFonts w:hint="eastAsia" w:ascii="楷体" w:hAnsi="楷体" w:eastAsia="楷体" w:cs="楷体"/>
                <w:color w:val="auto"/>
                <w:sz w:val="24"/>
                <w:szCs w:val="24"/>
                <w:highlight w:val="none"/>
              </w:rPr>
            </w:pPr>
          </w:p>
        </w:tc>
        <w:tc>
          <w:tcPr>
            <w:tcW w:w="1026" w:type="pct"/>
            <w:tcBorders>
              <w:top w:val="single" w:color="auto" w:sz="4" w:space="0"/>
              <w:left w:val="single" w:color="auto" w:sz="4" w:space="0"/>
              <w:bottom w:val="single" w:color="auto" w:sz="4" w:space="0"/>
              <w:right w:val="single" w:color="auto" w:sz="4" w:space="0"/>
            </w:tcBorders>
            <w:vAlign w:val="center"/>
          </w:tcPr>
          <w:p w14:paraId="6BC3C23D">
            <w:pPr>
              <w:shd w:val="clear"/>
              <w:spacing w:line="360" w:lineRule="auto"/>
              <w:jc w:val="center"/>
              <w:rPr>
                <w:rFonts w:hint="eastAsia" w:ascii="楷体" w:hAnsi="楷体" w:eastAsia="楷体" w:cs="楷体"/>
                <w:color w:val="auto"/>
                <w:sz w:val="24"/>
                <w:szCs w:val="24"/>
                <w:highlight w:val="none"/>
              </w:rPr>
            </w:pPr>
          </w:p>
        </w:tc>
      </w:tr>
      <w:tr w14:paraId="298E2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417" w:type="pct"/>
            <w:tcBorders>
              <w:top w:val="single" w:color="auto" w:sz="4" w:space="0"/>
              <w:left w:val="single" w:color="auto" w:sz="4" w:space="0"/>
              <w:bottom w:val="single" w:color="auto" w:sz="4" w:space="0"/>
              <w:right w:val="single" w:color="auto" w:sz="4" w:space="0"/>
            </w:tcBorders>
            <w:vAlign w:val="center"/>
          </w:tcPr>
          <w:p w14:paraId="6853C09A">
            <w:pPr>
              <w:shd w:val="clear"/>
              <w:spacing w:line="36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5</w:t>
            </w:r>
          </w:p>
        </w:tc>
        <w:tc>
          <w:tcPr>
            <w:tcW w:w="1615" w:type="pct"/>
            <w:tcBorders>
              <w:top w:val="single" w:color="auto" w:sz="4" w:space="0"/>
              <w:left w:val="single" w:color="auto" w:sz="4" w:space="0"/>
              <w:bottom w:val="single" w:color="auto" w:sz="4" w:space="0"/>
              <w:right w:val="single" w:color="auto" w:sz="4" w:space="0"/>
            </w:tcBorders>
            <w:vAlign w:val="center"/>
          </w:tcPr>
          <w:p w14:paraId="49EA39DB">
            <w:pPr>
              <w:shd w:val="clear"/>
              <w:spacing w:line="360" w:lineRule="auto"/>
              <w:jc w:val="center"/>
              <w:rPr>
                <w:rFonts w:hint="eastAsia" w:ascii="楷体" w:hAnsi="楷体" w:eastAsia="楷体" w:cs="楷体"/>
                <w:color w:val="auto"/>
                <w:sz w:val="24"/>
                <w:szCs w:val="24"/>
                <w:highlight w:val="none"/>
              </w:rPr>
            </w:pPr>
          </w:p>
        </w:tc>
        <w:tc>
          <w:tcPr>
            <w:tcW w:w="1104" w:type="pct"/>
            <w:tcBorders>
              <w:top w:val="single" w:color="auto" w:sz="4" w:space="0"/>
              <w:left w:val="single" w:color="auto" w:sz="4" w:space="0"/>
              <w:bottom w:val="single" w:color="auto" w:sz="4" w:space="0"/>
              <w:right w:val="single" w:color="auto" w:sz="4" w:space="0"/>
            </w:tcBorders>
            <w:vAlign w:val="center"/>
          </w:tcPr>
          <w:p w14:paraId="16D6B903">
            <w:pPr>
              <w:shd w:val="clear"/>
              <w:spacing w:line="360" w:lineRule="auto"/>
              <w:jc w:val="center"/>
              <w:rPr>
                <w:rFonts w:hint="eastAsia" w:ascii="楷体" w:hAnsi="楷体" w:eastAsia="楷体" w:cs="楷体"/>
                <w:color w:val="auto"/>
                <w:sz w:val="24"/>
                <w:szCs w:val="24"/>
                <w:highlight w:val="none"/>
              </w:rPr>
            </w:pPr>
          </w:p>
        </w:tc>
        <w:tc>
          <w:tcPr>
            <w:tcW w:w="836" w:type="pct"/>
            <w:tcBorders>
              <w:top w:val="single" w:color="auto" w:sz="4" w:space="0"/>
              <w:left w:val="single" w:color="auto" w:sz="4" w:space="0"/>
              <w:bottom w:val="single" w:color="auto" w:sz="4" w:space="0"/>
              <w:right w:val="single" w:color="auto" w:sz="4" w:space="0"/>
            </w:tcBorders>
            <w:vAlign w:val="center"/>
          </w:tcPr>
          <w:p w14:paraId="44B8DD88">
            <w:pPr>
              <w:shd w:val="clear"/>
              <w:spacing w:line="360" w:lineRule="auto"/>
              <w:jc w:val="center"/>
              <w:rPr>
                <w:rFonts w:hint="eastAsia" w:ascii="楷体" w:hAnsi="楷体" w:eastAsia="楷体" w:cs="楷体"/>
                <w:color w:val="auto"/>
                <w:sz w:val="24"/>
                <w:szCs w:val="24"/>
                <w:highlight w:val="none"/>
              </w:rPr>
            </w:pPr>
          </w:p>
        </w:tc>
        <w:tc>
          <w:tcPr>
            <w:tcW w:w="1026" w:type="pct"/>
            <w:tcBorders>
              <w:top w:val="single" w:color="auto" w:sz="4" w:space="0"/>
              <w:left w:val="single" w:color="auto" w:sz="4" w:space="0"/>
              <w:bottom w:val="single" w:color="auto" w:sz="4" w:space="0"/>
              <w:right w:val="single" w:color="auto" w:sz="4" w:space="0"/>
            </w:tcBorders>
            <w:vAlign w:val="center"/>
          </w:tcPr>
          <w:p w14:paraId="5D9F5FA9">
            <w:pPr>
              <w:shd w:val="clear"/>
              <w:spacing w:line="360" w:lineRule="auto"/>
              <w:jc w:val="center"/>
              <w:rPr>
                <w:rFonts w:hint="eastAsia" w:ascii="楷体" w:hAnsi="楷体" w:eastAsia="楷体" w:cs="楷体"/>
                <w:color w:val="auto"/>
                <w:sz w:val="24"/>
                <w:szCs w:val="24"/>
                <w:highlight w:val="none"/>
              </w:rPr>
            </w:pPr>
          </w:p>
        </w:tc>
      </w:tr>
      <w:tr w14:paraId="6EE5A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17" w:type="pct"/>
            <w:tcBorders>
              <w:top w:val="single" w:color="auto" w:sz="4" w:space="0"/>
              <w:left w:val="single" w:color="auto" w:sz="4" w:space="0"/>
              <w:bottom w:val="single" w:color="auto" w:sz="4" w:space="0"/>
              <w:right w:val="single" w:color="auto" w:sz="4" w:space="0"/>
            </w:tcBorders>
            <w:vAlign w:val="center"/>
          </w:tcPr>
          <w:p w14:paraId="5F53B2B6">
            <w:pPr>
              <w:shd w:val="clear"/>
              <w:spacing w:line="36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6</w:t>
            </w:r>
          </w:p>
        </w:tc>
        <w:tc>
          <w:tcPr>
            <w:tcW w:w="1615" w:type="pct"/>
            <w:tcBorders>
              <w:top w:val="single" w:color="auto" w:sz="4" w:space="0"/>
              <w:left w:val="single" w:color="auto" w:sz="4" w:space="0"/>
              <w:bottom w:val="single" w:color="auto" w:sz="4" w:space="0"/>
              <w:right w:val="single" w:color="auto" w:sz="4" w:space="0"/>
            </w:tcBorders>
            <w:vAlign w:val="center"/>
          </w:tcPr>
          <w:p w14:paraId="7171A97E">
            <w:pPr>
              <w:shd w:val="clear"/>
              <w:spacing w:line="360" w:lineRule="auto"/>
              <w:jc w:val="center"/>
              <w:rPr>
                <w:rFonts w:hint="eastAsia" w:ascii="楷体" w:hAnsi="楷体" w:eastAsia="楷体" w:cs="楷体"/>
                <w:color w:val="auto"/>
                <w:sz w:val="24"/>
                <w:szCs w:val="24"/>
                <w:highlight w:val="none"/>
              </w:rPr>
            </w:pPr>
          </w:p>
        </w:tc>
        <w:tc>
          <w:tcPr>
            <w:tcW w:w="1104" w:type="pct"/>
            <w:tcBorders>
              <w:top w:val="single" w:color="auto" w:sz="4" w:space="0"/>
              <w:left w:val="single" w:color="auto" w:sz="4" w:space="0"/>
              <w:bottom w:val="single" w:color="auto" w:sz="4" w:space="0"/>
              <w:right w:val="single" w:color="auto" w:sz="4" w:space="0"/>
            </w:tcBorders>
            <w:vAlign w:val="center"/>
          </w:tcPr>
          <w:p w14:paraId="3EBE90B3">
            <w:pPr>
              <w:shd w:val="clear"/>
              <w:spacing w:line="360" w:lineRule="auto"/>
              <w:jc w:val="center"/>
              <w:rPr>
                <w:rFonts w:hint="eastAsia" w:ascii="楷体" w:hAnsi="楷体" w:eastAsia="楷体" w:cs="楷体"/>
                <w:color w:val="auto"/>
                <w:sz w:val="24"/>
                <w:szCs w:val="24"/>
                <w:highlight w:val="none"/>
              </w:rPr>
            </w:pPr>
          </w:p>
        </w:tc>
        <w:tc>
          <w:tcPr>
            <w:tcW w:w="836" w:type="pct"/>
            <w:tcBorders>
              <w:top w:val="single" w:color="auto" w:sz="4" w:space="0"/>
              <w:left w:val="single" w:color="auto" w:sz="4" w:space="0"/>
              <w:bottom w:val="single" w:color="auto" w:sz="4" w:space="0"/>
              <w:right w:val="single" w:color="auto" w:sz="4" w:space="0"/>
            </w:tcBorders>
            <w:vAlign w:val="center"/>
          </w:tcPr>
          <w:p w14:paraId="130033EB">
            <w:pPr>
              <w:shd w:val="clear"/>
              <w:spacing w:line="360" w:lineRule="auto"/>
              <w:jc w:val="center"/>
              <w:rPr>
                <w:rFonts w:hint="eastAsia" w:ascii="楷体" w:hAnsi="楷体" w:eastAsia="楷体" w:cs="楷体"/>
                <w:color w:val="auto"/>
                <w:sz w:val="24"/>
                <w:szCs w:val="24"/>
                <w:highlight w:val="none"/>
              </w:rPr>
            </w:pPr>
          </w:p>
        </w:tc>
        <w:tc>
          <w:tcPr>
            <w:tcW w:w="1026" w:type="pct"/>
            <w:tcBorders>
              <w:top w:val="single" w:color="auto" w:sz="4" w:space="0"/>
              <w:left w:val="single" w:color="auto" w:sz="4" w:space="0"/>
              <w:bottom w:val="single" w:color="auto" w:sz="4" w:space="0"/>
              <w:right w:val="single" w:color="auto" w:sz="4" w:space="0"/>
            </w:tcBorders>
            <w:vAlign w:val="center"/>
          </w:tcPr>
          <w:p w14:paraId="71F2F4A6">
            <w:pPr>
              <w:shd w:val="clear"/>
              <w:spacing w:line="360" w:lineRule="auto"/>
              <w:jc w:val="center"/>
              <w:rPr>
                <w:rFonts w:hint="eastAsia" w:ascii="楷体" w:hAnsi="楷体" w:eastAsia="楷体" w:cs="楷体"/>
                <w:color w:val="auto"/>
                <w:sz w:val="24"/>
                <w:szCs w:val="24"/>
                <w:highlight w:val="none"/>
              </w:rPr>
            </w:pPr>
          </w:p>
        </w:tc>
      </w:tr>
      <w:tr w14:paraId="2A82C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417" w:type="pct"/>
            <w:tcBorders>
              <w:top w:val="single" w:color="auto" w:sz="4" w:space="0"/>
              <w:left w:val="single" w:color="auto" w:sz="4" w:space="0"/>
              <w:bottom w:val="single" w:color="auto" w:sz="4" w:space="0"/>
              <w:right w:val="single" w:color="auto" w:sz="4" w:space="0"/>
            </w:tcBorders>
            <w:vAlign w:val="center"/>
          </w:tcPr>
          <w:p w14:paraId="0D3698D6">
            <w:pPr>
              <w:shd w:val="clear"/>
              <w:spacing w:line="36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w:t>
            </w:r>
          </w:p>
        </w:tc>
        <w:tc>
          <w:tcPr>
            <w:tcW w:w="1615" w:type="pct"/>
            <w:tcBorders>
              <w:top w:val="single" w:color="auto" w:sz="4" w:space="0"/>
              <w:left w:val="single" w:color="auto" w:sz="4" w:space="0"/>
              <w:bottom w:val="single" w:color="auto" w:sz="4" w:space="0"/>
              <w:right w:val="single" w:color="auto" w:sz="4" w:space="0"/>
            </w:tcBorders>
            <w:vAlign w:val="center"/>
          </w:tcPr>
          <w:p w14:paraId="439889BE">
            <w:pPr>
              <w:shd w:val="clear"/>
              <w:spacing w:line="360" w:lineRule="auto"/>
              <w:jc w:val="center"/>
              <w:rPr>
                <w:rFonts w:hint="eastAsia" w:ascii="楷体" w:hAnsi="楷体" w:eastAsia="楷体" w:cs="楷体"/>
                <w:color w:val="auto"/>
                <w:sz w:val="24"/>
                <w:szCs w:val="24"/>
                <w:highlight w:val="none"/>
              </w:rPr>
            </w:pPr>
          </w:p>
        </w:tc>
        <w:tc>
          <w:tcPr>
            <w:tcW w:w="1104" w:type="pct"/>
            <w:tcBorders>
              <w:top w:val="single" w:color="auto" w:sz="4" w:space="0"/>
              <w:left w:val="single" w:color="auto" w:sz="4" w:space="0"/>
              <w:bottom w:val="single" w:color="auto" w:sz="4" w:space="0"/>
              <w:right w:val="single" w:color="auto" w:sz="4" w:space="0"/>
            </w:tcBorders>
            <w:vAlign w:val="center"/>
          </w:tcPr>
          <w:p w14:paraId="0213B0D8">
            <w:pPr>
              <w:shd w:val="clear"/>
              <w:spacing w:line="360" w:lineRule="auto"/>
              <w:jc w:val="center"/>
              <w:rPr>
                <w:rFonts w:hint="eastAsia" w:ascii="楷体" w:hAnsi="楷体" w:eastAsia="楷体" w:cs="楷体"/>
                <w:color w:val="auto"/>
                <w:sz w:val="24"/>
                <w:szCs w:val="24"/>
                <w:highlight w:val="none"/>
              </w:rPr>
            </w:pPr>
          </w:p>
        </w:tc>
        <w:tc>
          <w:tcPr>
            <w:tcW w:w="836" w:type="pct"/>
            <w:tcBorders>
              <w:top w:val="single" w:color="auto" w:sz="4" w:space="0"/>
              <w:left w:val="single" w:color="auto" w:sz="4" w:space="0"/>
              <w:bottom w:val="single" w:color="auto" w:sz="4" w:space="0"/>
              <w:right w:val="single" w:color="auto" w:sz="4" w:space="0"/>
            </w:tcBorders>
            <w:vAlign w:val="center"/>
          </w:tcPr>
          <w:p w14:paraId="072F699A">
            <w:pPr>
              <w:shd w:val="clear"/>
              <w:spacing w:line="360" w:lineRule="auto"/>
              <w:jc w:val="center"/>
              <w:rPr>
                <w:rFonts w:hint="eastAsia" w:ascii="楷体" w:hAnsi="楷体" w:eastAsia="楷体" w:cs="楷体"/>
                <w:color w:val="auto"/>
                <w:sz w:val="24"/>
                <w:szCs w:val="24"/>
                <w:highlight w:val="none"/>
              </w:rPr>
            </w:pPr>
          </w:p>
        </w:tc>
        <w:tc>
          <w:tcPr>
            <w:tcW w:w="1026" w:type="pct"/>
            <w:tcBorders>
              <w:top w:val="single" w:color="auto" w:sz="4" w:space="0"/>
              <w:left w:val="single" w:color="auto" w:sz="4" w:space="0"/>
              <w:bottom w:val="single" w:color="auto" w:sz="4" w:space="0"/>
              <w:right w:val="single" w:color="auto" w:sz="4" w:space="0"/>
            </w:tcBorders>
            <w:vAlign w:val="center"/>
          </w:tcPr>
          <w:p w14:paraId="5A74C7AF">
            <w:pPr>
              <w:shd w:val="clear"/>
              <w:spacing w:line="360" w:lineRule="auto"/>
              <w:jc w:val="center"/>
              <w:rPr>
                <w:rFonts w:hint="eastAsia" w:ascii="楷体" w:hAnsi="楷体" w:eastAsia="楷体" w:cs="楷体"/>
                <w:color w:val="auto"/>
                <w:sz w:val="24"/>
                <w:szCs w:val="24"/>
                <w:highlight w:val="none"/>
              </w:rPr>
            </w:pPr>
          </w:p>
        </w:tc>
      </w:tr>
    </w:tbl>
    <w:p w14:paraId="0CE8B11C">
      <w:pPr>
        <w:shd w:val="clear"/>
        <w:spacing w:line="500" w:lineRule="exact"/>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说明：</w:t>
      </w:r>
      <w:r>
        <w:rPr>
          <w:rFonts w:hint="eastAsia" w:ascii="楷体" w:hAnsi="楷体" w:eastAsia="楷体" w:cs="楷体"/>
          <w:b/>
          <w:bCs/>
          <w:color w:val="auto"/>
          <w:sz w:val="24"/>
          <w:szCs w:val="24"/>
          <w:highlight w:val="none"/>
          <w:lang w:eastAsia="zh-CN"/>
        </w:rPr>
        <w:t>此表可延展，</w:t>
      </w:r>
      <w:r>
        <w:rPr>
          <w:rFonts w:hint="eastAsia" w:ascii="楷体" w:hAnsi="楷体" w:eastAsia="楷体" w:cs="楷体"/>
          <w:b/>
          <w:bCs/>
          <w:color w:val="auto"/>
          <w:sz w:val="24"/>
          <w:szCs w:val="24"/>
          <w:highlight w:val="none"/>
        </w:rPr>
        <w:t>附业绩证明材料的复印件</w:t>
      </w:r>
      <w:r>
        <w:rPr>
          <w:rFonts w:hint="eastAsia" w:ascii="楷体" w:hAnsi="楷体" w:eastAsia="楷体" w:cs="楷体"/>
          <w:b/>
          <w:bCs/>
          <w:color w:val="auto"/>
          <w:sz w:val="24"/>
          <w:szCs w:val="24"/>
          <w:highlight w:val="none"/>
          <w:lang w:eastAsia="zh-CN"/>
        </w:rPr>
        <w:t>，</w:t>
      </w:r>
      <w:r>
        <w:rPr>
          <w:rFonts w:hint="eastAsia" w:ascii="楷体" w:hAnsi="楷体" w:eastAsia="楷体" w:cs="楷体"/>
          <w:b/>
          <w:bCs/>
          <w:color w:val="auto"/>
          <w:sz w:val="24"/>
          <w:szCs w:val="24"/>
          <w:highlight w:val="none"/>
          <w:lang w:val="en-US" w:eastAsia="zh-CN"/>
        </w:rPr>
        <w:t>中标通知书或合同</w:t>
      </w:r>
      <w:r>
        <w:rPr>
          <w:rFonts w:hint="eastAsia" w:ascii="楷体" w:hAnsi="楷体" w:eastAsia="楷体" w:cs="楷体"/>
          <w:b/>
          <w:bCs/>
          <w:color w:val="auto"/>
          <w:sz w:val="24"/>
          <w:szCs w:val="24"/>
          <w:highlight w:val="none"/>
        </w:rPr>
        <w:t>。</w:t>
      </w:r>
    </w:p>
    <w:p w14:paraId="0546AE04">
      <w:pPr>
        <w:shd w:val="clear"/>
        <w:spacing w:before="156" w:beforeLines="50" w:line="600" w:lineRule="exact"/>
        <w:ind w:firstLine="2" w:firstLineChars="1"/>
        <w:jc w:val="left"/>
        <w:textAlignment w:val="baseline"/>
        <w:rPr>
          <w:rFonts w:hint="eastAsia" w:ascii="楷体" w:hAnsi="楷体" w:eastAsia="楷体" w:cs="楷体"/>
          <w:color w:val="auto"/>
          <w:sz w:val="24"/>
          <w:szCs w:val="24"/>
          <w:highlight w:val="none"/>
        </w:rPr>
      </w:pPr>
    </w:p>
    <w:p w14:paraId="4DAF4335">
      <w:pPr>
        <w:shd w:val="clear"/>
        <w:spacing w:before="156" w:beforeLines="50" w:line="600" w:lineRule="exact"/>
        <w:ind w:firstLine="2" w:firstLineChars="1"/>
        <w:jc w:val="left"/>
        <w:textAlignment w:val="baseline"/>
        <w:rPr>
          <w:rFonts w:hint="eastAsia" w:ascii="楷体" w:hAnsi="楷体" w:eastAsia="楷体" w:cs="楷体"/>
          <w:color w:val="auto"/>
          <w:sz w:val="24"/>
          <w:szCs w:val="24"/>
          <w:highlight w:val="none"/>
        </w:rPr>
      </w:pPr>
    </w:p>
    <w:p w14:paraId="02557104">
      <w:pPr>
        <w:shd w:val="clear"/>
        <w:spacing w:line="480" w:lineRule="exact"/>
        <w:ind w:firstLine="480"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供应商(</w:t>
      </w:r>
      <w:r>
        <w:rPr>
          <w:rFonts w:hint="eastAsia" w:ascii="楷体" w:hAnsi="楷体" w:eastAsia="楷体" w:cs="楷体"/>
          <w:color w:val="auto"/>
          <w:sz w:val="24"/>
          <w:highlight w:val="none"/>
          <w:lang w:eastAsia="zh-CN"/>
        </w:rPr>
        <w:t>电子签章</w:t>
      </w:r>
      <w:r>
        <w:rPr>
          <w:rFonts w:hint="eastAsia" w:ascii="楷体" w:hAnsi="楷体" w:eastAsia="楷体" w:cs="楷体"/>
          <w:color w:val="auto"/>
          <w:sz w:val="24"/>
          <w:highlight w:val="none"/>
        </w:rPr>
        <w:t>)：</w:t>
      </w:r>
    </w:p>
    <w:p w14:paraId="636B8302">
      <w:pPr>
        <w:shd w:val="clear"/>
        <w:spacing w:line="480" w:lineRule="exact"/>
        <w:ind w:firstLine="480"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日期：     年      月      日</w:t>
      </w:r>
    </w:p>
    <w:p w14:paraId="26457443">
      <w:pPr>
        <w:shd w:val="clear"/>
        <w:rPr>
          <w:rFonts w:hint="eastAsia" w:ascii="楷体" w:hAnsi="楷体" w:eastAsia="楷体" w:cs="楷体"/>
          <w:color w:val="auto"/>
          <w:highlight w:val="none"/>
        </w:rPr>
      </w:pPr>
      <w:r>
        <w:rPr>
          <w:rFonts w:hint="eastAsia" w:ascii="楷体" w:hAnsi="楷体" w:eastAsia="楷体" w:cs="楷体"/>
          <w:color w:val="auto"/>
          <w:highlight w:val="none"/>
        </w:rPr>
        <w:br w:type="page"/>
      </w:r>
    </w:p>
    <w:p w14:paraId="65FCE23C">
      <w:pPr>
        <w:pStyle w:val="7"/>
        <w:shd w:val="clear"/>
        <w:rPr>
          <w:rFonts w:hint="eastAsia" w:ascii="楷体" w:hAnsi="楷体" w:eastAsia="楷体" w:cs="楷体"/>
          <w:color w:val="auto"/>
          <w:highlight w:val="none"/>
        </w:rPr>
      </w:pPr>
    </w:p>
    <w:p w14:paraId="1AC6633F">
      <w:pPr>
        <w:shd w:val="clear"/>
        <w:jc w:val="center"/>
        <w:outlineLvl w:val="2"/>
        <w:rPr>
          <w:rFonts w:hint="eastAsia" w:ascii="楷体" w:hAnsi="楷体" w:eastAsia="楷体" w:cs="楷体"/>
          <w:b/>
          <w:color w:val="auto"/>
          <w:kern w:val="0"/>
          <w:sz w:val="28"/>
          <w:szCs w:val="28"/>
          <w:highlight w:val="none"/>
          <w:lang w:val="en-US" w:eastAsia="zh-CN"/>
        </w:rPr>
      </w:pPr>
      <w:bookmarkStart w:id="119" w:name="_Toc2973"/>
      <w:r>
        <w:rPr>
          <w:rFonts w:hint="eastAsia" w:ascii="楷体" w:hAnsi="楷体" w:eastAsia="楷体" w:cs="楷体"/>
          <w:b/>
          <w:color w:val="auto"/>
          <w:kern w:val="0"/>
          <w:sz w:val="28"/>
          <w:szCs w:val="28"/>
          <w:highlight w:val="none"/>
          <w:lang w:val="en-US" w:eastAsia="zh-CN"/>
        </w:rPr>
        <w:t>六、人员配备情况表</w:t>
      </w:r>
      <w:bookmarkEnd w:id="119"/>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7"/>
        <w:gridCol w:w="1860"/>
        <w:gridCol w:w="1740"/>
        <w:gridCol w:w="2649"/>
        <w:gridCol w:w="1914"/>
      </w:tblGrid>
      <w:tr w14:paraId="42A79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407" w:type="dxa"/>
            <w:vAlign w:val="center"/>
          </w:tcPr>
          <w:p w14:paraId="55378488">
            <w:pPr>
              <w:shd w:val="clear"/>
              <w:jc w:val="center"/>
              <w:rPr>
                <w:rFonts w:hint="eastAsia" w:ascii="楷体" w:hAnsi="楷体" w:eastAsia="楷体" w:cs="楷体"/>
                <w:b/>
                <w:bCs/>
                <w:color w:val="auto"/>
                <w:sz w:val="24"/>
                <w:szCs w:val="24"/>
                <w:highlight w:val="none"/>
                <w:vertAlign w:val="baseline"/>
                <w:lang w:eastAsia="zh-CN"/>
              </w:rPr>
            </w:pPr>
            <w:r>
              <w:rPr>
                <w:rFonts w:hint="eastAsia" w:ascii="楷体" w:hAnsi="楷体" w:eastAsia="楷体" w:cs="楷体"/>
                <w:b/>
                <w:bCs/>
                <w:color w:val="auto"/>
                <w:sz w:val="24"/>
                <w:szCs w:val="24"/>
                <w:highlight w:val="none"/>
                <w:vertAlign w:val="baseline"/>
                <w:lang w:eastAsia="zh-CN"/>
              </w:rPr>
              <w:t>职务</w:t>
            </w:r>
          </w:p>
        </w:tc>
        <w:tc>
          <w:tcPr>
            <w:tcW w:w="1860" w:type="dxa"/>
            <w:vAlign w:val="center"/>
          </w:tcPr>
          <w:p w14:paraId="7FF30307">
            <w:pPr>
              <w:shd w:val="clear"/>
              <w:jc w:val="center"/>
              <w:rPr>
                <w:rFonts w:hint="eastAsia" w:ascii="楷体" w:hAnsi="楷体" w:eastAsia="楷体" w:cs="楷体"/>
                <w:b/>
                <w:bCs/>
                <w:color w:val="auto"/>
                <w:sz w:val="24"/>
                <w:szCs w:val="24"/>
                <w:highlight w:val="none"/>
                <w:vertAlign w:val="baseline"/>
                <w:lang w:eastAsia="zh-CN"/>
              </w:rPr>
            </w:pPr>
            <w:r>
              <w:rPr>
                <w:rFonts w:hint="eastAsia" w:ascii="楷体" w:hAnsi="楷体" w:eastAsia="楷体" w:cs="楷体"/>
                <w:b/>
                <w:bCs/>
                <w:color w:val="auto"/>
                <w:sz w:val="24"/>
                <w:szCs w:val="24"/>
                <w:highlight w:val="none"/>
                <w:vertAlign w:val="baseline"/>
                <w:lang w:eastAsia="zh-CN"/>
              </w:rPr>
              <w:t>姓名</w:t>
            </w:r>
          </w:p>
        </w:tc>
        <w:tc>
          <w:tcPr>
            <w:tcW w:w="1740" w:type="dxa"/>
            <w:vAlign w:val="center"/>
          </w:tcPr>
          <w:p w14:paraId="63887390">
            <w:pPr>
              <w:shd w:val="clear"/>
              <w:jc w:val="center"/>
              <w:rPr>
                <w:rFonts w:hint="eastAsia" w:ascii="楷体" w:hAnsi="楷体" w:eastAsia="楷体" w:cs="楷体"/>
                <w:b/>
                <w:bCs/>
                <w:color w:val="auto"/>
                <w:sz w:val="24"/>
                <w:szCs w:val="24"/>
                <w:highlight w:val="none"/>
                <w:vertAlign w:val="baseline"/>
                <w:lang w:eastAsia="zh-CN"/>
              </w:rPr>
            </w:pPr>
            <w:r>
              <w:rPr>
                <w:rFonts w:hint="eastAsia" w:ascii="楷体" w:hAnsi="楷体" w:eastAsia="楷体" w:cs="楷体"/>
                <w:b/>
                <w:bCs/>
                <w:color w:val="auto"/>
                <w:sz w:val="24"/>
                <w:szCs w:val="24"/>
                <w:highlight w:val="none"/>
                <w:vertAlign w:val="baseline"/>
                <w:lang w:eastAsia="zh-CN"/>
              </w:rPr>
              <w:t>年龄</w:t>
            </w:r>
          </w:p>
        </w:tc>
        <w:tc>
          <w:tcPr>
            <w:tcW w:w="2649" w:type="dxa"/>
            <w:vAlign w:val="center"/>
          </w:tcPr>
          <w:p w14:paraId="3F7BA3D7">
            <w:pPr>
              <w:shd w:val="clear"/>
              <w:jc w:val="center"/>
              <w:rPr>
                <w:rFonts w:hint="eastAsia" w:ascii="楷体" w:hAnsi="楷体" w:eastAsia="楷体" w:cs="楷体"/>
                <w:b/>
                <w:bCs/>
                <w:color w:val="auto"/>
                <w:sz w:val="24"/>
                <w:szCs w:val="24"/>
                <w:highlight w:val="none"/>
                <w:vertAlign w:val="baseline"/>
                <w:lang w:eastAsia="zh-CN"/>
              </w:rPr>
            </w:pPr>
            <w:r>
              <w:rPr>
                <w:rFonts w:hint="eastAsia" w:ascii="楷体" w:hAnsi="楷体" w:eastAsia="楷体" w:cs="楷体"/>
                <w:b/>
                <w:bCs/>
                <w:color w:val="auto"/>
                <w:sz w:val="24"/>
                <w:szCs w:val="24"/>
                <w:highlight w:val="none"/>
                <w:vertAlign w:val="baseline"/>
                <w:lang w:eastAsia="zh-CN"/>
              </w:rPr>
              <w:t>工作年限</w:t>
            </w:r>
          </w:p>
        </w:tc>
        <w:tc>
          <w:tcPr>
            <w:tcW w:w="1914" w:type="dxa"/>
            <w:vAlign w:val="center"/>
          </w:tcPr>
          <w:p w14:paraId="63758659">
            <w:pPr>
              <w:shd w:val="clear"/>
              <w:jc w:val="center"/>
              <w:rPr>
                <w:rFonts w:hint="eastAsia" w:ascii="楷体" w:hAnsi="楷体" w:eastAsia="楷体" w:cs="楷体"/>
                <w:b/>
                <w:bCs/>
                <w:color w:val="auto"/>
                <w:sz w:val="24"/>
                <w:szCs w:val="24"/>
                <w:highlight w:val="none"/>
                <w:vertAlign w:val="baseline"/>
                <w:lang w:eastAsia="zh-CN"/>
              </w:rPr>
            </w:pPr>
            <w:r>
              <w:rPr>
                <w:rFonts w:hint="eastAsia" w:ascii="楷体" w:hAnsi="楷体" w:eastAsia="楷体" w:cs="楷体"/>
                <w:b/>
                <w:bCs/>
                <w:color w:val="auto"/>
                <w:sz w:val="24"/>
                <w:szCs w:val="24"/>
                <w:highlight w:val="none"/>
                <w:vertAlign w:val="baseline"/>
                <w:lang w:eastAsia="zh-CN"/>
              </w:rPr>
              <w:t>备注</w:t>
            </w:r>
          </w:p>
        </w:tc>
      </w:tr>
      <w:tr w14:paraId="48099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407" w:type="dxa"/>
            <w:vAlign w:val="center"/>
          </w:tcPr>
          <w:p w14:paraId="613BC860">
            <w:pPr>
              <w:shd w:val="clear"/>
              <w:jc w:val="center"/>
              <w:rPr>
                <w:rFonts w:hint="eastAsia" w:ascii="楷体" w:hAnsi="楷体" w:eastAsia="楷体" w:cs="楷体"/>
                <w:color w:val="auto"/>
                <w:highlight w:val="none"/>
                <w:vertAlign w:val="baseline"/>
              </w:rPr>
            </w:pPr>
          </w:p>
        </w:tc>
        <w:tc>
          <w:tcPr>
            <w:tcW w:w="1860" w:type="dxa"/>
            <w:vAlign w:val="center"/>
          </w:tcPr>
          <w:p w14:paraId="4C5D73CC">
            <w:pPr>
              <w:shd w:val="clear"/>
              <w:jc w:val="center"/>
              <w:rPr>
                <w:rFonts w:hint="eastAsia" w:ascii="楷体" w:hAnsi="楷体" w:eastAsia="楷体" w:cs="楷体"/>
                <w:color w:val="auto"/>
                <w:highlight w:val="none"/>
                <w:vertAlign w:val="baseline"/>
              </w:rPr>
            </w:pPr>
          </w:p>
        </w:tc>
        <w:tc>
          <w:tcPr>
            <w:tcW w:w="1740" w:type="dxa"/>
            <w:vAlign w:val="center"/>
          </w:tcPr>
          <w:p w14:paraId="789F42E0">
            <w:pPr>
              <w:shd w:val="clear"/>
              <w:jc w:val="center"/>
              <w:rPr>
                <w:rFonts w:hint="eastAsia" w:ascii="楷体" w:hAnsi="楷体" w:eastAsia="楷体" w:cs="楷体"/>
                <w:color w:val="auto"/>
                <w:highlight w:val="none"/>
                <w:vertAlign w:val="baseline"/>
              </w:rPr>
            </w:pPr>
          </w:p>
        </w:tc>
        <w:tc>
          <w:tcPr>
            <w:tcW w:w="2649" w:type="dxa"/>
            <w:vAlign w:val="center"/>
          </w:tcPr>
          <w:p w14:paraId="6066EC9D">
            <w:pPr>
              <w:shd w:val="clear"/>
              <w:jc w:val="center"/>
              <w:rPr>
                <w:rFonts w:hint="eastAsia" w:ascii="楷体" w:hAnsi="楷体" w:eastAsia="楷体" w:cs="楷体"/>
                <w:color w:val="auto"/>
                <w:highlight w:val="none"/>
                <w:vertAlign w:val="baseline"/>
              </w:rPr>
            </w:pPr>
          </w:p>
        </w:tc>
        <w:tc>
          <w:tcPr>
            <w:tcW w:w="1914" w:type="dxa"/>
            <w:vAlign w:val="center"/>
          </w:tcPr>
          <w:p w14:paraId="055BF54B">
            <w:pPr>
              <w:shd w:val="clear"/>
              <w:jc w:val="center"/>
              <w:rPr>
                <w:rFonts w:hint="eastAsia" w:ascii="楷体" w:hAnsi="楷体" w:eastAsia="楷体" w:cs="楷体"/>
                <w:color w:val="auto"/>
                <w:highlight w:val="none"/>
                <w:vertAlign w:val="baseline"/>
              </w:rPr>
            </w:pPr>
          </w:p>
        </w:tc>
      </w:tr>
      <w:tr w14:paraId="55C5A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1407" w:type="dxa"/>
            <w:vAlign w:val="center"/>
          </w:tcPr>
          <w:p w14:paraId="3E7A7DF6">
            <w:pPr>
              <w:shd w:val="clear"/>
              <w:jc w:val="center"/>
              <w:rPr>
                <w:rFonts w:hint="eastAsia" w:ascii="楷体" w:hAnsi="楷体" w:eastAsia="楷体" w:cs="楷体"/>
                <w:color w:val="auto"/>
                <w:highlight w:val="none"/>
                <w:vertAlign w:val="baseline"/>
              </w:rPr>
            </w:pPr>
          </w:p>
        </w:tc>
        <w:tc>
          <w:tcPr>
            <w:tcW w:w="1860" w:type="dxa"/>
            <w:vAlign w:val="center"/>
          </w:tcPr>
          <w:p w14:paraId="152E6B54">
            <w:pPr>
              <w:shd w:val="clear"/>
              <w:jc w:val="center"/>
              <w:rPr>
                <w:rFonts w:hint="eastAsia" w:ascii="楷体" w:hAnsi="楷体" w:eastAsia="楷体" w:cs="楷体"/>
                <w:color w:val="auto"/>
                <w:highlight w:val="none"/>
                <w:vertAlign w:val="baseline"/>
              </w:rPr>
            </w:pPr>
          </w:p>
        </w:tc>
        <w:tc>
          <w:tcPr>
            <w:tcW w:w="1740" w:type="dxa"/>
            <w:vAlign w:val="center"/>
          </w:tcPr>
          <w:p w14:paraId="5E283F0D">
            <w:pPr>
              <w:shd w:val="clear"/>
              <w:jc w:val="center"/>
              <w:rPr>
                <w:rFonts w:hint="eastAsia" w:ascii="楷体" w:hAnsi="楷体" w:eastAsia="楷体" w:cs="楷体"/>
                <w:color w:val="auto"/>
                <w:highlight w:val="none"/>
                <w:vertAlign w:val="baseline"/>
              </w:rPr>
            </w:pPr>
          </w:p>
        </w:tc>
        <w:tc>
          <w:tcPr>
            <w:tcW w:w="2649" w:type="dxa"/>
            <w:vAlign w:val="center"/>
          </w:tcPr>
          <w:p w14:paraId="450A6849">
            <w:pPr>
              <w:shd w:val="clear"/>
              <w:jc w:val="center"/>
              <w:rPr>
                <w:rFonts w:hint="eastAsia" w:ascii="楷体" w:hAnsi="楷体" w:eastAsia="楷体" w:cs="楷体"/>
                <w:color w:val="auto"/>
                <w:highlight w:val="none"/>
                <w:vertAlign w:val="baseline"/>
              </w:rPr>
            </w:pPr>
          </w:p>
        </w:tc>
        <w:tc>
          <w:tcPr>
            <w:tcW w:w="1914" w:type="dxa"/>
            <w:vAlign w:val="center"/>
          </w:tcPr>
          <w:p w14:paraId="1D96CC44">
            <w:pPr>
              <w:shd w:val="clear"/>
              <w:jc w:val="center"/>
              <w:rPr>
                <w:rFonts w:hint="eastAsia" w:ascii="楷体" w:hAnsi="楷体" w:eastAsia="楷体" w:cs="楷体"/>
                <w:color w:val="auto"/>
                <w:highlight w:val="none"/>
                <w:vertAlign w:val="baseline"/>
              </w:rPr>
            </w:pPr>
          </w:p>
        </w:tc>
      </w:tr>
      <w:tr w14:paraId="04A2C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407" w:type="dxa"/>
            <w:vAlign w:val="center"/>
          </w:tcPr>
          <w:p w14:paraId="7FB7A21D">
            <w:pPr>
              <w:shd w:val="clear"/>
              <w:jc w:val="center"/>
              <w:rPr>
                <w:rFonts w:hint="eastAsia" w:ascii="楷体" w:hAnsi="楷体" w:eastAsia="楷体" w:cs="楷体"/>
                <w:color w:val="auto"/>
                <w:highlight w:val="none"/>
                <w:vertAlign w:val="baseline"/>
              </w:rPr>
            </w:pPr>
          </w:p>
        </w:tc>
        <w:tc>
          <w:tcPr>
            <w:tcW w:w="1860" w:type="dxa"/>
            <w:vAlign w:val="center"/>
          </w:tcPr>
          <w:p w14:paraId="2F7BB6CC">
            <w:pPr>
              <w:shd w:val="clear"/>
              <w:jc w:val="center"/>
              <w:rPr>
                <w:rFonts w:hint="eastAsia" w:ascii="楷体" w:hAnsi="楷体" w:eastAsia="楷体" w:cs="楷体"/>
                <w:color w:val="auto"/>
                <w:highlight w:val="none"/>
                <w:vertAlign w:val="baseline"/>
              </w:rPr>
            </w:pPr>
          </w:p>
        </w:tc>
        <w:tc>
          <w:tcPr>
            <w:tcW w:w="1740" w:type="dxa"/>
            <w:vAlign w:val="center"/>
          </w:tcPr>
          <w:p w14:paraId="7E2DDE43">
            <w:pPr>
              <w:shd w:val="clear"/>
              <w:jc w:val="center"/>
              <w:rPr>
                <w:rFonts w:hint="eastAsia" w:ascii="楷体" w:hAnsi="楷体" w:eastAsia="楷体" w:cs="楷体"/>
                <w:color w:val="auto"/>
                <w:highlight w:val="none"/>
                <w:vertAlign w:val="baseline"/>
              </w:rPr>
            </w:pPr>
          </w:p>
        </w:tc>
        <w:tc>
          <w:tcPr>
            <w:tcW w:w="2649" w:type="dxa"/>
            <w:vAlign w:val="center"/>
          </w:tcPr>
          <w:p w14:paraId="0A23873B">
            <w:pPr>
              <w:shd w:val="clear"/>
              <w:jc w:val="center"/>
              <w:rPr>
                <w:rFonts w:hint="eastAsia" w:ascii="楷体" w:hAnsi="楷体" w:eastAsia="楷体" w:cs="楷体"/>
                <w:color w:val="auto"/>
                <w:highlight w:val="none"/>
                <w:vertAlign w:val="baseline"/>
              </w:rPr>
            </w:pPr>
          </w:p>
        </w:tc>
        <w:tc>
          <w:tcPr>
            <w:tcW w:w="1914" w:type="dxa"/>
            <w:vAlign w:val="center"/>
          </w:tcPr>
          <w:p w14:paraId="21A54A0C">
            <w:pPr>
              <w:shd w:val="clear"/>
              <w:jc w:val="center"/>
              <w:rPr>
                <w:rFonts w:hint="eastAsia" w:ascii="楷体" w:hAnsi="楷体" w:eastAsia="楷体" w:cs="楷体"/>
                <w:color w:val="auto"/>
                <w:highlight w:val="none"/>
                <w:vertAlign w:val="baseline"/>
              </w:rPr>
            </w:pPr>
          </w:p>
        </w:tc>
      </w:tr>
      <w:tr w14:paraId="31298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1407" w:type="dxa"/>
            <w:vAlign w:val="center"/>
          </w:tcPr>
          <w:p w14:paraId="6F5E0778">
            <w:pPr>
              <w:shd w:val="clear"/>
              <w:jc w:val="center"/>
              <w:rPr>
                <w:rFonts w:hint="eastAsia" w:ascii="楷体" w:hAnsi="楷体" w:eastAsia="楷体" w:cs="楷体"/>
                <w:color w:val="auto"/>
                <w:highlight w:val="none"/>
                <w:vertAlign w:val="baseline"/>
              </w:rPr>
            </w:pPr>
          </w:p>
        </w:tc>
        <w:tc>
          <w:tcPr>
            <w:tcW w:w="1860" w:type="dxa"/>
            <w:vAlign w:val="center"/>
          </w:tcPr>
          <w:p w14:paraId="78C0AC6F">
            <w:pPr>
              <w:shd w:val="clear"/>
              <w:jc w:val="center"/>
              <w:rPr>
                <w:rFonts w:hint="eastAsia" w:ascii="楷体" w:hAnsi="楷体" w:eastAsia="楷体" w:cs="楷体"/>
                <w:color w:val="auto"/>
                <w:highlight w:val="none"/>
                <w:vertAlign w:val="baseline"/>
              </w:rPr>
            </w:pPr>
          </w:p>
        </w:tc>
        <w:tc>
          <w:tcPr>
            <w:tcW w:w="1740" w:type="dxa"/>
            <w:vAlign w:val="center"/>
          </w:tcPr>
          <w:p w14:paraId="04ED9E15">
            <w:pPr>
              <w:shd w:val="clear"/>
              <w:jc w:val="center"/>
              <w:rPr>
                <w:rFonts w:hint="eastAsia" w:ascii="楷体" w:hAnsi="楷体" w:eastAsia="楷体" w:cs="楷体"/>
                <w:color w:val="auto"/>
                <w:highlight w:val="none"/>
                <w:vertAlign w:val="baseline"/>
              </w:rPr>
            </w:pPr>
          </w:p>
        </w:tc>
        <w:tc>
          <w:tcPr>
            <w:tcW w:w="2649" w:type="dxa"/>
            <w:vAlign w:val="center"/>
          </w:tcPr>
          <w:p w14:paraId="4AC5FA7E">
            <w:pPr>
              <w:shd w:val="clear"/>
              <w:jc w:val="center"/>
              <w:rPr>
                <w:rFonts w:hint="eastAsia" w:ascii="楷体" w:hAnsi="楷体" w:eastAsia="楷体" w:cs="楷体"/>
                <w:color w:val="auto"/>
                <w:highlight w:val="none"/>
                <w:vertAlign w:val="baseline"/>
              </w:rPr>
            </w:pPr>
          </w:p>
        </w:tc>
        <w:tc>
          <w:tcPr>
            <w:tcW w:w="1914" w:type="dxa"/>
            <w:vAlign w:val="center"/>
          </w:tcPr>
          <w:p w14:paraId="6CB22C23">
            <w:pPr>
              <w:shd w:val="clear"/>
              <w:jc w:val="center"/>
              <w:rPr>
                <w:rFonts w:hint="eastAsia" w:ascii="楷体" w:hAnsi="楷体" w:eastAsia="楷体" w:cs="楷体"/>
                <w:color w:val="auto"/>
                <w:highlight w:val="none"/>
                <w:vertAlign w:val="baseline"/>
              </w:rPr>
            </w:pPr>
          </w:p>
        </w:tc>
      </w:tr>
      <w:tr w14:paraId="42E52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1407" w:type="dxa"/>
            <w:vAlign w:val="center"/>
          </w:tcPr>
          <w:p w14:paraId="5E2916A6">
            <w:pPr>
              <w:shd w:val="clear"/>
              <w:jc w:val="center"/>
              <w:rPr>
                <w:rFonts w:hint="eastAsia" w:ascii="楷体" w:hAnsi="楷体" w:eastAsia="楷体" w:cs="楷体"/>
                <w:color w:val="auto"/>
                <w:highlight w:val="none"/>
                <w:vertAlign w:val="baseline"/>
              </w:rPr>
            </w:pPr>
          </w:p>
        </w:tc>
        <w:tc>
          <w:tcPr>
            <w:tcW w:w="1860" w:type="dxa"/>
            <w:vAlign w:val="center"/>
          </w:tcPr>
          <w:p w14:paraId="15DECAB4">
            <w:pPr>
              <w:shd w:val="clear"/>
              <w:jc w:val="center"/>
              <w:rPr>
                <w:rFonts w:hint="eastAsia" w:ascii="楷体" w:hAnsi="楷体" w:eastAsia="楷体" w:cs="楷体"/>
                <w:color w:val="auto"/>
                <w:highlight w:val="none"/>
                <w:vertAlign w:val="baseline"/>
              </w:rPr>
            </w:pPr>
          </w:p>
        </w:tc>
        <w:tc>
          <w:tcPr>
            <w:tcW w:w="1740" w:type="dxa"/>
            <w:vAlign w:val="center"/>
          </w:tcPr>
          <w:p w14:paraId="61E4E976">
            <w:pPr>
              <w:shd w:val="clear"/>
              <w:jc w:val="center"/>
              <w:rPr>
                <w:rFonts w:hint="eastAsia" w:ascii="楷体" w:hAnsi="楷体" w:eastAsia="楷体" w:cs="楷体"/>
                <w:color w:val="auto"/>
                <w:highlight w:val="none"/>
                <w:vertAlign w:val="baseline"/>
              </w:rPr>
            </w:pPr>
          </w:p>
        </w:tc>
        <w:tc>
          <w:tcPr>
            <w:tcW w:w="2649" w:type="dxa"/>
            <w:vAlign w:val="center"/>
          </w:tcPr>
          <w:p w14:paraId="227B1B84">
            <w:pPr>
              <w:shd w:val="clear"/>
              <w:jc w:val="center"/>
              <w:rPr>
                <w:rFonts w:hint="eastAsia" w:ascii="楷体" w:hAnsi="楷体" w:eastAsia="楷体" w:cs="楷体"/>
                <w:color w:val="auto"/>
                <w:highlight w:val="none"/>
                <w:vertAlign w:val="baseline"/>
              </w:rPr>
            </w:pPr>
          </w:p>
        </w:tc>
        <w:tc>
          <w:tcPr>
            <w:tcW w:w="1914" w:type="dxa"/>
            <w:vAlign w:val="center"/>
          </w:tcPr>
          <w:p w14:paraId="6EEF3B33">
            <w:pPr>
              <w:shd w:val="clear"/>
              <w:jc w:val="center"/>
              <w:rPr>
                <w:rFonts w:hint="eastAsia" w:ascii="楷体" w:hAnsi="楷体" w:eastAsia="楷体" w:cs="楷体"/>
                <w:color w:val="auto"/>
                <w:highlight w:val="none"/>
                <w:vertAlign w:val="baseline"/>
              </w:rPr>
            </w:pPr>
          </w:p>
        </w:tc>
      </w:tr>
    </w:tbl>
    <w:p w14:paraId="5C15F62F">
      <w:pPr>
        <w:shd w:val="clear"/>
        <w:rPr>
          <w:rFonts w:hint="eastAsia" w:ascii="楷体" w:hAnsi="楷体" w:eastAsia="楷体" w:cs="楷体"/>
          <w:color w:val="auto"/>
          <w:highlight w:val="none"/>
        </w:rPr>
      </w:pPr>
    </w:p>
    <w:p w14:paraId="41AF3303">
      <w:pPr>
        <w:shd w:val="clear"/>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说明：</w:t>
      </w:r>
      <w:r>
        <w:rPr>
          <w:rFonts w:hint="eastAsia" w:ascii="楷体" w:hAnsi="楷体" w:eastAsia="楷体" w:cs="楷体"/>
          <w:b/>
          <w:bCs/>
          <w:color w:val="auto"/>
          <w:sz w:val="24"/>
          <w:szCs w:val="24"/>
          <w:highlight w:val="none"/>
          <w:lang w:eastAsia="zh-CN"/>
        </w:rPr>
        <w:t>此表可根据填写内容进行延展，</w:t>
      </w:r>
      <w:r>
        <w:rPr>
          <w:rFonts w:hint="eastAsia" w:ascii="楷体" w:hAnsi="楷体" w:eastAsia="楷体" w:cs="楷体"/>
          <w:b/>
          <w:bCs/>
          <w:color w:val="auto"/>
          <w:sz w:val="24"/>
          <w:szCs w:val="24"/>
          <w:highlight w:val="none"/>
        </w:rPr>
        <w:t>附</w:t>
      </w:r>
      <w:r>
        <w:rPr>
          <w:rFonts w:hint="eastAsia" w:ascii="楷体" w:hAnsi="楷体" w:eastAsia="楷体" w:cs="楷体"/>
          <w:b/>
          <w:bCs/>
          <w:color w:val="auto"/>
          <w:sz w:val="24"/>
          <w:szCs w:val="24"/>
          <w:highlight w:val="none"/>
          <w:lang w:val="en-US" w:eastAsia="zh-CN"/>
        </w:rPr>
        <w:t>相关</w:t>
      </w:r>
      <w:r>
        <w:rPr>
          <w:rFonts w:hint="eastAsia" w:ascii="楷体" w:hAnsi="楷体" w:eastAsia="楷体" w:cs="楷体"/>
          <w:b/>
          <w:bCs/>
          <w:color w:val="auto"/>
          <w:sz w:val="24"/>
          <w:szCs w:val="24"/>
          <w:highlight w:val="none"/>
        </w:rPr>
        <w:t>证明材料的复印件</w:t>
      </w:r>
      <w:r>
        <w:rPr>
          <w:rFonts w:hint="eastAsia" w:ascii="楷体" w:hAnsi="楷体" w:eastAsia="楷体" w:cs="楷体"/>
          <w:b/>
          <w:bCs/>
          <w:color w:val="auto"/>
          <w:sz w:val="24"/>
          <w:szCs w:val="24"/>
          <w:highlight w:val="none"/>
          <w:lang w:val="en-US" w:eastAsia="zh-CN"/>
        </w:rPr>
        <w:t>。</w:t>
      </w:r>
    </w:p>
    <w:p w14:paraId="26484690">
      <w:pPr>
        <w:shd w:val="clear"/>
        <w:rPr>
          <w:rFonts w:hint="eastAsia" w:ascii="楷体" w:hAnsi="楷体" w:eastAsia="楷体" w:cs="楷体"/>
          <w:color w:val="auto"/>
          <w:sz w:val="24"/>
          <w:szCs w:val="24"/>
          <w:highlight w:val="none"/>
        </w:rPr>
      </w:pPr>
    </w:p>
    <w:p w14:paraId="39FF77A3">
      <w:pPr>
        <w:shd w:val="clear"/>
        <w:spacing w:line="480" w:lineRule="exact"/>
        <w:ind w:firstLine="480" w:firstLineChars="200"/>
        <w:rPr>
          <w:rFonts w:hint="eastAsia" w:ascii="楷体" w:hAnsi="楷体" w:eastAsia="楷体" w:cs="楷体"/>
          <w:color w:val="auto"/>
          <w:sz w:val="24"/>
          <w:highlight w:val="none"/>
        </w:rPr>
      </w:pPr>
    </w:p>
    <w:p w14:paraId="048FE1F4">
      <w:pPr>
        <w:shd w:val="clear"/>
        <w:spacing w:line="480" w:lineRule="exact"/>
        <w:ind w:firstLine="480" w:firstLineChars="200"/>
        <w:rPr>
          <w:rFonts w:hint="eastAsia" w:ascii="楷体" w:hAnsi="楷体" w:eastAsia="楷体" w:cs="楷体"/>
          <w:color w:val="auto"/>
          <w:sz w:val="24"/>
          <w:highlight w:val="none"/>
        </w:rPr>
      </w:pPr>
    </w:p>
    <w:p w14:paraId="648E616B">
      <w:pPr>
        <w:shd w:val="clear"/>
        <w:spacing w:line="480" w:lineRule="exact"/>
        <w:ind w:firstLine="480" w:firstLineChars="200"/>
        <w:rPr>
          <w:rFonts w:hint="eastAsia" w:ascii="楷体" w:hAnsi="楷体" w:eastAsia="楷体" w:cs="楷体"/>
          <w:color w:val="auto"/>
          <w:sz w:val="24"/>
          <w:highlight w:val="none"/>
        </w:rPr>
      </w:pPr>
    </w:p>
    <w:p w14:paraId="49CAE05C">
      <w:pPr>
        <w:shd w:val="clear"/>
        <w:spacing w:line="480" w:lineRule="exact"/>
        <w:ind w:firstLine="480"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供应商(</w:t>
      </w:r>
      <w:r>
        <w:rPr>
          <w:rFonts w:hint="eastAsia" w:ascii="楷体" w:hAnsi="楷体" w:eastAsia="楷体" w:cs="楷体"/>
          <w:color w:val="auto"/>
          <w:sz w:val="24"/>
          <w:highlight w:val="none"/>
          <w:lang w:eastAsia="zh-CN"/>
        </w:rPr>
        <w:t>电子签章</w:t>
      </w:r>
      <w:r>
        <w:rPr>
          <w:rFonts w:hint="eastAsia" w:ascii="楷体" w:hAnsi="楷体" w:eastAsia="楷体" w:cs="楷体"/>
          <w:color w:val="auto"/>
          <w:sz w:val="24"/>
          <w:highlight w:val="none"/>
        </w:rPr>
        <w:t>)：</w:t>
      </w:r>
    </w:p>
    <w:p w14:paraId="7536E944">
      <w:pPr>
        <w:shd w:val="clear"/>
        <w:spacing w:line="480" w:lineRule="exact"/>
        <w:ind w:firstLine="480"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日期：     年      月      日</w:t>
      </w:r>
    </w:p>
    <w:p w14:paraId="49707013">
      <w:pPr>
        <w:shd w:val="clear"/>
        <w:rPr>
          <w:rFonts w:hint="eastAsia" w:ascii="楷体" w:hAnsi="楷体" w:eastAsia="楷体" w:cs="楷体"/>
          <w:color w:val="auto"/>
          <w:highlight w:val="none"/>
          <w:lang w:val="en-US" w:eastAsia="zh-CN"/>
        </w:rPr>
      </w:pPr>
    </w:p>
    <w:p w14:paraId="7EA7F228">
      <w:pPr>
        <w:shd w:val="clear"/>
        <w:rPr>
          <w:rFonts w:hint="eastAsia" w:ascii="楷体" w:hAnsi="楷体" w:eastAsia="楷体" w:cs="楷体"/>
          <w:b/>
          <w:color w:val="auto"/>
          <w:kern w:val="0"/>
          <w:sz w:val="32"/>
          <w:szCs w:val="32"/>
          <w:highlight w:val="none"/>
        </w:rPr>
      </w:pPr>
    </w:p>
    <w:p w14:paraId="4B391F6F">
      <w:pPr>
        <w:shd w:val="clear"/>
        <w:rPr>
          <w:rFonts w:hint="eastAsia" w:ascii="楷体" w:hAnsi="楷体" w:eastAsia="楷体" w:cs="楷体"/>
          <w:b/>
          <w:color w:val="auto"/>
          <w:kern w:val="0"/>
          <w:sz w:val="28"/>
          <w:szCs w:val="28"/>
          <w:highlight w:val="none"/>
          <w:lang w:eastAsia="zh-CN"/>
        </w:rPr>
      </w:pPr>
      <w:r>
        <w:rPr>
          <w:rFonts w:hint="eastAsia" w:ascii="楷体" w:hAnsi="楷体" w:eastAsia="楷体" w:cs="楷体"/>
          <w:b/>
          <w:color w:val="auto"/>
          <w:kern w:val="0"/>
          <w:sz w:val="28"/>
          <w:szCs w:val="28"/>
          <w:highlight w:val="none"/>
          <w:lang w:eastAsia="zh-CN"/>
        </w:rPr>
        <w:br w:type="page"/>
      </w:r>
    </w:p>
    <w:p w14:paraId="7E4A847F">
      <w:pPr>
        <w:shd w:val="clear"/>
        <w:jc w:val="center"/>
        <w:outlineLvl w:val="2"/>
        <w:rPr>
          <w:rFonts w:hint="eastAsia" w:ascii="楷体" w:hAnsi="楷体" w:eastAsia="楷体" w:cs="楷体"/>
          <w:b/>
          <w:color w:val="auto"/>
          <w:kern w:val="0"/>
          <w:sz w:val="32"/>
          <w:szCs w:val="32"/>
          <w:highlight w:val="none"/>
          <w:lang w:eastAsia="zh-CN"/>
        </w:rPr>
      </w:pPr>
      <w:bookmarkStart w:id="120" w:name="_Toc23654"/>
      <w:r>
        <w:rPr>
          <w:rFonts w:hint="eastAsia" w:ascii="楷体" w:hAnsi="楷体" w:eastAsia="楷体" w:cs="楷体"/>
          <w:b/>
          <w:color w:val="auto"/>
          <w:kern w:val="0"/>
          <w:sz w:val="28"/>
          <w:szCs w:val="28"/>
          <w:highlight w:val="none"/>
          <w:lang w:val="en-US" w:eastAsia="zh-CN"/>
        </w:rPr>
        <w:t>七</w:t>
      </w:r>
      <w:r>
        <w:rPr>
          <w:rFonts w:hint="eastAsia" w:ascii="楷体" w:hAnsi="楷体" w:eastAsia="楷体" w:cs="楷体"/>
          <w:b/>
          <w:color w:val="auto"/>
          <w:kern w:val="0"/>
          <w:sz w:val="28"/>
          <w:szCs w:val="28"/>
          <w:highlight w:val="none"/>
          <w:lang w:eastAsia="zh-CN"/>
        </w:rPr>
        <w:t>、供应商认为如果满足招标文件要求还需要提供的资格证明文件</w:t>
      </w:r>
      <w:bookmarkEnd w:id="120"/>
    </w:p>
    <w:p w14:paraId="53178A0C">
      <w:pPr>
        <w:shd w:val="clear"/>
        <w:rPr>
          <w:rFonts w:hint="eastAsia" w:ascii="楷体" w:hAnsi="楷体" w:eastAsia="楷体" w:cs="楷体"/>
          <w:b/>
          <w:color w:val="auto"/>
          <w:kern w:val="0"/>
          <w:sz w:val="32"/>
          <w:szCs w:val="32"/>
          <w:highlight w:val="none"/>
          <w:lang w:eastAsia="zh-CN"/>
        </w:rPr>
      </w:pPr>
      <w:r>
        <w:rPr>
          <w:rFonts w:hint="eastAsia" w:ascii="楷体" w:hAnsi="楷体" w:eastAsia="楷体" w:cs="楷体"/>
          <w:b/>
          <w:color w:val="auto"/>
          <w:kern w:val="0"/>
          <w:sz w:val="32"/>
          <w:szCs w:val="32"/>
          <w:highlight w:val="none"/>
          <w:lang w:eastAsia="zh-CN"/>
        </w:rPr>
        <w:br w:type="page"/>
      </w:r>
    </w:p>
    <w:p w14:paraId="55B80CB7">
      <w:pPr>
        <w:pStyle w:val="4"/>
        <w:numPr>
          <w:ilvl w:val="0"/>
          <w:numId w:val="0"/>
        </w:numPr>
        <w:shd w:val="clear"/>
        <w:ind w:leftChars="0"/>
        <w:jc w:val="center"/>
        <w:rPr>
          <w:rFonts w:hint="eastAsia" w:ascii="楷体" w:hAnsi="楷体" w:eastAsia="楷体" w:cs="楷体"/>
          <w:color w:val="auto"/>
          <w:highlight w:val="none"/>
          <w:lang w:val="en-US" w:eastAsia="zh-CN"/>
        </w:rPr>
      </w:pPr>
      <w:bookmarkStart w:id="121" w:name="_Toc31022"/>
      <w:bookmarkStart w:id="122" w:name="_Toc25540"/>
      <w:bookmarkStart w:id="123" w:name="_Toc32438"/>
      <w:bookmarkStart w:id="124" w:name="_Toc13353"/>
      <w:r>
        <w:rPr>
          <w:rFonts w:hint="eastAsia" w:ascii="楷体" w:hAnsi="楷体" w:eastAsia="楷体" w:cs="楷体"/>
          <w:color w:val="auto"/>
          <w:highlight w:val="none"/>
          <w:lang w:val="en-US" w:eastAsia="zh-CN"/>
        </w:rPr>
        <w:t>技术部分</w:t>
      </w:r>
      <w:bookmarkEnd w:id="121"/>
    </w:p>
    <w:p w14:paraId="298F1D55">
      <w:pPr>
        <w:shd w:val="clear"/>
        <w:jc w:val="center"/>
        <w:outlineLvl w:val="2"/>
        <w:rPr>
          <w:rFonts w:hint="eastAsia" w:ascii="楷体" w:hAnsi="楷体" w:eastAsia="楷体" w:cs="楷体"/>
          <w:b/>
          <w:color w:val="auto"/>
          <w:kern w:val="0"/>
          <w:sz w:val="28"/>
          <w:szCs w:val="28"/>
          <w:highlight w:val="none"/>
          <w:lang w:val="en-US" w:eastAsia="zh-CN"/>
        </w:rPr>
      </w:pPr>
      <w:bookmarkStart w:id="125" w:name="_Toc27481"/>
      <w:r>
        <w:rPr>
          <w:rFonts w:hint="eastAsia" w:ascii="楷体" w:hAnsi="楷体" w:eastAsia="楷体" w:cs="楷体"/>
          <w:b/>
          <w:color w:val="auto"/>
          <w:kern w:val="0"/>
          <w:sz w:val="28"/>
          <w:szCs w:val="28"/>
          <w:highlight w:val="none"/>
          <w:lang w:val="en-US" w:eastAsia="zh-CN"/>
        </w:rPr>
        <w:t>一、技术响应指标</w:t>
      </w:r>
      <w:bookmarkEnd w:id="125"/>
    </w:p>
    <w:p w14:paraId="04822D22">
      <w:pPr>
        <w:shd w:val="clear"/>
        <w:jc w:val="center"/>
        <w:outlineLvl w:val="9"/>
        <w:rPr>
          <w:rFonts w:hint="eastAsia" w:ascii="楷体" w:hAnsi="楷体" w:eastAsia="楷体" w:cs="楷体"/>
          <w:b/>
          <w:color w:val="auto"/>
          <w:kern w:val="0"/>
          <w:sz w:val="22"/>
          <w:szCs w:val="22"/>
          <w:highlight w:val="none"/>
          <w:lang w:val="en-US" w:eastAsia="zh-CN"/>
        </w:rPr>
      </w:pPr>
      <w:r>
        <w:rPr>
          <w:rFonts w:hint="eastAsia" w:ascii="楷体" w:hAnsi="楷体" w:eastAsia="楷体" w:cs="楷体"/>
          <w:b/>
          <w:color w:val="auto"/>
          <w:kern w:val="0"/>
          <w:sz w:val="22"/>
          <w:szCs w:val="22"/>
          <w:highlight w:val="none"/>
          <w:lang w:val="en-US" w:eastAsia="zh-CN"/>
        </w:rPr>
        <w:t>（供应商根据评分办法自行编写，格式自拟）</w:t>
      </w:r>
    </w:p>
    <w:p w14:paraId="32DE6728">
      <w:pPr>
        <w:shd w:val="clear"/>
        <w:jc w:val="center"/>
        <w:outlineLvl w:val="9"/>
        <w:rPr>
          <w:rFonts w:hint="eastAsia" w:ascii="楷体" w:hAnsi="楷体" w:eastAsia="楷体" w:cs="楷体"/>
          <w:b/>
          <w:color w:val="auto"/>
          <w:kern w:val="0"/>
          <w:sz w:val="22"/>
          <w:szCs w:val="22"/>
          <w:highlight w:val="none"/>
          <w:lang w:val="en-US" w:eastAsia="zh-CN"/>
        </w:rPr>
      </w:pPr>
    </w:p>
    <w:p w14:paraId="5826A519">
      <w:pPr>
        <w:shd w:val="clear"/>
        <w:jc w:val="center"/>
        <w:outlineLvl w:val="9"/>
        <w:rPr>
          <w:rFonts w:hint="eastAsia" w:ascii="楷体" w:hAnsi="楷体" w:eastAsia="楷体" w:cs="楷体"/>
          <w:b/>
          <w:color w:val="auto"/>
          <w:kern w:val="0"/>
          <w:sz w:val="22"/>
          <w:szCs w:val="22"/>
          <w:highlight w:val="none"/>
          <w:lang w:val="en-US" w:eastAsia="zh-CN"/>
        </w:rPr>
      </w:pPr>
    </w:p>
    <w:p w14:paraId="4B6CFFAA">
      <w:pPr>
        <w:shd w:val="clear"/>
        <w:jc w:val="center"/>
        <w:outlineLvl w:val="9"/>
        <w:rPr>
          <w:rFonts w:hint="eastAsia" w:ascii="楷体" w:hAnsi="楷体" w:eastAsia="楷体" w:cs="楷体"/>
          <w:b/>
          <w:color w:val="auto"/>
          <w:kern w:val="0"/>
          <w:sz w:val="22"/>
          <w:szCs w:val="22"/>
          <w:highlight w:val="none"/>
          <w:lang w:val="en-US" w:eastAsia="zh-CN"/>
        </w:rPr>
      </w:pPr>
    </w:p>
    <w:p w14:paraId="3084B683">
      <w:pPr>
        <w:shd w:val="clear"/>
        <w:jc w:val="center"/>
        <w:outlineLvl w:val="2"/>
        <w:rPr>
          <w:rFonts w:hint="eastAsia" w:ascii="楷体" w:hAnsi="楷体" w:eastAsia="楷体" w:cs="楷体"/>
          <w:b/>
          <w:color w:val="auto"/>
          <w:kern w:val="0"/>
          <w:sz w:val="28"/>
          <w:szCs w:val="28"/>
          <w:highlight w:val="none"/>
          <w:lang w:val="en-US" w:eastAsia="zh-CN"/>
        </w:rPr>
      </w:pPr>
      <w:bookmarkStart w:id="126" w:name="_Toc6532"/>
      <w:r>
        <w:rPr>
          <w:rFonts w:hint="eastAsia" w:ascii="楷体" w:hAnsi="楷体" w:eastAsia="楷体" w:cs="楷体"/>
          <w:b/>
          <w:color w:val="auto"/>
          <w:kern w:val="0"/>
          <w:sz w:val="28"/>
          <w:szCs w:val="28"/>
          <w:highlight w:val="none"/>
          <w:lang w:val="en-US" w:eastAsia="zh-CN"/>
        </w:rPr>
        <w:t>二、物资采购渠道</w:t>
      </w:r>
      <w:bookmarkEnd w:id="126"/>
    </w:p>
    <w:p w14:paraId="70F5CE8A">
      <w:pPr>
        <w:shd w:val="clear"/>
        <w:jc w:val="center"/>
        <w:outlineLvl w:val="9"/>
        <w:rPr>
          <w:rFonts w:hint="eastAsia" w:ascii="楷体" w:hAnsi="楷体" w:eastAsia="楷体" w:cs="楷体"/>
          <w:b/>
          <w:color w:val="auto"/>
          <w:kern w:val="0"/>
          <w:sz w:val="22"/>
          <w:szCs w:val="22"/>
          <w:highlight w:val="none"/>
          <w:lang w:val="en-US" w:eastAsia="zh-CN"/>
        </w:rPr>
      </w:pPr>
      <w:r>
        <w:rPr>
          <w:rFonts w:hint="eastAsia" w:ascii="楷体" w:hAnsi="楷体" w:eastAsia="楷体" w:cs="楷体"/>
          <w:b/>
          <w:color w:val="auto"/>
          <w:kern w:val="0"/>
          <w:sz w:val="22"/>
          <w:szCs w:val="22"/>
          <w:highlight w:val="none"/>
          <w:lang w:val="en-US" w:eastAsia="zh-CN"/>
        </w:rPr>
        <w:t>（供应商根据评分办法自行编写，格式自拟）</w:t>
      </w:r>
    </w:p>
    <w:p w14:paraId="20E46C80">
      <w:pPr>
        <w:pStyle w:val="2"/>
        <w:outlineLvl w:val="9"/>
        <w:rPr>
          <w:rFonts w:hint="eastAsia" w:ascii="楷体" w:hAnsi="楷体" w:eastAsia="楷体" w:cs="楷体"/>
          <w:b/>
          <w:color w:val="auto"/>
          <w:kern w:val="0"/>
          <w:sz w:val="22"/>
          <w:szCs w:val="22"/>
          <w:highlight w:val="none"/>
          <w:lang w:val="en-US" w:eastAsia="zh-CN"/>
        </w:rPr>
      </w:pPr>
    </w:p>
    <w:p w14:paraId="134B4400">
      <w:pPr>
        <w:pStyle w:val="3"/>
        <w:outlineLvl w:val="9"/>
        <w:rPr>
          <w:rFonts w:hint="eastAsia" w:ascii="楷体" w:hAnsi="楷体" w:eastAsia="楷体" w:cs="楷体"/>
          <w:color w:val="auto"/>
          <w:lang w:val="en-US" w:eastAsia="zh-CN"/>
        </w:rPr>
      </w:pPr>
    </w:p>
    <w:p w14:paraId="78338422">
      <w:pPr>
        <w:shd w:val="clear"/>
        <w:jc w:val="center"/>
        <w:outlineLvl w:val="2"/>
        <w:rPr>
          <w:rFonts w:hint="eastAsia" w:ascii="楷体" w:hAnsi="楷体" w:eastAsia="楷体" w:cs="楷体"/>
          <w:b/>
          <w:color w:val="auto"/>
          <w:kern w:val="0"/>
          <w:sz w:val="28"/>
          <w:szCs w:val="28"/>
          <w:highlight w:val="none"/>
          <w:lang w:val="en-US" w:eastAsia="zh-CN"/>
        </w:rPr>
      </w:pPr>
      <w:bookmarkStart w:id="127" w:name="_Toc9843"/>
      <w:r>
        <w:rPr>
          <w:rFonts w:hint="eastAsia" w:ascii="楷体" w:hAnsi="楷体" w:eastAsia="楷体" w:cs="楷体"/>
          <w:b/>
          <w:color w:val="auto"/>
          <w:kern w:val="0"/>
          <w:sz w:val="28"/>
          <w:szCs w:val="28"/>
          <w:highlight w:val="none"/>
          <w:lang w:val="en-US" w:eastAsia="zh-CN"/>
        </w:rPr>
        <w:t>三、项目拟投入人员情况表</w:t>
      </w:r>
      <w:bookmarkEnd w:id="127"/>
    </w:p>
    <w:p w14:paraId="4331392F">
      <w:pPr>
        <w:pStyle w:val="3"/>
        <w:numPr>
          <w:ilvl w:val="0"/>
          <w:numId w:val="0"/>
        </w:numPr>
        <w:jc w:val="center"/>
        <w:outlineLvl w:val="9"/>
        <w:rPr>
          <w:rFonts w:hint="eastAsia" w:ascii="楷体" w:hAnsi="楷体" w:eastAsia="楷体" w:cs="楷体"/>
          <w:color w:val="auto"/>
          <w:lang w:val="en-US" w:eastAsia="zh-CN"/>
        </w:rPr>
      </w:pPr>
      <w:r>
        <w:rPr>
          <w:rFonts w:hint="eastAsia" w:ascii="楷体" w:hAnsi="楷体" w:eastAsia="楷体" w:cs="楷体"/>
          <w:b/>
          <w:color w:val="auto"/>
          <w:kern w:val="0"/>
          <w:sz w:val="22"/>
          <w:szCs w:val="22"/>
          <w:highlight w:val="none"/>
          <w:lang w:val="en-US" w:eastAsia="zh-CN"/>
        </w:rPr>
        <w:t>（供应商根据评分办法自行编写，格式自拟）</w:t>
      </w:r>
    </w:p>
    <w:p w14:paraId="3EF69661">
      <w:pPr>
        <w:numPr>
          <w:ilvl w:val="0"/>
          <w:numId w:val="0"/>
        </w:numPr>
        <w:shd w:val="clear"/>
        <w:jc w:val="center"/>
        <w:outlineLvl w:val="9"/>
        <w:rPr>
          <w:rFonts w:hint="eastAsia" w:ascii="楷体" w:hAnsi="楷体" w:eastAsia="楷体" w:cs="楷体"/>
          <w:b/>
          <w:color w:val="auto"/>
          <w:kern w:val="0"/>
          <w:sz w:val="28"/>
          <w:szCs w:val="28"/>
          <w:highlight w:val="none"/>
          <w:lang w:val="en-US" w:eastAsia="zh-CN"/>
        </w:rPr>
      </w:pPr>
    </w:p>
    <w:p w14:paraId="6D158CF9">
      <w:pPr>
        <w:numPr>
          <w:ilvl w:val="0"/>
          <w:numId w:val="0"/>
        </w:numPr>
        <w:shd w:val="clear"/>
        <w:jc w:val="center"/>
        <w:outlineLvl w:val="9"/>
        <w:rPr>
          <w:rFonts w:hint="eastAsia" w:ascii="楷体" w:hAnsi="楷体" w:eastAsia="楷体" w:cs="楷体"/>
          <w:b/>
          <w:color w:val="auto"/>
          <w:kern w:val="0"/>
          <w:sz w:val="28"/>
          <w:szCs w:val="28"/>
          <w:highlight w:val="none"/>
          <w:lang w:val="en-US" w:eastAsia="zh-CN"/>
        </w:rPr>
      </w:pPr>
    </w:p>
    <w:p w14:paraId="4C52E0BC">
      <w:pPr>
        <w:numPr>
          <w:ilvl w:val="0"/>
          <w:numId w:val="0"/>
        </w:numPr>
        <w:shd w:val="clear"/>
        <w:jc w:val="center"/>
        <w:outlineLvl w:val="9"/>
        <w:rPr>
          <w:rFonts w:hint="eastAsia" w:ascii="楷体" w:hAnsi="楷体" w:eastAsia="楷体" w:cs="楷体"/>
          <w:b/>
          <w:color w:val="auto"/>
          <w:kern w:val="0"/>
          <w:sz w:val="28"/>
          <w:szCs w:val="28"/>
          <w:highlight w:val="none"/>
          <w:lang w:val="en-US" w:eastAsia="zh-CN"/>
        </w:rPr>
      </w:pPr>
    </w:p>
    <w:p w14:paraId="61653AD2">
      <w:pPr>
        <w:numPr>
          <w:ilvl w:val="0"/>
          <w:numId w:val="0"/>
        </w:numPr>
        <w:shd w:val="clear"/>
        <w:jc w:val="center"/>
        <w:outlineLvl w:val="2"/>
        <w:rPr>
          <w:rFonts w:hint="eastAsia" w:ascii="楷体" w:hAnsi="楷体" w:eastAsia="楷体" w:cs="楷体"/>
          <w:b/>
          <w:color w:val="auto"/>
          <w:kern w:val="0"/>
          <w:sz w:val="28"/>
          <w:szCs w:val="28"/>
          <w:highlight w:val="none"/>
          <w:lang w:val="en-US" w:eastAsia="zh-CN"/>
        </w:rPr>
      </w:pPr>
      <w:bookmarkStart w:id="128" w:name="_Toc2308"/>
      <w:r>
        <w:rPr>
          <w:rFonts w:hint="eastAsia" w:ascii="楷体" w:hAnsi="楷体" w:eastAsia="楷体" w:cs="楷体"/>
          <w:b/>
          <w:color w:val="auto"/>
          <w:kern w:val="0"/>
          <w:sz w:val="28"/>
          <w:szCs w:val="28"/>
          <w:highlight w:val="none"/>
          <w:lang w:val="en-US" w:eastAsia="zh-CN"/>
        </w:rPr>
        <w:t>四、供应商认为需要提供的资料</w:t>
      </w:r>
      <w:r>
        <w:rPr>
          <w:rFonts w:hint="eastAsia" w:ascii="楷体" w:hAnsi="楷体" w:eastAsia="楷体" w:cs="楷体"/>
          <w:b/>
          <w:color w:val="auto"/>
          <w:kern w:val="0"/>
          <w:sz w:val="28"/>
          <w:szCs w:val="28"/>
          <w:highlight w:val="none"/>
          <w:lang w:val="en-US" w:eastAsia="zh-CN"/>
        </w:rPr>
        <w:br w:type="page"/>
      </w:r>
      <w:bookmarkEnd w:id="128"/>
    </w:p>
    <w:p w14:paraId="24682912">
      <w:pPr>
        <w:pStyle w:val="4"/>
        <w:numPr>
          <w:ilvl w:val="0"/>
          <w:numId w:val="0"/>
        </w:numPr>
        <w:shd w:val="clear"/>
        <w:ind w:leftChars="0"/>
        <w:jc w:val="center"/>
        <w:rPr>
          <w:rFonts w:hint="eastAsia" w:ascii="楷体" w:hAnsi="楷体" w:eastAsia="楷体" w:cs="楷体"/>
          <w:color w:val="auto"/>
          <w:highlight w:val="none"/>
          <w:lang w:eastAsia="zh-CN"/>
        </w:rPr>
      </w:pPr>
      <w:bookmarkStart w:id="129" w:name="_Toc5667"/>
      <w:r>
        <w:rPr>
          <w:rFonts w:hint="eastAsia" w:ascii="楷体" w:hAnsi="楷体" w:eastAsia="楷体" w:cs="楷体"/>
          <w:color w:val="auto"/>
          <w:highlight w:val="none"/>
          <w:lang w:eastAsia="zh-CN"/>
        </w:rPr>
        <w:t>商务部分</w:t>
      </w:r>
      <w:bookmarkEnd w:id="122"/>
      <w:bookmarkEnd w:id="123"/>
      <w:bookmarkEnd w:id="124"/>
      <w:bookmarkEnd w:id="129"/>
    </w:p>
    <w:p w14:paraId="03D25EBD">
      <w:pPr>
        <w:shd w:val="clear"/>
        <w:spacing w:line="360" w:lineRule="auto"/>
        <w:jc w:val="center"/>
        <w:outlineLvl w:val="2"/>
        <w:rPr>
          <w:rFonts w:hint="eastAsia" w:ascii="楷体" w:hAnsi="楷体" w:eastAsia="楷体" w:cs="楷体"/>
          <w:b/>
          <w:color w:val="auto"/>
          <w:kern w:val="0"/>
          <w:sz w:val="32"/>
          <w:szCs w:val="32"/>
          <w:highlight w:val="none"/>
        </w:rPr>
      </w:pPr>
      <w:bookmarkStart w:id="130" w:name="_Toc7555"/>
      <w:r>
        <w:rPr>
          <w:rFonts w:hint="eastAsia" w:ascii="楷体" w:hAnsi="楷体" w:eastAsia="楷体" w:cs="楷体"/>
          <w:b/>
          <w:color w:val="auto"/>
          <w:kern w:val="0"/>
          <w:sz w:val="32"/>
          <w:szCs w:val="32"/>
          <w:highlight w:val="none"/>
        </w:rPr>
        <w:t>一、投 标 函</w:t>
      </w:r>
      <w:bookmarkEnd w:id="117"/>
      <w:bookmarkEnd w:id="118"/>
      <w:bookmarkEnd w:id="130"/>
    </w:p>
    <w:p w14:paraId="7A01C167">
      <w:pPr>
        <w:pStyle w:val="11"/>
        <w:shd w:val="clea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致：</w:t>
      </w:r>
      <w:r>
        <w:rPr>
          <w:rFonts w:hint="eastAsia" w:ascii="楷体" w:hAnsi="楷体" w:eastAsia="楷体" w:cs="楷体"/>
          <w:color w:val="auto"/>
          <w:sz w:val="24"/>
          <w:szCs w:val="24"/>
          <w:highlight w:val="none"/>
          <w:u w:val="single"/>
        </w:rPr>
        <w:t xml:space="preserve">  （采购单位） </w:t>
      </w:r>
    </w:p>
    <w:p w14:paraId="2D84EA6C">
      <w:pPr>
        <w:pStyle w:val="11"/>
        <w:shd w:val="clear"/>
        <w:spacing w:line="360" w:lineRule="auto"/>
        <w:ind w:firstLine="482"/>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我方仔细研究了</w:t>
      </w:r>
      <w:r>
        <w:rPr>
          <w:rFonts w:hint="eastAsia" w:ascii="楷体" w:hAnsi="楷体" w:eastAsia="楷体" w:cs="楷体"/>
          <w:color w:val="auto"/>
          <w:sz w:val="24"/>
          <w:szCs w:val="24"/>
          <w:highlight w:val="none"/>
          <w:u w:val="single"/>
        </w:rPr>
        <w:t xml:space="preserve">（采购项目名称）   </w:t>
      </w:r>
      <w:r>
        <w:rPr>
          <w:rFonts w:hint="eastAsia" w:ascii="楷体" w:hAnsi="楷体" w:eastAsia="楷体" w:cs="楷体"/>
          <w:color w:val="auto"/>
          <w:sz w:val="24"/>
          <w:szCs w:val="24"/>
          <w:highlight w:val="none"/>
        </w:rPr>
        <w:t>（项目编号：</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）项目</w:t>
      </w:r>
      <w:r>
        <w:rPr>
          <w:rFonts w:hint="eastAsia" w:ascii="楷体" w:hAnsi="楷体" w:eastAsia="楷体" w:cs="楷体"/>
          <w:color w:val="auto"/>
          <w:sz w:val="24"/>
          <w:szCs w:val="24"/>
          <w:highlight w:val="none"/>
          <w:lang w:eastAsia="zh-CN"/>
        </w:rPr>
        <w:t>招标文件</w:t>
      </w:r>
      <w:r>
        <w:rPr>
          <w:rFonts w:hint="eastAsia" w:ascii="楷体" w:hAnsi="楷体" w:eastAsia="楷体" w:cs="楷体"/>
          <w:color w:val="auto"/>
          <w:sz w:val="24"/>
          <w:szCs w:val="24"/>
          <w:highlight w:val="none"/>
        </w:rPr>
        <w:t>的全部内容，正式授权下述签字人</w:t>
      </w:r>
      <w:r>
        <w:rPr>
          <w:rFonts w:hint="eastAsia" w:ascii="楷体" w:hAnsi="楷体" w:eastAsia="楷体" w:cs="楷体"/>
          <w:color w:val="auto"/>
          <w:sz w:val="24"/>
          <w:szCs w:val="24"/>
          <w:highlight w:val="none"/>
          <w:u w:val="single"/>
        </w:rPr>
        <w:t xml:space="preserve">   （姓名和职务）     </w:t>
      </w:r>
      <w:r>
        <w:rPr>
          <w:rFonts w:hint="eastAsia" w:ascii="楷体" w:hAnsi="楷体" w:eastAsia="楷体" w:cs="楷体"/>
          <w:color w:val="auto"/>
          <w:sz w:val="24"/>
          <w:szCs w:val="24"/>
          <w:highlight w:val="none"/>
        </w:rPr>
        <w:t>全权代表供应商</w:t>
      </w:r>
      <w:r>
        <w:rPr>
          <w:rFonts w:hint="eastAsia" w:ascii="楷体" w:hAnsi="楷体" w:eastAsia="楷体" w:cs="楷体"/>
          <w:color w:val="auto"/>
          <w:sz w:val="24"/>
          <w:szCs w:val="24"/>
          <w:highlight w:val="none"/>
          <w:u w:val="single"/>
        </w:rPr>
        <w:t xml:space="preserve">  （供应商全称）   </w:t>
      </w:r>
      <w:r>
        <w:rPr>
          <w:rFonts w:hint="eastAsia" w:ascii="楷体" w:hAnsi="楷体" w:eastAsia="楷体" w:cs="楷体"/>
          <w:color w:val="auto"/>
          <w:sz w:val="24"/>
          <w:szCs w:val="24"/>
          <w:highlight w:val="none"/>
        </w:rPr>
        <w:t>参加投标，并提交投标文件。</w:t>
      </w:r>
    </w:p>
    <w:p w14:paraId="55D2C480">
      <w:pPr>
        <w:pStyle w:val="11"/>
        <w:shd w:val="clear"/>
        <w:spacing w:line="360" w:lineRule="auto"/>
        <w:ind w:firstLine="42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据此函，签字人兹宣布同意如下：</w:t>
      </w:r>
    </w:p>
    <w:p w14:paraId="13378904">
      <w:pPr>
        <w:pStyle w:val="11"/>
        <w:numPr>
          <w:ilvl w:val="0"/>
          <w:numId w:val="2"/>
        </w:numPr>
        <w:shd w:val="clear"/>
        <w:spacing w:line="360" w:lineRule="auto"/>
        <w:ind w:left="660" w:leftChars="200" w:hanging="240" w:hangingChars="10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按</w:t>
      </w:r>
      <w:r>
        <w:rPr>
          <w:rFonts w:hint="eastAsia" w:ascii="楷体" w:hAnsi="楷体" w:eastAsia="楷体" w:cs="楷体"/>
          <w:color w:val="auto"/>
          <w:sz w:val="24"/>
          <w:szCs w:val="24"/>
          <w:highlight w:val="none"/>
          <w:lang w:eastAsia="zh-CN"/>
        </w:rPr>
        <w:t>招标文件</w:t>
      </w:r>
      <w:r>
        <w:rPr>
          <w:rFonts w:hint="eastAsia" w:ascii="楷体" w:hAnsi="楷体" w:eastAsia="楷体" w:cs="楷体"/>
          <w:color w:val="auto"/>
          <w:sz w:val="24"/>
          <w:szCs w:val="24"/>
          <w:highlight w:val="none"/>
        </w:rPr>
        <w:t>招标需求及技术要求和投标报价汇总表，</w:t>
      </w:r>
      <w:r>
        <w:rPr>
          <w:rFonts w:hint="eastAsia" w:ascii="楷体" w:hAnsi="楷体" w:eastAsia="楷体" w:cs="楷体"/>
          <w:color w:val="auto"/>
          <w:sz w:val="24"/>
          <w:szCs w:val="24"/>
          <w:highlight w:val="none"/>
          <w:lang w:eastAsia="zh-CN"/>
        </w:rPr>
        <w:t>我方</w:t>
      </w:r>
      <w:r>
        <w:rPr>
          <w:rFonts w:hint="eastAsia" w:ascii="楷体" w:hAnsi="楷体" w:eastAsia="楷体" w:cs="楷体"/>
          <w:color w:val="auto"/>
          <w:sz w:val="24"/>
          <w:szCs w:val="24"/>
          <w:highlight w:val="none"/>
        </w:rPr>
        <w:t>投标报价</w:t>
      </w:r>
      <w:r>
        <w:rPr>
          <w:rFonts w:hint="eastAsia" w:ascii="楷体" w:hAnsi="楷体" w:eastAsia="楷体" w:cs="楷体"/>
          <w:color w:val="auto"/>
          <w:sz w:val="24"/>
          <w:szCs w:val="24"/>
          <w:highlight w:val="none"/>
          <w:lang w:eastAsia="zh-CN"/>
        </w:rPr>
        <w:t>为</w:t>
      </w:r>
      <w:r>
        <w:rPr>
          <w:rFonts w:hint="eastAsia" w:ascii="楷体" w:hAnsi="楷体" w:eastAsia="楷体" w:cs="楷体"/>
          <w:color w:val="auto"/>
          <w:sz w:val="24"/>
          <w:szCs w:val="24"/>
          <w:highlight w:val="none"/>
          <w:lang w:val="en-US" w:eastAsia="zh-CN"/>
        </w:rPr>
        <w:t>所有单价的合价</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u w:val="none"/>
          <w:lang w:val="en-US" w:eastAsia="zh-CN"/>
        </w:rPr>
        <w:t>元</w:t>
      </w:r>
      <w:r>
        <w:rPr>
          <w:rFonts w:hint="eastAsia" w:ascii="楷体" w:hAnsi="楷体" w:eastAsia="楷体" w:cs="楷体"/>
          <w:color w:val="auto"/>
          <w:sz w:val="24"/>
          <w:szCs w:val="24"/>
          <w:highlight w:val="none"/>
        </w:rPr>
        <w:t>，在</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u w:val="single"/>
          <w:lang w:eastAsia="zh-CN"/>
        </w:rPr>
        <w:t>交货时间</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完成供货，并通过验收。</w:t>
      </w:r>
    </w:p>
    <w:p w14:paraId="153E5D53">
      <w:pPr>
        <w:pStyle w:val="11"/>
        <w:shd w:val="clear"/>
        <w:spacing w:line="360" w:lineRule="auto"/>
        <w:ind w:firstLine="420"/>
        <w:rPr>
          <w:rFonts w:hint="eastAsia" w:ascii="楷体" w:hAnsi="楷体" w:eastAsia="楷体" w:cs="楷体"/>
          <w:color w:val="auto"/>
          <w:spacing w:val="-10"/>
          <w:sz w:val="24"/>
          <w:szCs w:val="24"/>
          <w:highlight w:val="none"/>
        </w:rPr>
      </w:pPr>
      <w:r>
        <w:rPr>
          <w:rFonts w:hint="eastAsia" w:ascii="楷体" w:hAnsi="楷体" w:eastAsia="楷体" w:cs="楷体"/>
          <w:color w:val="auto"/>
          <w:sz w:val="24"/>
          <w:szCs w:val="24"/>
          <w:highlight w:val="none"/>
        </w:rPr>
        <w:t>2、</w:t>
      </w:r>
      <w:r>
        <w:rPr>
          <w:rFonts w:hint="eastAsia" w:ascii="楷体" w:hAnsi="楷体" w:eastAsia="楷体" w:cs="楷体"/>
          <w:color w:val="auto"/>
          <w:spacing w:val="-10"/>
          <w:sz w:val="24"/>
          <w:szCs w:val="24"/>
          <w:highlight w:val="none"/>
        </w:rPr>
        <w:t>我方已详细审查全部</w:t>
      </w:r>
      <w:r>
        <w:rPr>
          <w:rFonts w:hint="eastAsia" w:ascii="楷体" w:hAnsi="楷体" w:eastAsia="楷体" w:cs="楷体"/>
          <w:color w:val="auto"/>
          <w:spacing w:val="-10"/>
          <w:sz w:val="24"/>
          <w:szCs w:val="24"/>
          <w:highlight w:val="none"/>
          <w:lang w:eastAsia="zh-CN"/>
        </w:rPr>
        <w:t>招标文件</w:t>
      </w:r>
      <w:r>
        <w:rPr>
          <w:rFonts w:hint="eastAsia" w:ascii="楷体" w:hAnsi="楷体" w:eastAsia="楷体" w:cs="楷体"/>
          <w:color w:val="auto"/>
          <w:spacing w:val="-10"/>
          <w:sz w:val="24"/>
          <w:szCs w:val="24"/>
          <w:highlight w:val="none"/>
        </w:rPr>
        <w:t>，包括</w:t>
      </w:r>
      <w:r>
        <w:rPr>
          <w:rFonts w:hint="eastAsia" w:ascii="楷体" w:hAnsi="楷体" w:eastAsia="楷体" w:cs="楷体"/>
          <w:iCs/>
          <w:color w:val="auto"/>
          <w:spacing w:val="-10"/>
          <w:sz w:val="24"/>
          <w:szCs w:val="24"/>
          <w:highlight w:val="none"/>
          <w:u w:val="single"/>
        </w:rPr>
        <w:t>（澄清文件）</w:t>
      </w:r>
      <w:r>
        <w:rPr>
          <w:rFonts w:hint="eastAsia" w:ascii="楷体" w:hAnsi="楷体" w:eastAsia="楷体" w:cs="楷体"/>
          <w:color w:val="auto"/>
          <w:spacing w:val="-10"/>
          <w:sz w:val="24"/>
          <w:szCs w:val="24"/>
          <w:highlight w:val="none"/>
          <w:u w:val="single"/>
        </w:rPr>
        <w:t>(如果有的话)</w:t>
      </w:r>
      <w:r>
        <w:rPr>
          <w:rFonts w:hint="eastAsia" w:ascii="楷体" w:hAnsi="楷体" w:eastAsia="楷体" w:cs="楷体"/>
          <w:color w:val="auto"/>
          <w:spacing w:val="-10"/>
          <w:sz w:val="24"/>
          <w:szCs w:val="24"/>
          <w:highlight w:val="none"/>
        </w:rPr>
        <w:t>。我方完全理解相关文件要求，并承担对这方面有不明及误解的后果。</w:t>
      </w:r>
    </w:p>
    <w:p w14:paraId="01A72E5C">
      <w:pPr>
        <w:pStyle w:val="11"/>
        <w:shd w:val="clear"/>
        <w:spacing w:line="360" w:lineRule="auto"/>
        <w:ind w:firstLine="42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3、在供应商须知规定的开标日期起遵循本投标文件，并在供应商须知规定的投标文件有效期满之前均具有约束力。</w:t>
      </w:r>
    </w:p>
    <w:p w14:paraId="675B375C">
      <w:pPr>
        <w:pStyle w:val="11"/>
        <w:shd w:val="clear"/>
        <w:spacing w:line="360" w:lineRule="auto"/>
        <w:ind w:firstLine="42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4、同意供应商须知中关于没收投标保证金的规定。</w:t>
      </w:r>
    </w:p>
    <w:p w14:paraId="683017F0">
      <w:pPr>
        <w:pStyle w:val="11"/>
        <w:shd w:val="clear"/>
        <w:spacing w:line="360" w:lineRule="auto"/>
        <w:ind w:firstLine="42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5、同意应贵方要求提供与本投标有关的任何数据或资料，并保证数据和资料的完整性和真实性。</w:t>
      </w:r>
    </w:p>
    <w:p w14:paraId="0CF6936D">
      <w:pPr>
        <w:pStyle w:val="11"/>
        <w:shd w:val="clear"/>
        <w:spacing w:line="360" w:lineRule="auto"/>
        <w:ind w:firstLine="42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6、完全理解贵方不一定要接受最低报价的供应商为中标人的行为。</w:t>
      </w:r>
    </w:p>
    <w:p w14:paraId="08FECF90">
      <w:pPr>
        <w:pStyle w:val="11"/>
        <w:shd w:val="clear"/>
        <w:spacing w:line="360" w:lineRule="auto"/>
        <w:ind w:firstLine="42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7．如我方中标：</w:t>
      </w:r>
    </w:p>
    <w:p w14:paraId="7993F271">
      <w:pPr>
        <w:pStyle w:val="11"/>
        <w:shd w:val="clear"/>
        <w:spacing w:line="360" w:lineRule="auto"/>
        <w:ind w:firstLine="42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（1）我方承诺在收到中标通知书后，在中标通知书规定的期限内与你方签订合同，并履行相应的合同责任和义务。</w:t>
      </w:r>
    </w:p>
    <w:p w14:paraId="2BC153E7">
      <w:pPr>
        <w:pStyle w:val="11"/>
        <w:shd w:val="clear"/>
        <w:spacing w:line="360" w:lineRule="auto"/>
        <w:ind w:firstLine="42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（2）我方承诺按照</w:t>
      </w:r>
      <w:r>
        <w:rPr>
          <w:rFonts w:hint="eastAsia" w:ascii="楷体" w:hAnsi="楷体" w:eastAsia="楷体" w:cs="楷体"/>
          <w:color w:val="auto"/>
          <w:sz w:val="24"/>
          <w:szCs w:val="24"/>
          <w:highlight w:val="none"/>
          <w:lang w:eastAsia="zh-CN"/>
        </w:rPr>
        <w:t>招标文件</w:t>
      </w:r>
      <w:r>
        <w:rPr>
          <w:rFonts w:hint="eastAsia" w:ascii="楷体" w:hAnsi="楷体" w:eastAsia="楷体" w:cs="楷体"/>
          <w:color w:val="auto"/>
          <w:sz w:val="24"/>
          <w:szCs w:val="24"/>
          <w:highlight w:val="none"/>
        </w:rPr>
        <w:t>规定向你方递交履约担保。</w:t>
      </w:r>
    </w:p>
    <w:p w14:paraId="20F03E1E">
      <w:pPr>
        <w:pStyle w:val="11"/>
        <w:shd w:val="clear"/>
        <w:spacing w:line="360" w:lineRule="auto"/>
        <w:ind w:firstLine="42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（3）我方承诺将承担售后服务。</w:t>
      </w:r>
    </w:p>
    <w:p w14:paraId="6D9D1FDB">
      <w:pPr>
        <w:pStyle w:val="11"/>
        <w:shd w:val="clear"/>
        <w:spacing w:line="360" w:lineRule="auto"/>
        <w:ind w:firstLine="42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8．我方在此声明，所递交的投标文件及有关资料内容完整、真实和准确。</w:t>
      </w:r>
    </w:p>
    <w:p w14:paraId="17E37DE5">
      <w:pPr>
        <w:pStyle w:val="11"/>
        <w:shd w:val="clear"/>
        <w:spacing w:line="480" w:lineRule="exact"/>
        <w:ind w:firstLine="42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9.我方一旦参与投标，就不再对</w:t>
      </w:r>
      <w:r>
        <w:rPr>
          <w:rFonts w:hint="eastAsia" w:ascii="楷体" w:hAnsi="楷体" w:eastAsia="楷体" w:cs="楷体"/>
          <w:color w:val="auto"/>
          <w:sz w:val="24"/>
          <w:szCs w:val="24"/>
          <w:highlight w:val="none"/>
          <w:lang w:eastAsia="zh-CN"/>
        </w:rPr>
        <w:t>招标文件</w:t>
      </w:r>
      <w:r>
        <w:rPr>
          <w:rFonts w:hint="eastAsia" w:ascii="楷体" w:hAnsi="楷体" w:eastAsia="楷体" w:cs="楷体"/>
          <w:color w:val="auto"/>
          <w:sz w:val="24"/>
          <w:szCs w:val="24"/>
          <w:highlight w:val="none"/>
        </w:rPr>
        <w:t>提出异议</w:t>
      </w:r>
    </w:p>
    <w:p w14:paraId="1D128C0B">
      <w:pPr>
        <w:pStyle w:val="11"/>
        <w:shd w:val="clear"/>
        <w:spacing w:line="480" w:lineRule="exact"/>
        <w:ind w:firstLine="420"/>
        <w:rPr>
          <w:rFonts w:hint="eastAsia" w:ascii="楷体" w:hAnsi="楷体" w:eastAsia="楷体" w:cs="楷体"/>
          <w:color w:val="auto"/>
          <w:sz w:val="24"/>
          <w:szCs w:val="21"/>
          <w:highlight w:val="none"/>
        </w:rPr>
      </w:pPr>
    </w:p>
    <w:p w14:paraId="411B8CA7">
      <w:pPr>
        <w:pStyle w:val="11"/>
        <w:shd w:val="clear"/>
        <w:spacing w:line="480" w:lineRule="exact"/>
        <w:ind w:firstLine="420"/>
        <w:rPr>
          <w:rFonts w:hint="eastAsia" w:ascii="楷体" w:hAnsi="楷体" w:eastAsia="楷体" w:cs="楷体"/>
          <w:color w:val="auto"/>
          <w:sz w:val="24"/>
          <w:szCs w:val="21"/>
          <w:highlight w:val="none"/>
        </w:rPr>
      </w:pPr>
      <w:r>
        <w:rPr>
          <w:rFonts w:hint="eastAsia" w:ascii="楷体" w:hAnsi="楷体" w:eastAsia="楷体" w:cs="楷体"/>
          <w:color w:val="auto"/>
          <w:sz w:val="24"/>
          <w:szCs w:val="21"/>
          <w:highlight w:val="none"/>
        </w:rPr>
        <w:t>供应商（</w:t>
      </w:r>
      <w:r>
        <w:rPr>
          <w:rFonts w:hint="eastAsia" w:ascii="楷体" w:hAnsi="楷体" w:eastAsia="楷体" w:cs="楷体"/>
          <w:color w:val="auto"/>
          <w:sz w:val="24"/>
          <w:szCs w:val="21"/>
          <w:highlight w:val="none"/>
          <w:lang w:eastAsia="zh-CN"/>
        </w:rPr>
        <w:t>电子签章</w:t>
      </w:r>
      <w:r>
        <w:rPr>
          <w:rFonts w:hint="eastAsia" w:ascii="楷体" w:hAnsi="楷体" w:eastAsia="楷体" w:cs="楷体"/>
          <w:color w:val="auto"/>
          <w:sz w:val="24"/>
          <w:szCs w:val="21"/>
          <w:highlight w:val="none"/>
        </w:rPr>
        <w:t>）：</w:t>
      </w:r>
    </w:p>
    <w:p w14:paraId="07B74617">
      <w:pPr>
        <w:pStyle w:val="11"/>
        <w:shd w:val="clear"/>
        <w:spacing w:line="480" w:lineRule="exact"/>
        <w:ind w:firstLine="360" w:firstLineChars="150"/>
        <w:rPr>
          <w:rFonts w:hint="eastAsia" w:ascii="楷体" w:hAnsi="楷体" w:eastAsia="楷体" w:cs="楷体"/>
          <w:color w:val="auto"/>
          <w:sz w:val="24"/>
          <w:szCs w:val="21"/>
          <w:highlight w:val="none"/>
        </w:rPr>
        <w:sectPr>
          <w:footerReference r:id="rId9" w:type="first"/>
          <w:headerReference r:id="rId7" w:type="default"/>
          <w:footerReference r:id="rId8" w:type="default"/>
          <w:pgSz w:w="11906" w:h="16838"/>
          <w:pgMar w:top="1134" w:right="1134" w:bottom="1134" w:left="1134" w:header="680" w:footer="680" w:gutter="0"/>
          <w:pgNumType w:fmt="decimal" w:start="1"/>
          <w:cols w:space="0" w:num="1"/>
          <w:rtlGutter w:val="0"/>
          <w:docGrid w:linePitch="331" w:charSpace="0"/>
        </w:sectPr>
      </w:pPr>
      <w:r>
        <w:rPr>
          <w:rFonts w:hint="eastAsia" w:ascii="楷体" w:hAnsi="楷体" w:eastAsia="楷体" w:cs="楷体"/>
          <w:color w:val="auto"/>
          <w:sz w:val="24"/>
          <w:szCs w:val="21"/>
          <w:highlight w:val="none"/>
        </w:rPr>
        <w:t>日期：   年   月   日</w:t>
      </w:r>
    </w:p>
    <w:p w14:paraId="0509DE0A">
      <w:pPr>
        <w:shd w:val="clear"/>
        <w:rPr>
          <w:rFonts w:hint="eastAsia" w:ascii="楷体" w:hAnsi="楷体" w:eastAsia="楷体" w:cs="楷体"/>
          <w:color w:val="auto"/>
          <w:highlight w:val="none"/>
        </w:rPr>
      </w:pPr>
    </w:p>
    <w:p w14:paraId="4E31D0F1">
      <w:pPr>
        <w:shd w:val="clear"/>
        <w:spacing w:line="360" w:lineRule="auto"/>
        <w:jc w:val="center"/>
        <w:outlineLvl w:val="2"/>
        <w:rPr>
          <w:rFonts w:hint="eastAsia" w:ascii="楷体" w:hAnsi="楷体" w:eastAsia="楷体" w:cs="楷体"/>
          <w:b/>
          <w:color w:val="auto"/>
          <w:kern w:val="0"/>
          <w:sz w:val="32"/>
          <w:szCs w:val="32"/>
          <w:highlight w:val="none"/>
          <w:lang w:eastAsia="zh-CN"/>
        </w:rPr>
      </w:pPr>
      <w:bookmarkStart w:id="131" w:name="_Toc21408"/>
      <w:r>
        <w:rPr>
          <w:rFonts w:hint="eastAsia" w:ascii="楷体" w:hAnsi="楷体" w:eastAsia="楷体" w:cs="楷体"/>
          <w:b/>
          <w:color w:val="auto"/>
          <w:kern w:val="0"/>
          <w:sz w:val="32"/>
          <w:szCs w:val="32"/>
          <w:highlight w:val="none"/>
          <w:lang w:eastAsia="zh-CN"/>
        </w:rPr>
        <w:t>二、分项报价表</w:t>
      </w:r>
      <w:bookmarkEnd w:id="131"/>
    </w:p>
    <w:tbl>
      <w:tblPr>
        <w:tblStyle w:val="19"/>
        <w:tblW w:w="4993" w:type="pct"/>
        <w:jc w:val="center"/>
        <w:tblLayout w:type="autofit"/>
        <w:tblCellMar>
          <w:top w:w="0" w:type="dxa"/>
          <w:left w:w="108" w:type="dxa"/>
          <w:bottom w:w="0" w:type="dxa"/>
          <w:right w:w="108" w:type="dxa"/>
        </w:tblCellMar>
      </w:tblPr>
      <w:tblGrid>
        <w:gridCol w:w="520"/>
        <w:gridCol w:w="1476"/>
        <w:gridCol w:w="5766"/>
        <w:gridCol w:w="788"/>
        <w:gridCol w:w="530"/>
        <w:gridCol w:w="760"/>
      </w:tblGrid>
      <w:tr w14:paraId="01554A51">
        <w:tblPrEx>
          <w:tblCellMar>
            <w:top w:w="0" w:type="dxa"/>
            <w:left w:w="108" w:type="dxa"/>
            <w:bottom w:w="0" w:type="dxa"/>
            <w:right w:w="108" w:type="dxa"/>
          </w:tblCellMar>
        </w:tblPrEx>
        <w:trPr>
          <w:trHeight w:val="649"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3AC8ED80">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b/>
                <w:bCs/>
                <w:color w:val="auto"/>
                <w:sz w:val="18"/>
                <w:szCs w:val="18"/>
              </w:rPr>
            </w:pPr>
            <w:r>
              <w:rPr>
                <w:rFonts w:hint="eastAsia" w:ascii="楷体" w:hAnsi="楷体" w:eastAsia="楷体" w:cs="楷体"/>
                <w:b/>
                <w:bCs/>
                <w:color w:val="auto"/>
                <w:kern w:val="0"/>
                <w:sz w:val="18"/>
                <w:szCs w:val="18"/>
                <w:lang w:bidi="ar"/>
              </w:rPr>
              <w:t>序号</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14:paraId="503CBEFD">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b/>
                <w:bCs/>
                <w:color w:val="auto"/>
                <w:sz w:val="18"/>
                <w:szCs w:val="18"/>
              </w:rPr>
            </w:pPr>
            <w:r>
              <w:rPr>
                <w:rFonts w:hint="eastAsia" w:ascii="楷体" w:hAnsi="楷体" w:eastAsia="楷体" w:cs="楷体"/>
                <w:b/>
                <w:bCs/>
                <w:color w:val="auto"/>
                <w:kern w:val="0"/>
                <w:sz w:val="18"/>
                <w:szCs w:val="18"/>
                <w:lang w:bidi="ar"/>
              </w:rPr>
              <w:t>名称</w:t>
            </w:r>
          </w:p>
        </w:tc>
        <w:tc>
          <w:tcPr>
            <w:tcW w:w="2961" w:type="pct"/>
            <w:tcBorders>
              <w:top w:val="single" w:color="000000" w:sz="4" w:space="0"/>
              <w:left w:val="single" w:color="000000" w:sz="4" w:space="0"/>
              <w:bottom w:val="single" w:color="000000" w:sz="4" w:space="0"/>
              <w:right w:val="single" w:color="000000" w:sz="4" w:space="0"/>
            </w:tcBorders>
            <w:noWrap w:val="0"/>
            <w:vAlign w:val="center"/>
          </w:tcPr>
          <w:p w14:paraId="593D6FF7">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b/>
                <w:bCs/>
                <w:color w:val="auto"/>
                <w:sz w:val="18"/>
                <w:szCs w:val="18"/>
              </w:rPr>
            </w:pPr>
            <w:r>
              <w:rPr>
                <w:rFonts w:hint="eastAsia" w:ascii="楷体" w:hAnsi="楷体" w:eastAsia="楷体" w:cs="楷体"/>
                <w:b/>
                <w:bCs/>
                <w:color w:val="auto"/>
                <w:kern w:val="0"/>
                <w:sz w:val="18"/>
                <w:szCs w:val="18"/>
                <w:lang w:bidi="ar"/>
              </w:rPr>
              <w:t>规格参数</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3D69F8D2">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b/>
                <w:bCs/>
                <w:color w:val="auto"/>
                <w:sz w:val="18"/>
                <w:szCs w:val="18"/>
              </w:rPr>
            </w:pPr>
            <w:r>
              <w:rPr>
                <w:rFonts w:hint="eastAsia" w:ascii="楷体" w:hAnsi="楷体" w:eastAsia="楷体" w:cs="楷体"/>
                <w:b/>
                <w:bCs/>
                <w:color w:val="auto"/>
                <w:kern w:val="0"/>
                <w:sz w:val="18"/>
                <w:szCs w:val="18"/>
                <w:lang w:bidi="ar"/>
              </w:rPr>
              <w:t>数量</w:t>
            </w:r>
          </w:p>
        </w:tc>
        <w:tc>
          <w:tcPr>
            <w:tcW w:w="302" w:type="pct"/>
            <w:tcBorders>
              <w:top w:val="single" w:color="000000" w:sz="4" w:space="0"/>
              <w:left w:val="single" w:color="000000" w:sz="4" w:space="0"/>
              <w:bottom w:val="single" w:color="000000" w:sz="4" w:space="0"/>
              <w:right w:val="single" w:color="000000" w:sz="4" w:space="0"/>
            </w:tcBorders>
            <w:noWrap w:val="0"/>
            <w:vAlign w:val="center"/>
          </w:tcPr>
          <w:p w14:paraId="6F1AD9D5">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b/>
                <w:bCs/>
                <w:color w:val="auto"/>
                <w:sz w:val="18"/>
                <w:szCs w:val="18"/>
              </w:rPr>
            </w:pPr>
            <w:r>
              <w:rPr>
                <w:rFonts w:hint="eastAsia" w:ascii="楷体" w:hAnsi="楷体" w:eastAsia="楷体" w:cs="楷体"/>
                <w:b/>
                <w:bCs/>
                <w:color w:val="auto"/>
                <w:kern w:val="0"/>
                <w:sz w:val="18"/>
                <w:szCs w:val="18"/>
                <w:lang w:bidi="ar"/>
              </w:rPr>
              <w:t>单位</w:t>
            </w:r>
          </w:p>
        </w:tc>
        <w:tc>
          <w:tcPr>
            <w:tcW w:w="302" w:type="pct"/>
            <w:tcBorders>
              <w:top w:val="single" w:color="000000" w:sz="4" w:space="0"/>
              <w:left w:val="single" w:color="000000" w:sz="4" w:space="0"/>
              <w:bottom w:val="single" w:color="000000" w:sz="4" w:space="0"/>
              <w:right w:val="single" w:color="000000" w:sz="4" w:space="0"/>
            </w:tcBorders>
            <w:noWrap w:val="0"/>
            <w:vAlign w:val="center"/>
          </w:tcPr>
          <w:p w14:paraId="41A00CCD">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b/>
                <w:bCs/>
                <w:color w:val="auto"/>
                <w:kern w:val="0"/>
                <w:sz w:val="18"/>
                <w:szCs w:val="18"/>
                <w:lang w:bidi="ar"/>
              </w:rPr>
            </w:pPr>
            <w:r>
              <w:rPr>
                <w:rFonts w:hint="eastAsia" w:ascii="楷体" w:hAnsi="楷体" w:eastAsia="楷体" w:cs="楷体"/>
                <w:b/>
                <w:bCs/>
                <w:color w:val="auto"/>
                <w:kern w:val="0"/>
                <w:sz w:val="18"/>
                <w:szCs w:val="18"/>
                <w:lang w:val="en-US" w:eastAsia="zh-CN" w:bidi="ar"/>
              </w:rPr>
              <w:t>单价（元）</w:t>
            </w:r>
          </w:p>
        </w:tc>
      </w:tr>
      <w:tr w14:paraId="691CAA60">
        <w:tblPrEx>
          <w:tblCellMar>
            <w:top w:w="0" w:type="dxa"/>
            <w:left w:w="108" w:type="dxa"/>
            <w:bottom w:w="0" w:type="dxa"/>
            <w:right w:w="108" w:type="dxa"/>
          </w:tblCellMar>
        </w:tblPrEx>
        <w:trPr>
          <w:trHeight w:val="3560"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751B9C48">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1</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1D5BD775">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防割手套</w:t>
            </w:r>
          </w:p>
        </w:tc>
        <w:tc>
          <w:tcPr>
            <w:tcW w:w="2961" w:type="pct"/>
            <w:tcBorders>
              <w:top w:val="single" w:color="000000" w:sz="4" w:space="0"/>
              <w:left w:val="single" w:color="000000" w:sz="4" w:space="0"/>
              <w:bottom w:val="single" w:color="auto" w:sz="4" w:space="0"/>
              <w:right w:val="single" w:color="000000" w:sz="4" w:space="0"/>
            </w:tcBorders>
            <w:noWrap w:val="0"/>
            <w:vAlign w:val="top"/>
          </w:tcPr>
          <w:p w14:paraId="400257A4">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1.产品符合</w:t>
            </w:r>
            <w:r>
              <w:rPr>
                <w:rFonts w:hint="eastAsia" w:ascii="楷体" w:hAnsi="楷体" w:eastAsia="楷体" w:cs="楷体"/>
                <w:color w:val="auto"/>
                <w:sz w:val="18"/>
                <w:szCs w:val="18"/>
              </w:rPr>
              <w:fldChar w:fldCharType="begin"/>
            </w:r>
            <w:r>
              <w:rPr>
                <w:rFonts w:hint="eastAsia" w:ascii="楷体" w:hAnsi="楷体" w:eastAsia="楷体" w:cs="楷体"/>
                <w:color w:val="auto"/>
                <w:sz w:val="18"/>
                <w:szCs w:val="18"/>
              </w:rPr>
              <w:instrText xml:space="preserve"> HYPERLINK "http://www.baidu.com/link?url=A4RzDngLzZnJqZW11rYqHMgWHMH90OypspJkQ62rSithYKYMtkDI4t52u6SUJUzxKx_nHssPg2aMoQD5BUmPuq" \t "_blank" </w:instrText>
            </w:r>
            <w:r>
              <w:rPr>
                <w:rFonts w:hint="eastAsia" w:ascii="楷体" w:hAnsi="楷体" w:eastAsia="楷体" w:cs="楷体"/>
                <w:color w:val="auto"/>
                <w:sz w:val="18"/>
                <w:szCs w:val="18"/>
              </w:rPr>
              <w:fldChar w:fldCharType="separate"/>
            </w:r>
            <w:r>
              <w:rPr>
                <w:rFonts w:hint="eastAsia" w:ascii="楷体" w:hAnsi="楷体" w:eastAsia="楷体" w:cs="楷体"/>
                <w:color w:val="auto"/>
                <w:sz w:val="18"/>
                <w:szCs w:val="18"/>
              </w:rPr>
              <w:t>GA 614-2006《警用防割手套</w:t>
            </w:r>
            <w:r>
              <w:rPr>
                <w:rFonts w:hint="eastAsia" w:ascii="楷体" w:hAnsi="楷体" w:eastAsia="楷体" w:cs="楷体"/>
                <w:color w:val="auto"/>
                <w:sz w:val="18"/>
                <w:szCs w:val="18"/>
              </w:rPr>
              <w:fldChar w:fldCharType="end"/>
            </w:r>
            <w:r>
              <w:rPr>
                <w:rFonts w:hint="eastAsia" w:ascii="楷体" w:hAnsi="楷体" w:eastAsia="楷体" w:cs="楷体"/>
                <w:color w:val="auto"/>
                <w:sz w:val="18"/>
                <w:szCs w:val="18"/>
              </w:rPr>
              <w:t>》相关标准。</w:t>
            </w:r>
          </w:p>
          <w:p w14:paraId="096D3655">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2.穿戴舒适性：易于戴、脱、透气、触感好、手感好，不影响关节弯曲。</w:t>
            </w:r>
          </w:p>
          <w:p w14:paraId="12F98479">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3.规格：长245mm±0.1mm,宽105.9mm±0.1mm.</w:t>
            </w:r>
          </w:p>
          <w:p w14:paraId="64925553">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4.防割性能：用专用的手套切割试验机,设定刀口压力20N、刀片转速为20r/min ,警用防割手套掌部或背部垂直手指方向进行5次切割,每次割穿发生时,切割周数≥七周,耐切割系数≥3.20</w:t>
            </w:r>
          </w:p>
          <w:p w14:paraId="0939A081">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5.低温贮存：—20℃±2℃恒温箱保持2h,常温下恢复2h,用专用手套切割试验机,设定刀口压力为20N、刀片转速为20r/min ,警用防割手套掌部或背部垂直手指方向进行5次切割,每次割穿发生时,切割周数≥七周,且耐切割系数≥2.5</w:t>
            </w:r>
          </w:p>
          <w:p w14:paraId="4398F6C8">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6.高温贮存：55℃±2℃恒温箱保持2h,在10min内用专用手套切割试验机,设定刀口压力为20N、刀片转速为20r/ min ,警用防割手套掌部或背部垂直手指方向进行5次切割,每次割穿发生时,切割周数≥7,且耐切割系数≥2.5</w:t>
            </w:r>
          </w:p>
          <w:p w14:paraId="2681892A">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lang w:val="en-US" w:eastAsia="zh-CN"/>
              </w:rPr>
              <w:t>7</w:t>
            </w:r>
            <w:r>
              <w:rPr>
                <w:rFonts w:hint="eastAsia" w:ascii="楷体" w:hAnsi="楷体" w:eastAsia="楷体" w:cs="楷体"/>
                <w:color w:val="auto"/>
                <w:sz w:val="18"/>
                <w:szCs w:val="18"/>
              </w:rPr>
              <w:t>.▲提供由“公安内部经国家认证认可监督管理委员会资质认可的检验机构”出具的所投产品的合格检验报告（复印件加盖供应商公章）。</w:t>
            </w:r>
          </w:p>
          <w:p w14:paraId="5E55265F">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02098FC7">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40</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725231D3">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双</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66FCD93B">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val="en-US" w:eastAsia="zh-CN" w:bidi="ar"/>
              </w:rPr>
            </w:pPr>
          </w:p>
        </w:tc>
      </w:tr>
      <w:tr w14:paraId="609740AC">
        <w:tblPrEx>
          <w:tblCellMar>
            <w:top w:w="0" w:type="dxa"/>
            <w:left w:w="108" w:type="dxa"/>
            <w:bottom w:w="0" w:type="dxa"/>
            <w:right w:w="108" w:type="dxa"/>
          </w:tblCellMar>
        </w:tblPrEx>
        <w:trPr>
          <w:trHeight w:val="2157"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68B4CD57">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2</w:t>
            </w:r>
          </w:p>
        </w:tc>
        <w:tc>
          <w:tcPr>
            <w:tcW w:w="702" w:type="pct"/>
            <w:tcBorders>
              <w:top w:val="single" w:color="000000" w:sz="4" w:space="0"/>
              <w:left w:val="single" w:color="000000" w:sz="4" w:space="0"/>
              <w:bottom w:val="single" w:color="000000" w:sz="4" w:space="0"/>
              <w:right w:val="single" w:color="auto" w:sz="4" w:space="0"/>
            </w:tcBorders>
            <w:noWrap/>
            <w:vAlign w:val="center"/>
          </w:tcPr>
          <w:p w14:paraId="60757DEA">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急救包</w:t>
            </w:r>
          </w:p>
        </w:tc>
        <w:tc>
          <w:tcPr>
            <w:tcW w:w="2961" w:type="pct"/>
            <w:tcBorders>
              <w:top w:val="single" w:color="auto" w:sz="4" w:space="0"/>
              <w:left w:val="single" w:color="auto" w:sz="4" w:space="0"/>
              <w:bottom w:val="single" w:color="auto" w:sz="4" w:space="0"/>
              <w:right w:val="single" w:color="auto" w:sz="4" w:space="0"/>
            </w:tcBorders>
            <w:noWrap w:val="0"/>
            <w:vAlign w:val="top"/>
          </w:tcPr>
          <w:p w14:paraId="53FEBE7B">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lang w:val="en-US" w:eastAsia="zh-CN"/>
              </w:rPr>
              <w:t>1.</w:t>
            </w:r>
            <w:r>
              <w:rPr>
                <w:rFonts w:hint="eastAsia" w:ascii="楷体" w:hAnsi="楷体" w:eastAsia="楷体" w:cs="楷体"/>
                <w:color w:val="auto"/>
                <w:sz w:val="18"/>
                <w:szCs w:val="18"/>
              </w:rPr>
              <w:tab/>
            </w:r>
            <w:r>
              <w:rPr>
                <w:rFonts w:hint="eastAsia" w:ascii="楷体" w:hAnsi="楷体" w:eastAsia="楷体" w:cs="楷体"/>
                <w:color w:val="auto"/>
                <w:sz w:val="18"/>
                <w:szCs w:val="18"/>
              </w:rPr>
              <w:t>产品符合</w:t>
            </w:r>
            <w:r>
              <w:rPr>
                <w:rFonts w:hint="eastAsia" w:ascii="楷体" w:hAnsi="楷体" w:eastAsia="楷体" w:cs="楷体"/>
                <w:color w:val="auto"/>
                <w:sz w:val="18"/>
                <w:szCs w:val="18"/>
              </w:rPr>
              <w:fldChar w:fldCharType="begin"/>
            </w:r>
            <w:r>
              <w:rPr>
                <w:rFonts w:hint="eastAsia" w:ascii="楷体" w:hAnsi="楷体" w:eastAsia="楷体" w:cs="楷体"/>
                <w:color w:val="auto"/>
                <w:sz w:val="18"/>
                <w:szCs w:val="18"/>
              </w:rPr>
              <w:instrText xml:space="preserve"> HYPERLINK "http://www.baidu.com/link?url=A4RzDngLzZnJqZW11rYqHMgWHMH90OypspJkQ62rSithYKYMtkDI4t52u6SUJUzxKx_nHssPg2aMoQD5BUmPuq" \t "_blank" </w:instrText>
            </w:r>
            <w:r>
              <w:rPr>
                <w:rFonts w:hint="eastAsia" w:ascii="楷体" w:hAnsi="楷体" w:eastAsia="楷体" w:cs="楷体"/>
                <w:color w:val="auto"/>
                <w:sz w:val="18"/>
                <w:szCs w:val="18"/>
              </w:rPr>
              <w:fldChar w:fldCharType="separate"/>
            </w:r>
            <w:r>
              <w:rPr>
                <w:rFonts w:hint="eastAsia" w:ascii="楷体" w:hAnsi="楷体" w:eastAsia="楷体" w:cs="楷体"/>
                <w:color w:val="auto"/>
                <w:sz w:val="18"/>
                <w:szCs w:val="18"/>
              </w:rPr>
              <w:t>GA 891-2010</w:t>
            </w:r>
            <w:r>
              <w:rPr>
                <w:rFonts w:hint="eastAsia" w:ascii="楷体" w:hAnsi="楷体" w:eastAsia="楷体" w:cs="楷体"/>
                <w:color w:val="auto"/>
                <w:sz w:val="18"/>
                <w:szCs w:val="18"/>
              </w:rPr>
              <w:fldChar w:fldCharType="end"/>
            </w:r>
            <w:r>
              <w:rPr>
                <w:rFonts w:hint="eastAsia" w:ascii="楷体" w:hAnsi="楷体" w:eastAsia="楷体" w:cs="楷体"/>
                <w:color w:val="auto"/>
                <w:sz w:val="18"/>
                <w:szCs w:val="18"/>
              </w:rPr>
              <w:t>《警用急救包》的相关标准；</w:t>
            </w:r>
          </w:p>
          <w:p w14:paraId="44DBDB20">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lang w:val="en-US" w:eastAsia="zh-CN"/>
              </w:rPr>
              <w:t>2.</w:t>
            </w:r>
            <w:r>
              <w:rPr>
                <w:rFonts w:hint="eastAsia" w:ascii="楷体" w:hAnsi="楷体" w:eastAsia="楷体" w:cs="楷体"/>
                <w:color w:val="auto"/>
                <w:sz w:val="18"/>
                <w:szCs w:val="18"/>
              </w:rPr>
              <w:t>颜色：急救包所用移膜皮革及辅料配件的颜色为黑色(PANTONE 19-4006 TPX)，警徽图案和文字标识为银白色；</w:t>
            </w:r>
          </w:p>
          <w:p w14:paraId="18C6469B">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lang w:val="en-US" w:eastAsia="zh-CN"/>
              </w:rPr>
              <w:t>3.</w:t>
            </w:r>
            <w:r>
              <w:rPr>
                <w:rFonts w:hint="eastAsia" w:ascii="楷体" w:hAnsi="楷体" w:eastAsia="楷体" w:cs="楷体"/>
                <w:color w:val="auto"/>
                <w:sz w:val="18"/>
                <w:szCs w:val="18"/>
              </w:rPr>
              <w:t>结构和尺寸：急救包为竖向长方形皮包，用拉链开合，展开后，左侧有三层横向平面插袋，上层和中层两个插袋各有两个格仓；右侧有一个横向平面插袋，一个竖向小立体插袋，一个竖向大立体插袋和一个横向开口；横向平面插袋的面和底有里衬；急救包展开长为222mm±1mm,宽为125mm±1mm；</w:t>
            </w:r>
          </w:p>
          <w:p w14:paraId="000692CB">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lang w:val="en-US" w:eastAsia="zh-CN"/>
              </w:rPr>
              <w:t>4.</w:t>
            </w:r>
            <w:r>
              <w:rPr>
                <w:rFonts w:hint="eastAsia" w:ascii="楷体" w:hAnsi="楷体" w:eastAsia="楷体" w:cs="楷体"/>
                <w:color w:val="auto"/>
                <w:sz w:val="18"/>
                <w:szCs w:val="18"/>
              </w:rPr>
              <w:t>性能：皮革耐摩擦色牢度/级：干摩：50次 ≥4级；湿摩：10次 ≥4级；皮革断裂强度/（N/mm）：≥37N/mm；拉链平拉强力/N：≥721N；拉链拉头拉片结合力/N：≥326N；</w:t>
            </w:r>
          </w:p>
          <w:p w14:paraId="4304F658">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lang w:val="en-US" w:eastAsia="zh-CN"/>
              </w:rPr>
              <w:t>5.</w:t>
            </w:r>
            <w:r>
              <w:rPr>
                <w:rFonts w:hint="eastAsia" w:ascii="楷体" w:hAnsi="楷体" w:eastAsia="楷体" w:cs="楷体"/>
                <w:color w:val="auto"/>
                <w:sz w:val="18"/>
                <w:szCs w:val="18"/>
              </w:rPr>
              <w:t>急救包内含的药品器械：硝酸甘油片规格为0.5mg数量≥4片。创可贴规格1.5cm×2.3cm，数量6片和4.5cm×6cm数量2片。 橡胶止血带规格为46cm×2.5cm数量为1根。 无菌纱布片规格为7.5cm×7.5cm，8层，数量为1片。带垫急救绷带规格为7.5cm×2m，不粘垫规格为5cm×7.5cm,数量为1条。口对口呼吸膜规格大于等于29.5cm×19cm，数量为1片。酒精消毒片规格为10cm×4cm或外包装:5cm×5cm，内芯:6cm×6cm,数量为两片。抗菌湿巾纸规格为19cm×12.5cm或外包装:5cm×6cm，内芯:20cm×12cm，数量为1袋。小剪刀检查长度为9cm-11cm，数量为1把。1’别针，数量为3枚；</w:t>
            </w:r>
          </w:p>
          <w:p w14:paraId="58C816C3">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lang w:val="en-US" w:eastAsia="zh-CN"/>
              </w:rPr>
              <w:t>6.</w:t>
            </w:r>
            <w:r>
              <w:rPr>
                <w:rFonts w:hint="eastAsia" w:ascii="楷体" w:hAnsi="楷体" w:eastAsia="楷体" w:cs="楷体"/>
                <w:color w:val="auto"/>
                <w:sz w:val="18"/>
                <w:szCs w:val="18"/>
              </w:rPr>
              <w:t>▲提供由“公安内部经国家认证认可监督管理委员会资质认可的检验机构”出具的所投产品的合格检验报告（复印件加盖供应商公章）。</w:t>
            </w:r>
          </w:p>
        </w:tc>
        <w:tc>
          <w:tcPr>
            <w:tcW w:w="433" w:type="pct"/>
            <w:tcBorders>
              <w:top w:val="single" w:color="000000" w:sz="4" w:space="0"/>
              <w:left w:val="single" w:color="auto" w:sz="4" w:space="0"/>
              <w:bottom w:val="single" w:color="000000" w:sz="4" w:space="0"/>
              <w:right w:val="single" w:color="000000" w:sz="4" w:space="0"/>
            </w:tcBorders>
            <w:noWrap w:val="0"/>
            <w:vAlign w:val="center"/>
          </w:tcPr>
          <w:p w14:paraId="07B286F8">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10</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4033AA96">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个</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323B8E17">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bidi="ar"/>
              </w:rPr>
            </w:pPr>
          </w:p>
        </w:tc>
      </w:tr>
      <w:tr w14:paraId="6DAE6C65">
        <w:tblPrEx>
          <w:tblCellMar>
            <w:top w:w="0" w:type="dxa"/>
            <w:left w:w="108" w:type="dxa"/>
            <w:bottom w:w="0" w:type="dxa"/>
            <w:right w:w="108" w:type="dxa"/>
          </w:tblCellMar>
        </w:tblPrEx>
        <w:trPr>
          <w:trHeight w:val="1389"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0168CCAE">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3</w:t>
            </w:r>
          </w:p>
        </w:tc>
        <w:tc>
          <w:tcPr>
            <w:tcW w:w="702" w:type="pct"/>
            <w:tcBorders>
              <w:top w:val="single" w:color="000000" w:sz="4" w:space="0"/>
              <w:left w:val="single" w:color="000000" w:sz="4" w:space="0"/>
              <w:bottom w:val="single" w:color="000000" w:sz="4" w:space="0"/>
              <w:right w:val="single" w:color="auto" w:sz="4" w:space="0"/>
            </w:tcBorders>
            <w:noWrap/>
            <w:vAlign w:val="center"/>
          </w:tcPr>
          <w:p w14:paraId="2FE1D94A">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战术手套</w:t>
            </w:r>
          </w:p>
        </w:tc>
        <w:tc>
          <w:tcPr>
            <w:tcW w:w="2961" w:type="pct"/>
            <w:tcBorders>
              <w:top w:val="single" w:color="auto" w:sz="4" w:space="0"/>
              <w:left w:val="single" w:color="auto" w:sz="4" w:space="0"/>
              <w:bottom w:val="single" w:color="auto" w:sz="4" w:space="0"/>
              <w:right w:val="single" w:color="auto" w:sz="4" w:space="0"/>
            </w:tcBorders>
            <w:noWrap w:val="0"/>
            <w:vAlign w:val="center"/>
          </w:tcPr>
          <w:p w14:paraId="2CD86E1C">
            <w:pPr>
              <w:pStyle w:val="17"/>
              <w:keepNext w:val="0"/>
              <w:keepLines w:val="0"/>
              <w:pageBreakBefore w:val="0"/>
              <w:kinsoku/>
              <w:wordWrap/>
              <w:overflowPunct/>
              <w:topLinePunct w:val="0"/>
              <w:autoSpaceDE/>
              <w:autoSpaceDN/>
              <w:bidi w:val="0"/>
              <w:adjustRightInd/>
              <w:snapToGrid/>
              <w:spacing w:before="0" w:beforeAutospacing="0" w:after="0" w:afterAutospacing="0"/>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款式：半指</w:t>
            </w:r>
          </w:p>
          <w:p w14:paraId="4063CC04">
            <w:pPr>
              <w:pStyle w:val="17"/>
              <w:keepNext w:val="0"/>
              <w:keepLines w:val="0"/>
              <w:pageBreakBefore w:val="0"/>
              <w:kinsoku/>
              <w:wordWrap/>
              <w:overflowPunct/>
              <w:topLinePunct w:val="0"/>
              <w:autoSpaceDE/>
              <w:autoSpaceDN/>
              <w:bidi w:val="0"/>
              <w:adjustRightInd/>
              <w:snapToGrid/>
              <w:spacing w:before="0" w:beforeAutospacing="0" w:after="0" w:afterAutospacing="0"/>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材质：尼龙</w:t>
            </w:r>
          </w:p>
          <w:p w14:paraId="7FA2D6BE">
            <w:pPr>
              <w:pStyle w:val="17"/>
              <w:keepNext w:val="0"/>
              <w:keepLines w:val="0"/>
              <w:pageBreakBefore w:val="0"/>
              <w:kinsoku/>
              <w:wordWrap/>
              <w:overflowPunct/>
              <w:topLinePunct w:val="0"/>
              <w:autoSpaceDE/>
              <w:autoSpaceDN/>
              <w:bidi w:val="0"/>
              <w:adjustRightInd/>
              <w:snapToGrid/>
              <w:spacing w:before="0" w:beforeAutospacing="0" w:after="0" w:afterAutospacing="0"/>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颜色：黑色</w:t>
            </w:r>
          </w:p>
          <w:p w14:paraId="1AFD617D">
            <w:pPr>
              <w:pStyle w:val="17"/>
              <w:keepNext w:val="0"/>
              <w:keepLines w:val="0"/>
              <w:pageBreakBefore w:val="0"/>
              <w:kinsoku/>
              <w:wordWrap/>
              <w:overflowPunct/>
              <w:topLinePunct w:val="0"/>
              <w:autoSpaceDE/>
              <w:autoSpaceDN/>
              <w:bidi w:val="0"/>
              <w:adjustRightInd/>
              <w:snapToGrid/>
              <w:spacing w:before="0" w:beforeAutospacing="0" w:after="0" w:afterAutospacing="0"/>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设计：手背凸起设计，提供更好的防冲击保护；手掌加层加托，为作战速降提供隔热耐磨防护。</w:t>
            </w:r>
          </w:p>
        </w:tc>
        <w:tc>
          <w:tcPr>
            <w:tcW w:w="433" w:type="pct"/>
            <w:tcBorders>
              <w:top w:val="single" w:color="000000" w:sz="4" w:space="0"/>
              <w:left w:val="single" w:color="auto" w:sz="4" w:space="0"/>
              <w:bottom w:val="single" w:color="auto" w:sz="4" w:space="0"/>
              <w:right w:val="single" w:color="000000" w:sz="4" w:space="0"/>
            </w:tcBorders>
            <w:noWrap w:val="0"/>
            <w:vAlign w:val="center"/>
          </w:tcPr>
          <w:p w14:paraId="269CF693">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40</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7A5DC8C9">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双</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5E1462A3">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bidi="ar"/>
              </w:rPr>
            </w:pPr>
          </w:p>
        </w:tc>
      </w:tr>
      <w:tr w14:paraId="04AA48D9">
        <w:tblPrEx>
          <w:tblCellMar>
            <w:top w:w="0" w:type="dxa"/>
            <w:left w:w="108" w:type="dxa"/>
            <w:bottom w:w="0" w:type="dxa"/>
            <w:right w:w="108" w:type="dxa"/>
          </w:tblCellMar>
        </w:tblPrEx>
        <w:trPr>
          <w:trHeight w:val="4805"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6446E519">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lang w:eastAsia="zh-CN"/>
              </w:rPr>
            </w:pPr>
            <w:r>
              <w:rPr>
                <w:rFonts w:hint="eastAsia" w:ascii="楷体" w:hAnsi="楷体" w:eastAsia="楷体" w:cs="楷体"/>
                <w:color w:val="auto"/>
                <w:kern w:val="0"/>
                <w:sz w:val="18"/>
                <w:szCs w:val="18"/>
                <w:lang w:val="en-US" w:eastAsia="zh-CN" w:bidi="ar"/>
              </w:rPr>
              <w:t>4</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4F807358">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手持金属探测仪</w:t>
            </w:r>
          </w:p>
        </w:tc>
        <w:tc>
          <w:tcPr>
            <w:tcW w:w="2961" w:type="pct"/>
            <w:tcBorders>
              <w:top w:val="single" w:color="auto" w:sz="4" w:space="0"/>
              <w:left w:val="single" w:color="000000" w:sz="4" w:space="0"/>
              <w:bottom w:val="single" w:color="000000" w:sz="4" w:space="0"/>
              <w:right w:val="single" w:color="000000" w:sz="4" w:space="0"/>
            </w:tcBorders>
            <w:noWrap w:val="0"/>
            <w:vAlign w:val="top"/>
          </w:tcPr>
          <w:p w14:paraId="3CDC07C7">
            <w:pPr>
              <w:pStyle w:val="2"/>
              <w:keepNext w:val="0"/>
              <w:keepLines w:val="0"/>
              <w:pageBreakBefore w:val="0"/>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32" w:name="_Toc831"/>
            <w:r>
              <w:rPr>
                <w:rFonts w:hint="eastAsia" w:ascii="楷体" w:hAnsi="楷体" w:eastAsia="楷体" w:cs="楷体"/>
                <w:color w:val="auto"/>
                <w:sz w:val="18"/>
                <w:szCs w:val="18"/>
              </w:rPr>
              <w:t>一、技术指标</w:t>
            </w:r>
            <w:bookmarkEnd w:id="132"/>
          </w:p>
          <w:p w14:paraId="630917D9">
            <w:pPr>
              <w:pStyle w:val="2"/>
              <w:keepNext w:val="0"/>
              <w:keepLines w:val="0"/>
              <w:pageBreakBefore w:val="0"/>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33" w:name="_Toc6768"/>
            <w:r>
              <w:rPr>
                <w:rFonts w:hint="eastAsia" w:ascii="楷体" w:hAnsi="楷体" w:eastAsia="楷体" w:cs="楷体"/>
                <w:color w:val="auto"/>
                <w:sz w:val="18"/>
                <w:szCs w:val="18"/>
              </w:rPr>
              <w:t>1、产品符合手持式金属探测器通用技术规范等国家标准，符合人工学设计，使用简单、方便，无需调整，应对心脏起搏器的佩带者或其它支持系统，孕妇和磁性媒质软盘、磁带、录像带等无害。</w:t>
            </w:r>
            <w:bookmarkEnd w:id="133"/>
          </w:p>
          <w:p w14:paraId="44B05A9C">
            <w:pPr>
              <w:pStyle w:val="2"/>
              <w:keepNext w:val="0"/>
              <w:keepLines w:val="0"/>
              <w:pageBreakBefore w:val="0"/>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34" w:name="_Toc20196"/>
            <w:r>
              <w:rPr>
                <w:rFonts w:hint="eastAsia" w:ascii="楷体" w:hAnsi="楷体" w:eastAsia="楷体" w:cs="楷体"/>
                <w:color w:val="auto"/>
                <w:sz w:val="18"/>
                <w:szCs w:val="18"/>
              </w:rPr>
              <w:t>2、报警模式：应采用LED灯光加鸣声同时报警或振动报警，适合不同场合需要。</w:t>
            </w:r>
            <w:bookmarkEnd w:id="134"/>
          </w:p>
          <w:p w14:paraId="4EA42A98">
            <w:pPr>
              <w:pStyle w:val="2"/>
              <w:keepNext w:val="0"/>
              <w:keepLines w:val="0"/>
              <w:pageBreakBefore w:val="0"/>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35" w:name="_Toc16095"/>
            <w:r>
              <w:rPr>
                <w:rFonts w:hint="eastAsia" w:ascii="楷体" w:hAnsi="楷体" w:eastAsia="楷体" w:cs="楷体"/>
                <w:color w:val="auto"/>
                <w:sz w:val="18"/>
                <w:szCs w:val="18"/>
              </w:rPr>
              <w:t>3、电池使用时间：应配置镍氢9V充电电池，应可连续工作100小时以上。</w:t>
            </w:r>
            <w:bookmarkEnd w:id="135"/>
          </w:p>
          <w:p w14:paraId="680F9C4B">
            <w:pPr>
              <w:pStyle w:val="2"/>
              <w:keepNext w:val="0"/>
              <w:keepLines w:val="0"/>
              <w:pageBreakBefore w:val="0"/>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36" w:name="_Toc5271"/>
            <w:r>
              <w:rPr>
                <w:rFonts w:hint="eastAsia" w:ascii="楷体" w:hAnsi="楷体" w:eastAsia="楷体" w:cs="楷体"/>
                <w:color w:val="auto"/>
                <w:sz w:val="18"/>
                <w:szCs w:val="18"/>
              </w:rPr>
              <w:t>4、充电功能配置（选配）：产品应配备充电装置，可对电池进行充电。</w:t>
            </w:r>
            <w:bookmarkEnd w:id="136"/>
          </w:p>
          <w:p w14:paraId="3EC39BA2">
            <w:pPr>
              <w:pStyle w:val="2"/>
              <w:keepNext w:val="0"/>
              <w:keepLines w:val="0"/>
              <w:pageBreakBefore w:val="0"/>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37" w:name="_Toc31076"/>
            <w:r>
              <w:rPr>
                <w:rFonts w:hint="eastAsia" w:ascii="楷体" w:hAnsi="楷体" w:eastAsia="楷体" w:cs="楷体"/>
                <w:color w:val="auto"/>
                <w:sz w:val="18"/>
                <w:szCs w:val="18"/>
              </w:rPr>
              <w:t>5、电压欠压提醒：当电池电量不足时，设备应具有指示灯闪烁提醒及时充电或者更换电池。</w:t>
            </w:r>
            <w:bookmarkEnd w:id="137"/>
          </w:p>
          <w:p w14:paraId="7D73A5EE">
            <w:pPr>
              <w:pStyle w:val="2"/>
              <w:keepNext w:val="0"/>
              <w:keepLines w:val="0"/>
              <w:pageBreakBefore w:val="0"/>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38" w:name="_Toc21582"/>
            <w:r>
              <w:rPr>
                <w:rFonts w:hint="eastAsia" w:ascii="楷体" w:hAnsi="楷体" w:eastAsia="楷体" w:cs="楷体"/>
                <w:color w:val="auto"/>
                <w:sz w:val="18"/>
                <w:szCs w:val="18"/>
              </w:rPr>
              <w:t>6、灵敏度调节：4种灵敏度调节（超高灵敏度、高灵敏度、正常灵敏度、低灵敏度）。</w:t>
            </w:r>
            <w:bookmarkEnd w:id="138"/>
          </w:p>
          <w:p w14:paraId="58BA9E4E">
            <w:pPr>
              <w:pStyle w:val="2"/>
              <w:keepNext w:val="0"/>
              <w:keepLines w:val="0"/>
              <w:pageBreakBefore w:val="0"/>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39" w:name="_Toc13838"/>
            <w:r>
              <w:rPr>
                <w:rFonts w:hint="eastAsia" w:ascii="楷体" w:hAnsi="楷体" w:eastAsia="楷体" w:cs="楷体"/>
                <w:color w:val="auto"/>
                <w:sz w:val="18"/>
                <w:szCs w:val="18"/>
              </w:rPr>
              <w:t>7、探测距离：</w:t>
            </w:r>
            <w:bookmarkEnd w:id="139"/>
          </w:p>
          <w:p w14:paraId="362E25E8">
            <w:pPr>
              <w:pStyle w:val="2"/>
              <w:keepNext w:val="0"/>
              <w:keepLines w:val="0"/>
              <w:pageBreakBefore w:val="0"/>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40" w:name="_Toc19974"/>
            <w:r>
              <w:rPr>
                <w:rFonts w:hint="eastAsia" w:ascii="楷体" w:hAnsi="楷体" w:eastAsia="楷体" w:cs="楷体"/>
                <w:color w:val="auto"/>
                <w:sz w:val="18"/>
                <w:szCs w:val="18"/>
              </w:rPr>
              <w:t>超薄刀片：应≤50—80mm；</w:t>
            </w:r>
            <w:bookmarkEnd w:id="140"/>
          </w:p>
          <w:p w14:paraId="2E8D1D16">
            <w:pPr>
              <w:pStyle w:val="2"/>
              <w:keepNext w:val="0"/>
              <w:keepLines w:val="0"/>
              <w:pageBreakBefore w:val="0"/>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41" w:name="_Toc20584"/>
            <w:r>
              <w:rPr>
                <w:rFonts w:hint="eastAsia" w:ascii="楷体" w:hAnsi="楷体" w:eastAsia="楷体" w:cs="楷体"/>
                <w:color w:val="auto"/>
                <w:sz w:val="18"/>
                <w:szCs w:val="18"/>
              </w:rPr>
              <w:t>六四式手枪：应≤50-200mm；</w:t>
            </w:r>
            <w:bookmarkEnd w:id="141"/>
          </w:p>
          <w:p w14:paraId="05DD3678">
            <w:pPr>
              <w:pStyle w:val="2"/>
              <w:keepNext w:val="0"/>
              <w:keepLines w:val="0"/>
              <w:pageBreakBefore w:val="0"/>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42" w:name="_Toc9367"/>
            <w:r>
              <w:rPr>
                <w:rFonts w:hint="eastAsia" w:ascii="楷体" w:hAnsi="楷体" w:eastAsia="楷体" w:cs="楷体"/>
                <w:color w:val="auto"/>
                <w:sz w:val="18"/>
                <w:szCs w:val="18"/>
              </w:rPr>
              <w:t>六寸匕首：应≤30-160mm；</w:t>
            </w:r>
            <w:bookmarkEnd w:id="142"/>
          </w:p>
          <w:p w14:paraId="2D59BEA7">
            <w:pPr>
              <w:pStyle w:val="2"/>
              <w:keepNext w:val="0"/>
              <w:keepLines w:val="0"/>
              <w:pageBreakBefore w:val="0"/>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43" w:name="_Toc10105"/>
            <w:r>
              <w:rPr>
                <w:rFonts w:hint="eastAsia" w:ascii="楷体" w:hAnsi="楷体" w:eastAsia="楷体" w:cs="楷体"/>
                <w:color w:val="auto"/>
                <w:sz w:val="18"/>
                <w:szCs w:val="18"/>
              </w:rPr>
              <w:t>香烟：应≤50-150mm；</w:t>
            </w:r>
            <w:bookmarkEnd w:id="143"/>
          </w:p>
          <w:p w14:paraId="4F00AB6B">
            <w:pPr>
              <w:pStyle w:val="2"/>
              <w:keepNext w:val="0"/>
              <w:keepLines w:val="0"/>
              <w:pageBreakBefore w:val="0"/>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44" w:name="_Toc11316"/>
            <w:r>
              <w:rPr>
                <w:rFonts w:hint="eastAsia" w:ascii="楷体" w:hAnsi="楷体" w:eastAsia="楷体" w:cs="楷体"/>
                <w:color w:val="auto"/>
                <w:sz w:val="18"/>
                <w:szCs w:val="18"/>
              </w:rPr>
              <w:t>一次性打火机：应≤30-100mm。</w:t>
            </w:r>
            <w:bookmarkEnd w:id="144"/>
          </w:p>
          <w:p w14:paraId="4D5A46BD">
            <w:pPr>
              <w:pStyle w:val="2"/>
              <w:keepNext w:val="0"/>
              <w:keepLines w:val="0"/>
              <w:pageBreakBefore w:val="0"/>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45" w:name="_Toc4813"/>
            <w:r>
              <w:rPr>
                <w:rFonts w:hint="eastAsia" w:ascii="楷体" w:hAnsi="楷体" w:eastAsia="楷体" w:cs="楷体"/>
                <w:color w:val="auto"/>
                <w:sz w:val="18"/>
                <w:szCs w:val="18"/>
              </w:rPr>
              <w:t>8、外形尺寸：≤350mm（长）×82mm（宽）×60mm（高）</w:t>
            </w:r>
            <w:bookmarkEnd w:id="145"/>
          </w:p>
          <w:p w14:paraId="2357D131">
            <w:pPr>
              <w:pStyle w:val="2"/>
              <w:keepNext w:val="0"/>
              <w:keepLines w:val="0"/>
              <w:pageBreakBefore w:val="0"/>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46" w:name="_Toc27097"/>
            <w:r>
              <w:rPr>
                <w:rFonts w:hint="eastAsia" w:ascii="楷体" w:hAnsi="楷体" w:eastAsia="楷体" w:cs="楷体"/>
                <w:color w:val="auto"/>
                <w:sz w:val="18"/>
                <w:szCs w:val="18"/>
              </w:rPr>
              <w:t>9、报警声音：≥75dB(A)</w:t>
            </w:r>
            <w:bookmarkEnd w:id="146"/>
          </w:p>
          <w:p w14:paraId="70947734">
            <w:pPr>
              <w:pStyle w:val="2"/>
              <w:keepNext w:val="0"/>
              <w:keepLines w:val="0"/>
              <w:pageBreakBefore w:val="0"/>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47" w:name="_Toc18593"/>
            <w:r>
              <w:rPr>
                <w:rFonts w:hint="eastAsia" w:ascii="楷体" w:hAnsi="楷体" w:eastAsia="楷体" w:cs="楷体"/>
                <w:color w:val="auto"/>
                <w:sz w:val="18"/>
                <w:szCs w:val="18"/>
              </w:rPr>
              <w:t>10、外壳防护等级：IP31</w:t>
            </w:r>
            <w:bookmarkEnd w:id="147"/>
          </w:p>
          <w:p w14:paraId="29B1EB11">
            <w:pPr>
              <w:pStyle w:val="2"/>
              <w:keepNext w:val="0"/>
              <w:keepLines w:val="0"/>
              <w:pageBreakBefore w:val="0"/>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48" w:name="_Toc13107"/>
            <w:r>
              <w:rPr>
                <w:rFonts w:hint="eastAsia" w:ascii="楷体" w:hAnsi="楷体" w:eastAsia="楷体" w:cs="楷体"/>
                <w:color w:val="auto"/>
                <w:sz w:val="18"/>
                <w:szCs w:val="18"/>
              </w:rPr>
              <w:t>11、整机重量：整机重量：≤600g</w:t>
            </w:r>
            <w:bookmarkEnd w:id="148"/>
          </w:p>
          <w:p w14:paraId="19392A57">
            <w:pPr>
              <w:pStyle w:val="2"/>
              <w:keepNext w:val="0"/>
              <w:keepLines w:val="0"/>
              <w:pageBreakBefore w:val="0"/>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49" w:name="_Toc1713"/>
            <w:r>
              <w:rPr>
                <w:rFonts w:hint="eastAsia" w:ascii="楷体" w:hAnsi="楷体" w:eastAsia="楷体" w:cs="楷体"/>
                <w:color w:val="auto"/>
                <w:sz w:val="18"/>
                <w:szCs w:val="18"/>
              </w:rPr>
              <w:t>12、工作环境:工作环境:-20℃- +45℃</w:t>
            </w:r>
            <w:bookmarkEnd w:id="149"/>
          </w:p>
          <w:p w14:paraId="674202C7">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r>
              <w:rPr>
                <w:rFonts w:hint="eastAsia" w:ascii="楷体" w:hAnsi="楷体" w:eastAsia="楷体" w:cs="楷体"/>
                <w:color w:val="auto"/>
                <w:sz w:val="18"/>
                <w:szCs w:val="18"/>
              </w:rPr>
              <w:t>★注：提供由公安部出具的检验报告（加盖生产厂家公章）。</w:t>
            </w:r>
          </w:p>
        </w:tc>
        <w:tc>
          <w:tcPr>
            <w:tcW w:w="433" w:type="pct"/>
            <w:tcBorders>
              <w:top w:val="single" w:color="auto" w:sz="4" w:space="0"/>
              <w:left w:val="single" w:color="000000" w:sz="4" w:space="0"/>
              <w:bottom w:val="single" w:color="000000" w:sz="4" w:space="0"/>
              <w:right w:val="single" w:color="000000" w:sz="4" w:space="0"/>
            </w:tcBorders>
            <w:noWrap w:val="0"/>
            <w:vAlign w:val="center"/>
          </w:tcPr>
          <w:p w14:paraId="45A3E3D3">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2</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34795BD8">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个</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6D96DA39">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bidi="ar"/>
              </w:rPr>
            </w:pPr>
          </w:p>
        </w:tc>
      </w:tr>
      <w:tr w14:paraId="77788050">
        <w:tblPrEx>
          <w:tblCellMar>
            <w:top w:w="0" w:type="dxa"/>
            <w:left w:w="108" w:type="dxa"/>
            <w:bottom w:w="0" w:type="dxa"/>
            <w:right w:w="108" w:type="dxa"/>
          </w:tblCellMar>
        </w:tblPrEx>
        <w:trPr>
          <w:trHeight w:val="1180"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7BA31945">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lang w:eastAsia="zh-CN"/>
              </w:rPr>
            </w:pPr>
            <w:r>
              <w:rPr>
                <w:rFonts w:hint="eastAsia" w:ascii="楷体" w:hAnsi="楷体" w:eastAsia="楷体" w:cs="楷体"/>
                <w:color w:val="auto"/>
                <w:kern w:val="0"/>
                <w:sz w:val="18"/>
                <w:szCs w:val="18"/>
                <w:lang w:val="en-US" w:eastAsia="zh-CN" w:bidi="ar"/>
              </w:rPr>
              <w:t>5</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22CC7CA0">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锥桶</w:t>
            </w:r>
          </w:p>
        </w:tc>
        <w:tc>
          <w:tcPr>
            <w:tcW w:w="2961" w:type="pct"/>
            <w:tcBorders>
              <w:top w:val="single" w:color="000000" w:sz="4" w:space="0"/>
              <w:left w:val="single" w:color="000000" w:sz="4" w:space="0"/>
              <w:bottom w:val="single" w:color="000000" w:sz="4" w:space="0"/>
              <w:right w:val="single" w:color="000000" w:sz="4" w:space="0"/>
            </w:tcBorders>
            <w:noWrap w:val="0"/>
            <w:vAlign w:val="top"/>
          </w:tcPr>
          <w:p w14:paraId="02E3832D">
            <w:pPr>
              <w:pStyle w:val="17"/>
              <w:keepNext w:val="0"/>
              <w:keepLines w:val="0"/>
              <w:pageBreakBefore w:val="0"/>
              <w:numPr>
                <w:ilvl w:val="0"/>
                <w:numId w:val="3"/>
              </w:numPr>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锥体高度≥75CM</w:t>
            </w:r>
          </w:p>
          <w:p w14:paraId="4CEA07FA">
            <w:pPr>
              <w:pStyle w:val="17"/>
              <w:keepNext w:val="0"/>
              <w:keepLines w:val="0"/>
              <w:pageBreakBefore w:val="0"/>
              <w:numPr>
                <w:ilvl w:val="0"/>
                <w:numId w:val="3"/>
              </w:numPr>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路锥重量≥3.5KG</w:t>
            </w:r>
          </w:p>
          <w:p w14:paraId="2D2DC9D5">
            <w:pPr>
              <w:pStyle w:val="17"/>
              <w:keepNext w:val="0"/>
              <w:keepLines w:val="0"/>
              <w:pageBreakBefore w:val="0"/>
              <w:numPr>
                <w:ilvl w:val="0"/>
                <w:numId w:val="3"/>
              </w:numPr>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锥座重量≥2.3KG</w:t>
            </w:r>
          </w:p>
          <w:p w14:paraId="537C36F0">
            <w:pPr>
              <w:pStyle w:val="17"/>
              <w:keepNext w:val="0"/>
              <w:keepLines w:val="0"/>
              <w:pageBreakBefore w:val="0"/>
              <w:numPr>
                <w:ilvl w:val="0"/>
                <w:numId w:val="3"/>
              </w:numPr>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底座为软塑制造</w:t>
            </w:r>
          </w:p>
          <w:p w14:paraId="3B267A70">
            <w:pPr>
              <w:pStyle w:val="17"/>
              <w:keepNext w:val="0"/>
              <w:keepLines w:val="0"/>
              <w:pageBreakBefore w:val="0"/>
              <w:numPr>
                <w:ilvl w:val="0"/>
                <w:numId w:val="3"/>
              </w:numPr>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可抗8级风</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5393BC93">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10</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4BE579CA">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个</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105340EF">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bidi="ar"/>
              </w:rPr>
            </w:pPr>
          </w:p>
        </w:tc>
      </w:tr>
      <w:tr w14:paraId="760C08E7">
        <w:tblPrEx>
          <w:tblCellMar>
            <w:top w:w="0" w:type="dxa"/>
            <w:left w:w="108" w:type="dxa"/>
            <w:bottom w:w="0" w:type="dxa"/>
            <w:right w:w="108" w:type="dxa"/>
          </w:tblCellMar>
        </w:tblPrEx>
        <w:trPr>
          <w:trHeight w:val="90"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4FA196A1">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lang w:eastAsia="zh-CN"/>
              </w:rPr>
            </w:pPr>
            <w:r>
              <w:rPr>
                <w:rFonts w:hint="eastAsia" w:ascii="楷体" w:hAnsi="楷体" w:eastAsia="楷体" w:cs="楷体"/>
                <w:color w:val="auto"/>
                <w:kern w:val="0"/>
                <w:sz w:val="18"/>
                <w:szCs w:val="18"/>
                <w:lang w:val="en-US" w:eastAsia="zh-CN" w:bidi="ar"/>
              </w:rPr>
              <w:t>6</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14:paraId="0C8C0D34">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抓捕器</w:t>
            </w:r>
          </w:p>
        </w:tc>
        <w:tc>
          <w:tcPr>
            <w:tcW w:w="2961" w:type="pct"/>
            <w:tcBorders>
              <w:top w:val="single" w:color="000000" w:sz="4" w:space="0"/>
              <w:left w:val="single" w:color="000000" w:sz="4" w:space="0"/>
              <w:bottom w:val="single" w:color="000000" w:sz="4" w:space="0"/>
              <w:right w:val="single" w:color="000000" w:sz="4" w:space="0"/>
            </w:tcBorders>
            <w:noWrap w:val="0"/>
            <w:vAlign w:val="top"/>
          </w:tcPr>
          <w:p w14:paraId="472F0B52">
            <w:pPr>
              <w:keepNext w:val="0"/>
              <w:keepLines w:val="0"/>
              <w:pageBreakBefore w:val="0"/>
              <w:widowControl/>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 xml:space="preserve">符合GA/T 1145-2014警用约束叉  </w:t>
            </w:r>
          </w:p>
          <w:p w14:paraId="62C33927">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kern w:val="0"/>
                <w:sz w:val="18"/>
                <w:szCs w:val="18"/>
                <w:lang w:eastAsia="zh-CN" w:bidi="ar"/>
              </w:rPr>
            </w:pPr>
            <w:r>
              <w:rPr>
                <w:rFonts w:hint="eastAsia" w:ascii="楷体" w:hAnsi="楷体" w:eastAsia="楷体" w:cs="楷体"/>
                <w:color w:val="auto"/>
                <w:kern w:val="0"/>
                <w:sz w:val="18"/>
                <w:szCs w:val="18"/>
                <w:lang w:bidi="ar"/>
              </w:rPr>
              <w:t>①具有叉脚、叉脖子功能。</w:t>
            </w:r>
          </w:p>
          <w:p w14:paraId="45ED89D6">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kern w:val="0"/>
                <w:sz w:val="18"/>
                <w:szCs w:val="18"/>
                <w:lang w:eastAsia="zh-CN" w:bidi="ar"/>
              </w:rPr>
            </w:pPr>
            <w:r>
              <w:rPr>
                <w:rFonts w:hint="eastAsia" w:ascii="楷体" w:hAnsi="楷体" w:eastAsia="楷体" w:cs="楷体"/>
                <w:color w:val="auto"/>
                <w:kern w:val="0"/>
                <w:sz w:val="18"/>
                <w:szCs w:val="18"/>
                <w:lang w:bidi="ar"/>
              </w:rPr>
              <w:t>②自动锁紧功能。</w:t>
            </w:r>
          </w:p>
          <w:p w14:paraId="55D1B0A2">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kern w:val="0"/>
                <w:sz w:val="18"/>
                <w:szCs w:val="18"/>
                <w:lang w:eastAsia="zh-CN" w:bidi="ar"/>
              </w:rPr>
            </w:pPr>
            <w:r>
              <w:rPr>
                <w:rFonts w:hint="eastAsia" w:ascii="楷体" w:hAnsi="楷体" w:eastAsia="楷体" w:cs="楷体"/>
                <w:color w:val="auto"/>
                <w:kern w:val="0"/>
                <w:sz w:val="18"/>
                <w:szCs w:val="18"/>
                <w:lang w:bidi="ar"/>
              </w:rPr>
              <w:t>③开关采用杠杆式按钮设计，开合轻松不费力。</w:t>
            </w:r>
          </w:p>
          <w:p w14:paraId="5794DE8F">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kern w:val="0"/>
                <w:sz w:val="18"/>
                <w:szCs w:val="18"/>
                <w:lang w:eastAsia="zh-CN" w:bidi="ar"/>
              </w:rPr>
            </w:pPr>
            <w:r>
              <w:rPr>
                <w:rFonts w:hint="eastAsia" w:ascii="楷体" w:hAnsi="楷体" w:eastAsia="楷体" w:cs="楷体"/>
                <w:color w:val="auto"/>
                <w:kern w:val="0"/>
                <w:sz w:val="18"/>
                <w:szCs w:val="18"/>
                <w:lang w:bidi="ar"/>
              </w:rPr>
              <w:t>④叉头和杆体采用铝合金材质，坚固耐用。</w:t>
            </w:r>
          </w:p>
          <w:p w14:paraId="4C7738E1">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kern w:val="0"/>
                <w:sz w:val="18"/>
                <w:szCs w:val="18"/>
                <w:lang w:bidi="ar"/>
              </w:rPr>
            </w:pPr>
            <w:r>
              <w:rPr>
                <w:rFonts w:hint="eastAsia" w:ascii="楷体" w:hAnsi="楷体" w:eastAsia="楷体" w:cs="楷体"/>
                <w:color w:val="auto"/>
                <w:kern w:val="0"/>
                <w:sz w:val="18"/>
                <w:szCs w:val="18"/>
                <w:lang w:bidi="ar"/>
              </w:rPr>
              <w:t>⑤尾部有钢锥设计，可破窗具有很强的使用价值。</w:t>
            </w:r>
          </w:p>
          <w:p w14:paraId="06107D2E">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1产品由叉头、叉杆、连接部位和握持部位等组成。</w:t>
            </w:r>
          </w:p>
          <w:p w14:paraId="21368574">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2尺寸检验：工作长度：2110mm,携行长度：1280mm,叉杆握持部位直径：33mm，叉头闭合无缝隙,质量：≤2.25kg，</w:t>
            </w:r>
            <w:r>
              <w:rPr>
                <w:rFonts w:hint="eastAsia" w:ascii="楷体" w:hAnsi="楷体" w:eastAsia="楷体" w:cs="楷体"/>
                <w:color w:val="auto"/>
                <w:kern w:val="0"/>
                <w:sz w:val="18"/>
                <w:szCs w:val="18"/>
                <w:lang w:bidi="ar"/>
              </w:rPr>
              <w:t>月牙环最大直径:350±10mm，月牙环闭合圆宽度:170±5mm</w:t>
            </w:r>
          </w:p>
          <w:p w14:paraId="4E898A3D">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3状态转换时间：警用约束叉的携行状态与工作状态能快速有限的转换，转换时间应≤6S</w:t>
            </w:r>
          </w:p>
          <w:p w14:paraId="5C7BF78B">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4快速约束功能：通过操作控制部件叉套被约束对象，叉头叉套约束部位并闭合时间不大于5S</w:t>
            </w:r>
          </w:p>
          <w:p w14:paraId="0F86D929">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5抗破坏能力检验：警用约束叉在叉头闭合的状态下，沿着叉杆轴向承受500N的静压力，沿叉头开启闭合方向承受500N的静压力，叉杆的中点承受500N横向力，叉杆不出现裂纹、断裂或拉脱</w:t>
            </w:r>
          </w:p>
          <w:p w14:paraId="662F9555">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eastAsia="zh-CN"/>
              </w:rPr>
            </w:pPr>
            <w:r>
              <w:rPr>
                <w:rFonts w:hint="eastAsia" w:ascii="楷体" w:hAnsi="楷体" w:eastAsia="楷体" w:cs="楷体"/>
                <w:color w:val="auto"/>
                <w:sz w:val="18"/>
                <w:szCs w:val="18"/>
              </w:rPr>
              <w:t>6.叉头操作可靠性：≥1000次的开启状态与锁合状态循环使用后，能正常工作</w:t>
            </w:r>
            <w:r>
              <w:rPr>
                <w:rFonts w:hint="eastAsia" w:ascii="楷体" w:hAnsi="楷体" w:eastAsia="楷体" w:cs="楷体"/>
                <w:color w:val="auto"/>
                <w:sz w:val="18"/>
                <w:szCs w:val="18"/>
                <w:lang w:eastAsia="zh-CN"/>
              </w:rPr>
              <w:t>。</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60C25E2D">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5</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28ED4514">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套</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76CCD128">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bidi="ar"/>
              </w:rPr>
            </w:pPr>
          </w:p>
        </w:tc>
      </w:tr>
      <w:tr w14:paraId="419692F0">
        <w:tblPrEx>
          <w:tblCellMar>
            <w:top w:w="0" w:type="dxa"/>
            <w:left w:w="108" w:type="dxa"/>
            <w:bottom w:w="0" w:type="dxa"/>
            <w:right w:w="108" w:type="dxa"/>
          </w:tblCellMar>
        </w:tblPrEx>
        <w:trPr>
          <w:trHeight w:val="1134"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31E7D4AA">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lang w:eastAsia="zh-CN"/>
              </w:rPr>
            </w:pPr>
            <w:r>
              <w:rPr>
                <w:rFonts w:hint="eastAsia" w:ascii="楷体" w:hAnsi="楷体" w:eastAsia="楷体" w:cs="楷体"/>
                <w:color w:val="auto"/>
                <w:kern w:val="0"/>
                <w:sz w:val="18"/>
                <w:szCs w:val="18"/>
                <w:lang w:val="en-US" w:eastAsia="zh-CN" w:bidi="ar"/>
              </w:rPr>
              <w:t>7</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6E3BB424">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警戒带</w:t>
            </w:r>
          </w:p>
        </w:tc>
        <w:tc>
          <w:tcPr>
            <w:tcW w:w="2961" w:type="pct"/>
            <w:tcBorders>
              <w:top w:val="single" w:color="000000" w:sz="4" w:space="0"/>
              <w:left w:val="single" w:color="000000" w:sz="4" w:space="0"/>
              <w:bottom w:val="single" w:color="000000" w:sz="4" w:space="0"/>
              <w:right w:val="single" w:color="000000" w:sz="4" w:space="0"/>
            </w:tcBorders>
            <w:noWrap w:val="0"/>
            <w:vAlign w:val="top"/>
          </w:tcPr>
          <w:p w14:paraId="73B9E194">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功能：用于在特定场所警示禁止进入范围的带状标志物。</w:t>
            </w:r>
          </w:p>
          <w:p w14:paraId="20EF6A42">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执行标准：符合《GA/T 375-2016 警戒带》中相关要求；</w:t>
            </w:r>
          </w:p>
          <w:p w14:paraId="161CE24E">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1、结构</w:t>
            </w:r>
          </w:p>
          <w:p w14:paraId="703F7E98">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警戒带由带体和收放盒组成。</w:t>
            </w:r>
          </w:p>
          <w:p w14:paraId="2A26D057">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2、外观</w:t>
            </w:r>
          </w:p>
          <w:p w14:paraId="488BE383">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带体和收放盒质地均匀、边缘整齐、无毛边、无凹凸、平整圆滑、图标字迹清晰、表面无明显污迹。</w:t>
            </w:r>
          </w:p>
          <w:p w14:paraId="51A6E4E6">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3、标识</w:t>
            </w:r>
          </w:p>
          <w:p w14:paraId="333E2070">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企业技术要求∶在乳白色带体上印有"警察""POLICE"字样和"禁止通行"标识，字体和标识应在乳白色区域的居中位置;"警察"字样应为黑体，字高 35mm±2mm，字 宽40mm ± 2mm，字 间 距 45 ±2mm;"POLICE"字样应为黑体大写英文字母，字母高35mm±2mm，总宽为145mm ±2mm。</w:t>
            </w:r>
          </w:p>
          <w:p w14:paraId="6655D331">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4、颜色</w:t>
            </w:r>
          </w:p>
          <w:p w14:paraId="3C37581C">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企业技术要求∶带体由乳白色（反光带）和蓝色相间组成主体颜色。带体上的"警察""POLICE""禁止通行"标志的颜色为红色。带体上相同部位颜色应一致。</w:t>
            </w:r>
          </w:p>
          <w:p w14:paraId="32575E8F">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5、规格</w:t>
            </w:r>
          </w:p>
          <w:p w14:paraId="7CBC4754">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带体长度：长度为119.8m 宽度为50.5mm。</w:t>
            </w:r>
          </w:p>
          <w:p w14:paraId="67B8E2B3">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6、抗跌落性能</w:t>
            </w:r>
          </w:p>
          <w:p w14:paraId="65488393">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警戒带自1.2m高处自由跌落至水泥地面后，收放盒没有出现开裂、破碎等现象，并能正常收放。</w:t>
            </w:r>
          </w:p>
          <w:p w14:paraId="23B14B1F">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7、物理性能</w:t>
            </w:r>
          </w:p>
          <w:p w14:paraId="7764C706">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企业技术要求∶断裂强力（经向）/N∶649N</w:t>
            </w:r>
          </w:p>
          <w:p w14:paraId="5E5B3167">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企业技术要求∶断裂伸长率（经向）/%∶23%</w:t>
            </w:r>
          </w:p>
          <w:p w14:paraId="3810BCCF">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企业技术要求∶单位长度质量/（g/m）∶4.3g/m</w:t>
            </w:r>
          </w:p>
          <w:p w14:paraId="4065AF73">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企业技术要求∶企业技术要求∶银灰色反光带逆反射系数/[cd/(1x·㎡)]：0.52[cd/(1x·㎡)]</w:t>
            </w:r>
          </w:p>
          <w:p w14:paraId="0FDD387D">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8、色牢度</w:t>
            </w:r>
          </w:p>
          <w:p w14:paraId="53CFB14F">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耐水色牢度：变色：3级 沾色：3级</w:t>
            </w:r>
          </w:p>
          <w:p w14:paraId="423CA6EB">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耐摩擦色牢度（经向）：干摩：2级 湿摩：2级</w:t>
            </w:r>
          </w:p>
          <w:p w14:paraId="5A2B7835">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9、收放盒</w:t>
            </w:r>
          </w:p>
          <w:p w14:paraId="352BFC05">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企业技术要求∶收放盒主体颜色为蓝色；收放盒表面无毛刺、锈迹和明显划痕；收放警戒带时操作方便、转动灵活。</w:t>
            </w:r>
          </w:p>
          <w:p w14:paraId="7D34866D">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10、高温试验</w:t>
            </w:r>
          </w:p>
          <w:p w14:paraId="009A871A">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警戒带在温度+55℃±2℃条件下保持2h，取出后无粘连、无沾色、无裂纹，并能正常使用。</w:t>
            </w:r>
          </w:p>
          <w:p w14:paraId="0F213736">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11、低温试验</w:t>
            </w:r>
          </w:p>
          <w:p w14:paraId="0F07A90B">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警戒带在温度-20℃±2℃条件下保持2h，取出后无粘连、无沾色、无裂纹，并能正常使用。</w:t>
            </w:r>
          </w:p>
          <w:p w14:paraId="04888B27">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7571D884">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5</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4143AB4D">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盒</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3FEB4342">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bidi="ar"/>
              </w:rPr>
            </w:pPr>
          </w:p>
        </w:tc>
      </w:tr>
      <w:tr w14:paraId="344F48D0">
        <w:tblPrEx>
          <w:tblCellMar>
            <w:top w:w="0" w:type="dxa"/>
            <w:left w:w="108" w:type="dxa"/>
            <w:bottom w:w="0" w:type="dxa"/>
            <w:right w:w="108" w:type="dxa"/>
          </w:tblCellMar>
        </w:tblPrEx>
        <w:trPr>
          <w:trHeight w:val="1014"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236C66AB">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lang w:eastAsia="zh-CN"/>
              </w:rPr>
            </w:pPr>
            <w:r>
              <w:rPr>
                <w:rFonts w:hint="eastAsia" w:ascii="楷体" w:hAnsi="楷体" w:eastAsia="楷体" w:cs="楷体"/>
                <w:color w:val="auto"/>
                <w:kern w:val="0"/>
                <w:sz w:val="18"/>
                <w:szCs w:val="18"/>
                <w:lang w:val="en-US" w:eastAsia="zh-CN" w:bidi="ar"/>
              </w:rPr>
              <w:t>8</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4B8601A8">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二轮电动车电瓶</w:t>
            </w:r>
          </w:p>
        </w:tc>
        <w:tc>
          <w:tcPr>
            <w:tcW w:w="2961" w:type="pct"/>
            <w:tcBorders>
              <w:top w:val="single" w:color="000000" w:sz="4" w:space="0"/>
              <w:left w:val="single" w:color="000000" w:sz="4" w:space="0"/>
              <w:bottom w:val="single" w:color="000000" w:sz="4" w:space="0"/>
              <w:right w:val="single" w:color="000000" w:sz="4" w:space="0"/>
            </w:tcBorders>
            <w:noWrap w:val="0"/>
            <w:vAlign w:val="center"/>
          </w:tcPr>
          <w:p w14:paraId="46E23401">
            <w:pPr>
              <w:keepNext w:val="0"/>
              <w:keepLines w:val="0"/>
              <w:pageBreakBefore w:val="0"/>
              <w:widowControl/>
              <w:numPr>
                <w:ilvl w:val="0"/>
                <w:numId w:val="0"/>
              </w:numPr>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r>
              <w:rPr>
                <w:rFonts w:hint="eastAsia" w:ascii="楷体" w:hAnsi="楷体" w:eastAsia="楷体" w:cs="楷体"/>
                <w:color w:val="auto"/>
                <w:kern w:val="2"/>
                <w:sz w:val="18"/>
                <w:szCs w:val="18"/>
                <w:lang w:val="en-US" w:eastAsia="zh-CN" w:bidi="ar-SA"/>
              </w:rPr>
              <w:t>1、</w:t>
            </w:r>
            <w:r>
              <w:rPr>
                <w:rFonts w:hint="eastAsia" w:ascii="楷体" w:hAnsi="楷体" w:eastAsia="楷体" w:cs="楷体"/>
                <w:color w:val="auto"/>
                <w:sz w:val="18"/>
                <w:szCs w:val="18"/>
              </w:rPr>
              <w:t>铅酸电池</w:t>
            </w:r>
          </w:p>
          <w:p w14:paraId="5AFF68C5">
            <w:pPr>
              <w:pStyle w:val="2"/>
              <w:keepNext w:val="0"/>
              <w:keepLines w:val="0"/>
              <w:pageBreakBefore w:val="0"/>
              <w:numPr>
                <w:ilvl w:val="0"/>
                <w:numId w:val="0"/>
              </w:numPr>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50" w:name="_Toc6856"/>
            <w:r>
              <w:rPr>
                <w:rFonts w:hint="eastAsia" w:ascii="楷体" w:hAnsi="楷体" w:eastAsia="楷体" w:cs="楷体"/>
                <w:color w:val="auto"/>
                <w:kern w:val="2"/>
                <w:sz w:val="18"/>
                <w:szCs w:val="18"/>
                <w:lang w:val="en-US" w:eastAsia="zh-CN" w:bidi="ar-SA"/>
              </w:rPr>
              <w:t>2、</w:t>
            </w:r>
            <w:r>
              <w:rPr>
                <w:rFonts w:hint="eastAsia" w:ascii="楷体" w:hAnsi="楷体" w:eastAsia="楷体" w:cs="楷体"/>
                <w:color w:val="auto"/>
                <w:sz w:val="18"/>
                <w:szCs w:val="18"/>
              </w:rPr>
              <w:t>≥72V32.3A</w:t>
            </w:r>
            <w:bookmarkEnd w:id="150"/>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451DE759">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2</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15688125">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套</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4AF102CE">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bidi="ar"/>
              </w:rPr>
            </w:pPr>
          </w:p>
        </w:tc>
      </w:tr>
      <w:tr w14:paraId="06A69AFF">
        <w:tblPrEx>
          <w:tblCellMar>
            <w:top w:w="0" w:type="dxa"/>
            <w:left w:w="108" w:type="dxa"/>
            <w:bottom w:w="0" w:type="dxa"/>
            <w:right w:w="108" w:type="dxa"/>
          </w:tblCellMar>
        </w:tblPrEx>
        <w:trPr>
          <w:trHeight w:val="994"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77CFBF13">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lang w:val="en-US" w:eastAsia="zh-CN"/>
              </w:rPr>
            </w:pPr>
            <w:r>
              <w:rPr>
                <w:rFonts w:hint="eastAsia" w:ascii="楷体" w:hAnsi="楷体" w:eastAsia="楷体" w:cs="楷体"/>
                <w:color w:val="auto"/>
                <w:kern w:val="0"/>
                <w:sz w:val="18"/>
                <w:szCs w:val="18"/>
                <w:lang w:val="en-US" w:eastAsia="zh-CN" w:bidi="ar"/>
              </w:rPr>
              <w:t>9</w:t>
            </w:r>
          </w:p>
        </w:tc>
        <w:tc>
          <w:tcPr>
            <w:tcW w:w="702" w:type="pct"/>
            <w:tcBorders>
              <w:top w:val="single" w:color="000000" w:sz="4" w:space="0"/>
              <w:left w:val="single" w:color="000000" w:sz="4" w:space="0"/>
              <w:bottom w:val="single" w:color="000000" w:sz="4" w:space="0"/>
              <w:right w:val="single" w:color="auto" w:sz="4" w:space="0"/>
            </w:tcBorders>
            <w:noWrap/>
            <w:vAlign w:val="center"/>
          </w:tcPr>
          <w:p w14:paraId="52CC37C5">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操作台</w:t>
            </w:r>
          </w:p>
        </w:tc>
        <w:tc>
          <w:tcPr>
            <w:tcW w:w="2961" w:type="pct"/>
            <w:tcBorders>
              <w:top w:val="single" w:color="auto" w:sz="4" w:space="0"/>
              <w:left w:val="single" w:color="auto" w:sz="4" w:space="0"/>
              <w:bottom w:val="single" w:color="auto" w:sz="4" w:space="0"/>
              <w:right w:val="single" w:color="auto" w:sz="4" w:space="0"/>
            </w:tcBorders>
            <w:noWrap w:val="0"/>
            <w:vAlign w:val="top"/>
          </w:tcPr>
          <w:p w14:paraId="2C2ECD52">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r>
              <w:rPr>
                <w:rFonts w:hint="eastAsia" w:ascii="楷体" w:hAnsi="楷体" w:eastAsia="楷体" w:cs="楷体"/>
                <w:color w:val="auto"/>
                <w:sz w:val="18"/>
                <w:szCs w:val="18"/>
              </w:rPr>
              <w:t>1、框架≥1.2MM(冷轧钢板)</w:t>
            </w:r>
          </w:p>
          <w:p w14:paraId="70DB7AAC">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r>
              <w:rPr>
                <w:rFonts w:hint="eastAsia" w:ascii="楷体" w:hAnsi="楷体" w:eastAsia="楷体" w:cs="楷体"/>
                <w:color w:val="auto"/>
                <w:sz w:val="18"/>
                <w:szCs w:val="18"/>
              </w:rPr>
              <w:t>2、立柱≥1.5MM(冷轧钢板)</w:t>
            </w:r>
          </w:p>
          <w:p w14:paraId="2536B514">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r>
              <w:rPr>
                <w:rFonts w:hint="eastAsia" w:ascii="楷体" w:hAnsi="楷体" w:eastAsia="楷体" w:cs="楷体"/>
                <w:color w:val="auto"/>
                <w:sz w:val="18"/>
                <w:szCs w:val="18"/>
              </w:rPr>
              <w:t>3、桌面≥20MM(防火木面)</w:t>
            </w:r>
          </w:p>
          <w:p w14:paraId="686B6991">
            <w:pPr>
              <w:pStyle w:val="2"/>
              <w:keepNext w:val="0"/>
              <w:keepLines w:val="0"/>
              <w:pageBreakBefore w:val="0"/>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51" w:name="_Toc6716"/>
            <w:r>
              <w:rPr>
                <w:rFonts w:hint="eastAsia" w:ascii="楷体" w:hAnsi="楷体" w:eastAsia="楷体" w:cs="楷体"/>
                <w:color w:val="auto"/>
                <w:sz w:val="18"/>
                <w:szCs w:val="18"/>
              </w:rPr>
              <w:t>4、长度≥2400MM,宽度≥900MM,高度≥750MM</w:t>
            </w:r>
            <w:bookmarkEnd w:id="151"/>
          </w:p>
        </w:tc>
        <w:tc>
          <w:tcPr>
            <w:tcW w:w="433" w:type="pct"/>
            <w:tcBorders>
              <w:top w:val="single" w:color="000000" w:sz="4" w:space="0"/>
              <w:left w:val="single" w:color="auto" w:sz="4" w:space="0"/>
              <w:bottom w:val="single" w:color="000000" w:sz="4" w:space="0"/>
              <w:right w:val="single" w:color="000000" w:sz="4" w:space="0"/>
            </w:tcBorders>
            <w:noWrap w:val="0"/>
            <w:vAlign w:val="center"/>
          </w:tcPr>
          <w:p w14:paraId="03E6FEC9">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1</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7E0662A1">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套</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7F479F2B">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bidi="ar"/>
              </w:rPr>
            </w:pPr>
          </w:p>
        </w:tc>
      </w:tr>
      <w:tr w14:paraId="59053E37">
        <w:tblPrEx>
          <w:tblCellMar>
            <w:top w:w="0" w:type="dxa"/>
            <w:left w:w="108" w:type="dxa"/>
            <w:bottom w:w="0" w:type="dxa"/>
            <w:right w:w="108" w:type="dxa"/>
          </w:tblCellMar>
        </w:tblPrEx>
        <w:trPr>
          <w:trHeight w:val="1134"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1A22570B">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lang w:val="en-US" w:eastAsia="zh-CN"/>
              </w:rPr>
            </w:pPr>
            <w:r>
              <w:rPr>
                <w:rFonts w:hint="eastAsia" w:ascii="楷体" w:hAnsi="楷体" w:eastAsia="楷体" w:cs="楷体"/>
                <w:color w:val="auto"/>
                <w:kern w:val="0"/>
                <w:sz w:val="18"/>
                <w:szCs w:val="18"/>
                <w:lang w:val="en-US" w:eastAsia="zh-CN" w:bidi="ar"/>
              </w:rPr>
              <w:t>10</w:t>
            </w:r>
          </w:p>
        </w:tc>
        <w:tc>
          <w:tcPr>
            <w:tcW w:w="702" w:type="pct"/>
            <w:tcBorders>
              <w:top w:val="single" w:color="000000" w:sz="4" w:space="0"/>
              <w:left w:val="single" w:color="000000" w:sz="4" w:space="0"/>
              <w:bottom w:val="single" w:color="000000" w:sz="4" w:space="0"/>
              <w:right w:val="single" w:color="auto" w:sz="4" w:space="0"/>
            </w:tcBorders>
            <w:noWrap/>
            <w:vAlign w:val="center"/>
          </w:tcPr>
          <w:p w14:paraId="365A7235">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多功能作战背心</w:t>
            </w:r>
          </w:p>
        </w:tc>
        <w:tc>
          <w:tcPr>
            <w:tcW w:w="2961" w:type="pct"/>
            <w:tcBorders>
              <w:top w:val="single" w:color="auto" w:sz="4" w:space="0"/>
              <w:left w:val="single" w:color="auto" w:sz="4" w:space="0"/>
              <w:bottom w:val="single" w:color="auto" w:sz="4" w:space="0"/>
              <w:right w:val="single" w:color="auto" w:sz="4" w:space="0"/>
            </w:tcBorders>
            <w:noWrap w:val="0"/>
            <w:vAlign w:val="top"/>
          </w:tcPr>
          <w:p w14:paraId="5D1D84EA">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lang w:eastAsia="zh-CN"/>
              </w:rPr>
            </w:pPr>
            <w:r>
              <w:rPr>
                <w:rFonts w:hint="eastAsia" w:ascii="楷体" w:hAnsi="楷体" w:eastAsia="楷体" w:cs="楷体"/>
                <w:color w:val="auto"/>
                <w:sz w:val="18"/>
                <w:szCs w:val="18"/>
              </w:rPr>
              <w:t>一、概述</w:t>
            </w:r>
          </w:p>
          <w:p w14:paraId="2DACF8FA">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lang w:eastAsia="zh-CN"/>
              </w:rPr>
            </w:pPr>
            <w:r>
              <w:rPr>
                <w:rFonts w:hint="eastAsia" w:ascii="楷体" w:hAnsi="楷体" w:eastAsia="楷体" w:cs="楷体"/>
                <w:color w:val="auto"/>
                <w:sz w:val="18"/>
                <w:szCs w:val="18"/>
              </w:rPr>
              <w:t>作战背心采用快拆结构，穿着轻便，便于训练及执行任务中做各种战术动作，可根据任务的不同来挂载不同的装备附包。持久耐用，采用适合战术使用的牛津布材料，前胸、后背可插防护胸插板，具有耐压、耐撕裂、抗腐蚀和高拉力、有超强的耐磨性能；缝合线结实；使用寿命长。有灵活的组合能力，可根据任务携装的不同的挂载、不同的装备附袋等。</w:t>
            </w:r>
          </w:p>
          <w:p w14:paraId="3215F0A6">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lang w:eastAsia="zh-CN"/>
              </w:rPr>
            </w:pPr>
            <w:r>
              <w:rPr>
                <w:rFonts w:hint="eastAsia" w:ascii="楷体" w:hAnsi="楷体" w:eastAsia="楷体" w:cs="楷体"/>
                <w:color w:val="auto"/>
                <w:sz w:val="18"/>
                <w:szCs w:val="18"/>
              </w:rPr>
              <w:t>二、参数</w:t>
            </w:r>
          </w:p>
          <w:p w14:paraId="2122E544">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lang w:eastAsia="zh-CN"/>
              </w:rPr>
            </w:pPr>
            <w:r>
              <w:rPr>
                <w:rFonts w:hint="eastAsia" w:ascii="楷体" w:hAnsi="楷体" w:eastAsia="楷体" w:cs="楷体"/>
                <w:color w:val="auto"/>
                <w:sz w:val="18"/>
                <w:szCs w:val="18"/>
              </w:rPr>
              <w:t>1.外观：面料、里料、机织带等主辅材料表面无残次。缝纫部位缝制牢固、规整。平展、直顺，不得有开线断线、跳针漏针、错位等缺陷</w:t>
            </w:r>
          </w:p>
          <w:p w14:paraId="7A7AF981">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lang w:eastAsia="zh-CN"/>
              </w:rPr>
            </w:pPr>
            <w:r>
              <w:rPr>
                <w:rFonts w:hint="eastAsia" w:ascii="楷体" w:hAnsi="楷体" w:eastAsia="楷体" w:cs="楷体"/>
                <w:color w:val="auto"/>
                <w:sz w:val="18"/>
                <w:szCs w:val="18"/>
              </w:rPr>
              <w:t>2.结构：马夹背心式，通过腰部、肩部插扣调节扣合, 前胸、后背可插防护胸插板。     </w:t>
            </w:r>
          </w:p>
          <w:p w14:paraId="474DA224">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lang w:eastAsia="zh-CN"/>
              </w:rPr>
            </w:pPr>
            <w:r>
              <w:rPr>
                <w:rFonts w:hint="eastAsia" w:ascii="楷体" w:hAnsi="楷体" w:eastAsia="楷体" w:cs="楷体"/>
                <w:color w:val="auto"/>
                <w:sz w:val="18"/>
                <w:szCs w:val="18"/>
              </w:rPr>
              <w:t>3.材质：牛津布</w:t>
            </w:r>
          </w:p>
          <w:p w14:paraId="12AFC26C">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lang w:eastAsia="zh-CN"/>
              </w:rPr>
            </w:pPr>
            <w:r>
              <w:rPr>
                <w:rFonts w:hint="eastAsia" w:ascii="楷体" w:hAnsi="楷体" w:eastAsia="楷体" w:cs="楷体"/>
                <w:color w:val="auto"/>
                <w:sz w:val="18"/>
                <w:szCs w:val="18"/>
              </w:rPr>
              <w:t>4.颜色：黑色</w:t>
            </w:r>
          </w:p>
          <w:p w14:paraId="327F5BBA">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lang w:eastAsia="zh-CN"/>
              </w:rPr>
            </w:pPr>
            <w:r>
              <w:rPr>
                <w:rFonts w:hint="eastAsia" w:ascii="楷体" w:hAnsi="楷体" w:eastAsia="楷体" w:cs="楷体"/>
                <w:color w:val="auto"/>
                <w:sz w:val="18"/>
                <w:szCs w:val="18"/>
              </w:rPr>
              <w:t>5.缝纫：缝纫线迹顺直，针距均匀，松紧适宜，无连续跳线、开线、漏针、线头等缺陷。缝纫针密度  7针/30mm~11针/30mm。</w:t>
            </w:r>
          </w:p>
          <w:p w14:paraId="2EF670C4">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lang w:eastAsia="zh-CN"/>
              </w:rPr>
            </w:pPr>
            <w:r>
              <w:rPr>
                <w:rFonts w:hint="eastAsia" w:ascii="楷体" w:hAnsi="楷体" w:eastAsia="楷体" w:cs="楷体"/>
                <w:color w:val="auto"/>
                <w:sz w:val="18"/>
                <w:szCs w:val="18"/>
              </w:rPr>
              <w:t>6.尼龙搭扣带：扣合强度≥7.0N/㎝²，撕接强度≥1.3N/㎝；</w:t>
            </w:r>
          </w:p>
          <w:p w14:paraId="57549FD8">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lang w:eastAsia="zh-CN"/>
              </w:rPr>
            </w:pPr>
            <w:r>
              <w:rPr>
                <w:rFonts w:hint="eastAsia" w:ascii="楷体" w:hAnsi="楷体" w:eastAsia="楷体" w:cs="楷体"/>
                <w:color w:val="auto"/>
                <w:sz w:val="18"/>
                <w:szCs w:val="18"/>
              </w:rPr>
              <w:t>7.插扣扣合强力：≥300N；腰部插扣脱扣强力：≤80N</w:t>
            </w:r>
          </w:p>
          <w:p w14:paraId="6FCB74A2">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r>
              <w:rPr>
                <w:rFonts w:hint="eastAsia" w:ascii="楷体" w:hAnsi="楷体" w:eastAsia="楷体" w:cs="楷体"/>
                <w:color w:val="auto"/>
                <w:sz w:val="18"/>
                <w:szCs w:val="18"/>
              </w:rPr>
              <w:t>8.面料：耐刷洗色牢度≥4级，耐汗渍色牢度≥3~4级，耐光色牢度≥4~5级。</w:t>
            </w:r>
          </w:p>
        </w:tc>
        <w:tc>
          <w:tcPr>
            <w:tcW w:w="433" w:type="pct"/>
            <w:tcBorders>
              <w:top w:val="single" w:color="000000" w:sz="4" w:space="0"/>
              <w:left w:val="single" w:color="auto" w:sz="4" w:space="0"/>
              <w:bottom w:val="single" w:color="000000" w:sz="4" w:space="0"/>
              <w:right w:val="single" w:color="000000" w:sz="4" w:space="0"/>
            </w:tcBorders>
            <w:noWrap w:val="0"/>
            <w:vAlign w:val="center"/>
          </w:tcPr>
          <w:p w14:paraId="66FC28C8">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30</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0F640022">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件</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3B1F075E">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bidi="ar"/>
              </w:rPr>
            </w:pPr>
          </w:p>
        </w:tc>
      </w:tr>
      <w:tr w14:paraId="00CE0719">
        <w:tblPrEx>
          <w:tblCellMar>
            <w:top w:w="0" w:type="dxa"/>
            <w:left w:w="108" w:type="dxa"/>
            <w:bottom w:w="0" w:type="dxa"/>
            <w:right w:w="108" w:type="dxa"/>
          </w:tblCellMar>
        </w:tblPrEx>
        <w:trPr>
          <w:trHeight w:val="3855"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4C059FC7">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lang w:eastAsia="zh-CN"/>
              </w:rPr>
            </w:pPr>
            <w:r>
              <w:rPr>
                <w:rFonts w:hint="eastAsia" w:ascii="楷体" w:hAnsi="楷体" w:eastAsia="楷体" w:cs="楷体"/>
                <w:color w:val="auto"/>
                <w:kern w:val="0"/>
                <w:sz w:val="18"/>
                <w:szCs w:val="18"/>
                <w:lang w:bidi="ar"/>
              </w:rPr>
              <w:t>1</w:t>
            </w:r>
            <w:r>
              <w:rPr>
                <w:rFonts w:hint="eastAsia" w:ascii="楷体" w:hAnsi="楷体" w:eastAsia="楷体" w:cs="楷体"/>
                <w:color w:val="auto"/>
                <w:kern w:val="0"/>
                <w:sz w:val="18"/>
                <w:szCs w:val="18"/>
                <w:lang w:val="en-US" w:eastAsia="zh-CN" w:bidi="ar"/>
              </w:rPr>
              <w:t>1</w:t>
            </w:r>
          </w:p>
        </w:tc>
        <w:tc>
          <w:tcPr>
            <w:tcW w:w="702" w:type="pct"/>
            <w:tcBorders>
              <w:top w:val="single" w:color="000000" w:sz="4" w:space="0"/>
              <w:left w:val="single" w:color="000000" w:sz="4" w:space="0"/>
              <w:bottom w:val="single" w:color="000000" w:sz="4" w:space="0"/>
              <w:right w:val="single" w:color="auto" w:sz="4" w:space="0"/>
            </w:tcBorders>
            <w:noWrap/>
            <w:vAlign w:val="center"/>
          </w:tcPr>
          <w:p w14:paraId="46CF1C45">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战术头盔</w:t>
            </w:r>
          </w:p>
        </w:tc>
        <w:tc>
          <w:tcPr>
            <w:tcW w:w="2961" w:type="pct"/>
            <w:tcBorders>
              <w:top w:val="single" w:color="auto" w:sz="4" w:space="0"/>
              <w:left w:val="single" w:color="auto" w:sz="4" w:space="0"/>
              <w:bottom w:val="single" w:color="auto" w:sz="4" w:space="0"/>
              <w:right w:val="single" w:color="auto" w:sz="4" w:space="0"/>
            </w:tcBorders>
            <w:noWrap w:val="0"/>
            <w:vAlign w:val="top"/>
          </w:tcPr>
          <w:p w14:paraId="41A5BCB9">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1.产品符合</w:t>
            </w:r>
            <w:r>
              <w:rPr>
                <w:rFonts w:hint="eastAsia" w:ascii="楷体" w:hAnsi="楷体" w:eastAsia="楷体" w:cs="楷体"/>
                <w:color w:val="auto"/>
                <w:sz w:val="18"/>
                <w:szCs w:val="18"/>
                <w:lang w:val="en-US" w:eastAsia="zh-CN"/>
              </w:rPr>
              <w:fldChar w:fldCharType="begin"/>
            </w:r>
            <w:r>
              <w:rPr>
                <w:rFonts w:hint="eastAsia" w:ascii="楷体" w:hAnsi="楷体" w:eastAsia="楷体" w:cs="楷体"/>
                <w:color w:val="auto"/>
                <w:sz w:val="18"/>
                <w:szCs w:val="18"/>
                <w:lang w:val="en-US" w:eastAsia="zh-CN"/>
              </w:rPr>
              <w:instrText xml:space="preserve"> HYPERLINK "http://www.baidu.com/link?url=A4RzDngLzZnJqZW11rYqHMgWHMH90OypspJkQ62rSithYKYMtkDI4t52u6SUJUzxKx_nHssPg2aMoQD5BUmPuq" \t "_blank" </w:instrText>
            </w:r>
            <w:r>
              <w:rPr>
                <w:rFonts w:hint="eastAsia" w:ascii="楷体" w:hAnsi="楷体" w:eastAsia="楷体" w:cs="楷体"/>
                <w:color w:val="auto"/>
                <w:sz w:val="18"/>
                <w:szCs w:val="18"/>
                <w:lang w:val="en-US" w:eastAsia="zh-CN"/>
              </w:rPr>
              <w:fldChar w:fldCharType="separate"/>
            </w:r>
            <w:r>
              <w:rPr>
                <w:rFonts w:hint="eastAsia" w:ascii="楷体" w:hAnsi="楷体" w:eastAsia="楷体" w:cs="楷体"/>
                <w:color w:val="auto"/>
                <w:sz w:val="18"/>
                <w:szCs w:val="18"/>
                <w:lang w:val="en-US" w:eastAsia="zh-CN"/>
              </w:rPr>
              <w:t>GA 296-2001《警用勤</w:t>
            </w:r>
            <w:r>
              <w:rPr>
                <w:rFonts w:hint="eastAsia" w:ascii="楷体" w:hAnsi="楷体" w:eastAsia="楷体" w:cs="楷体"/>
                <w:color w:val="auto"/>
                <w:sz w:val="18"/>
                <w:szCs w:val="18"/>
                <w:lang w:val="en-US" w:eastAsia="zh-CN"/>
              </w:rPr>
              <w:fldChar w:fldCharType="end"/>
            </w:r>
            <w:r>
              <w:rPr>
                <w:rFonts w:hint="eastAsia" w:ascii="楷体" w:hAnsi="楷体" w:eastAsia="楷体" w:cs="楷体"/>
                <w:color w:val="auto"/>
                <w:sz w:val="18"/>
                <w:szCs w:val="18"/>
                <w:lang w:val="en-US" w:eastAsia="zh-CN"/>
              </w:rPr>
              <w:t>务头盔》相关标准；</w:t>
            </w:r>
          </w:p>
          <w:p w14:paraId="793BB5E6">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2.颜色：黑色；</w:t>
            </w:r>
          </w:p>
          <w:p w14:paraId="30F37113">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3.结构：由壳体、佩戴装置等组成；</w:t>
            </w:r>
          </w:p>
          <w:p w14:paraId="3BCAEB32">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4.规格尺寸：大（L）</w:t>
            </w:r>
          </w:p>
          <w:p w14:paraId="0BBCD9C8">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5.质量：≤0.83kg；</w:t>
            </w:r>
          </w:p>
          <w:p w14:paraId="7AC72B37">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6.佩戴装置性能：系带宽度为19.8mm±0.1mm，头盔系带未出现伸长量≥25mm或系带撕裂撕断、连接件脱落及搭扣松脱现象；</w:t>
            </w:r>
          </w:p>
          <w:p w14:paraId="18788DAC">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7.吸收碰撞能量性能：满足要求加速度峰值≤400g，超过150g的作用时间＜4m/s；</w:t>
            </w:r>
          </w:p>
          <w:p w14:paraId="0CE5E360">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8.耐穿透性能：在钢锥质量3kg，落高1000mm情况下，钢锥不穿透头盔与头型产生接触；</w:t>
            </w:r>
          </w:p>
          <w:p w14:paraId="20A649E7">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9.温度适应性：-10℃~+55℃；</w:t>
            </w:r>
          </w:p>
          <w:p w14:paraId="6B5C2C46">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10.雨淋：常温条件雨淋处理（喷水量15L/min）持续1h，5min后头盔吸收碰撞能量性能完好；</w:t>
            </w:r>
          </w:p>
          <w:p w14:paraId="770E10A1">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11.提供产品责任保险，保险金额不低于1000万元，连续保险期限不低于5年并提供证明材料（复印件加盖公章）；</w:t>
            </w:r>
          </w:p>
          <w:p w14:paraId="25011485">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12.▲提供由“公安内部经国家认证认可监督管理委员会资质认可的检验机构”出具的所投产品的合格检验报告（复印件加盖供应商公章）。</w:t>
            </w:r>
          </w:p>
          <w:p w14:paraId="10A96FA0">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p>
        </w:tc>
        <w:tc>
          <w:tcPr>
            <w:tcW w:w="433" w:type="pct"/>
            <w:tcBorders>
              <w:top w:val="single" w:color="000000" w:sz="4" w:space="0"/>
              <w:left w:val="single" w:color="auto" w:sz="4" w:space="0"/>
              <w:bottom w:val="single" w:color="000000" w:sz="4" w:space="0"/>
              <w:right w:val="single" w:color="000000" w:sz="4" w:space="0"/>
            </w:tcBorders>
            <w:noWrap w:val="0"/>
            <w:vAlign w:val="center"/>
          </w:tcPr>
          <w:p w14:paraId="61FFDD7C">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15</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7BD4D046">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顶</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25F440BB">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bidi="ar"/>
              </w:rPr>
            </w:pPr>
          </w:p>
        </w:tc>
      </w:tr>
      <w:tr w14:paraId="5ACC1D4A">
        <w:tblPrEx>
          <w:tblCellMar>
            <w:top w:w="0" w:type="dxa"/>
            <w:left w:w="108" w:type="dxa"/>
            <w:bottom w:w="0" w:type="dxa"/>
            <w:right w:w="108" w:type="dxa"/>
          </w:tblCellMar>
        </w:tblPrEx>
        <w:trPr>
          <w:trHeight w:val="4760"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66CA3A87">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lang w:eastAsia="zh-CN"/>
              </w:rPr>
            </w:pPr>
            <w:r>
              <w:rPr>
                <w:rFonts w:hint="eastAsia" w:ascii="楷体" w:hAnsi="楷体" w:eastAsia="楷体" w:cs="楷体"/>
                <w:color w:val="auto"/>
                <w:kern w:val="0"/>
                <w:sz w:val="18"/>
                <w:szCs w:val="18"/>
                <w:lang w:bidi="ar"/>
              </w:rPr>
              <w:t>1</w:t>
            </w:r>
            <w:r>
              <w:rPr>
                <w:rFonts w:hint="eastAsia" w:ascii="楷体" w:hAnsi="楷体" w:eastAsia="楷体" w:cs="楷体"/>
                <w:color w:val="auto"/>
                <w:kern w:val="0"/>
                <w:sz w:val="18"/>
                <w:szCs w:val="18"/>
                <w:lang w:val="en-US" w:eastAsia="zh-CN" w:bidi="ar"/>
              </w:rPr>
              <w:t>2</w:t>
            </w:r>
          </w:p>
        </w:tc>
        <w:tc>
          <w:tcPr>
            <w:tcW w:w="702" w:type="pct"/>
            <w:tcBorders>
              <w:top w:val="single" w:color="000000" w:sz="4" w:space="0"/>
              <w:left w:val="single" w:color="000000" w:sz="4" w:space="0"/>
              <w:bottom w:val="single" w:color="000000" w:sz="4" w:space="0"/>
              <w:right w:val="single" w:color="auto" w:sz="4" w:space="0"/>
            </w:tcBorders>
            <w:noWrap/>
            <w:vAlign w:val="center"/>
          </w:tcPr>
          <w:p w14:paraId="4EE26E99">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对讲机</w:t>
            </w:r>
          </w:p>
        </w:tc>
        <w:tc>
          <w:tcPr>
            <w:tcW w:w="2961" w:type="pct"/>
            <w:tcBorders>
              <w:top w:val="single" w:color="auto" w:sz="4" w:space="0"/>
              <w:left w:val="single" w:color="auto" w:sz="4" w:space="0"/>
              <w:bottom w:val="single" w:color="auto" w:sz="4" w:space="0"/>
              <w:right w:val="single" w:color="auto" w:sz="4" w:space="0"/>
            </w:tcBorders>
            <w:noWrap w:val="0"/>
            <w:vAlign w:val="top"/>
          </w:tcPr>
          <w:p w14:paraId="32847030">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尺寸 121x55.5x24mm(高*宽*厚)，重量 195g(含标配电池)，显示屏 2.0英寸彩屏，分辨率320*240，充电方式  MicroUSB充电，可选排充，电池使用时间 &gt;18小时(3100mAh,3.6V)</w:t>
            </w:r>
          </w:p>
          <w:p w14:paraId="5770A508">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SIM卡  Micro SIM卡*1(12*15mm)，WLAN 2.4GHz,802.11 b/g/n，定位  GPS/北斗/Glonass，蓝牙  BT 4.1，外部接口  USB2.0、2.5mm音频附件接口、充电端口，音频/扬声器 额定功率1W</w:t>
            </w:r>
          </w:p>
          <w:p w14:paraId="67D1524D">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环境标准</w:t>
            </w:r>
          </w:p>
          <w:p w14:paraId="514A283B">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工作温度范围  -20°℃~+60°℃</w:t>
            </w:r>
          </w:p>
          <w:p w14:paraId="15BFC6ED">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储存温度范围  -30°℃~+70℃</w:t>
            </w:r>
          </w:p>
          <w:p w14:paraId="4A3E1067">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 xml:space="preserve"> IEC 61000-4-2(level4)</w:t>
            </w:r>
          </w:p>
          <w:p w14:paraId="7E0F98F8">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 xml:space="preserve"> ESD(静电防护等级)</w:t>
            </w:r>
          </w:p>
          <w:p w14:paraId="21A3376E">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士8kV(接触放电)士12kV(空气放电)</w:t>
            </w:r>
          </w:p>
          <w:p w14:paraId="7AB4CB03">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防湿和冲击和振动  MIL-STD-810G标准</w:t>
            </w:r>
          </w:p>
          <w:p w14:paraId="725DF9FB">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防尘防水  IP54标准</w:t>
            </w:r>
          </w:p>
          <w:p w14:paraId="4A32822E">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支持移动、联通、电信全网通，</w:t>
            </w:r>
          </w:p>
          <w:p w14:paraId="76ABD799">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包含LTE/WCDMA/CDMA/TD-SCDMA/GSM GSM:900/1800</w:t>
            </w:r>
          </w:p>
          <w:p w14:paraId="5C8EF005">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频段  TD-SCDMA:B34/B39 CDMA:BCO</w:t>
            </w:r>
          </w:p>
          <w:p w14:paraId="35D701E5">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 xml:space="preserve"> WCDMA:A1/B8</w:t>
            </w:r>
          </w:p>
          <w:p w14:paraId="62AD0851">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bidi="ar"/>
              </w:rPr>
            </w:pPr>
            <w:r>
              <w:rPr>
                <w:rStyle w:val="25"/>
                <w:rFonts w:hint="eastAsia" w:ascii="楷体" w:hAnsi="楷体" w:eastAsia="楷体" w:cs="楷体"/>
                <w:color w:val="auto"/>
                <w:lang w:bidi="ar"/>
              </w:rPr>
              <w:t xml:space="preserve"> TDD-LTE:B38/B39/B40/B41 FDD-LTE:B1/B3/B5/B8                                        </w:t>
            </w:r>
          </w:p>
          <w:p w14:paraId="7C73E5DA">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r>
              <w:rPr>
                <w:rStyle w:val="26"/>
                <w:rFonts w:hint="eastAsia" w:ascii="楷体" w:hAnsi="楷体" w:eastAsia="楷体" w:cs="楷体"/>
                <w:color w:val="auto"/>
                <w:lang w:bidi="ar"/>
              </w:rPr>
              <w:t>*包含3年的使用流量</w:t>
            </w:r>
          </w:p>
        </w:tc>
        <w:tc>
          <w:tcPr>
            <w:tcW w:w="433" w:type="pct"/>
            <w:tcBorders>
              <w:top w:val="single" w:color="000000" w:sz="4" w:space="0"/>
              <w:left w:val="single" w:color="auto" w:sz="4" w:space="0"/>
              <w:bottom w:val="single" w:color="000000" w:sz="4" w:space="0"/>
              <w:right w:val="single" w:color="000000" w:sz="4" w:space="0"/>
            </w:tcBorders>
            <w:noWrap w:val="0"/>
            <w:vAlign w:val="center"/>
          </w:tcPr>
          <w:p w14:paraId="471EE1F5">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40</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71A383C4">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台</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2799B52E">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bidi="ar"/>
              </w:rPr>
            </w:pPr>
          </w:p>
        </w:tc>
      </w:tr>
      <w:tr w14:paraId="2D3D85CE">
        <w:tblPrEx>
          <w:tblCellMar>
            <w:top w:w="0" w:type="dxa"/>
            <w:left w:w="108" w:type="dxa"/>
            <w:bottom w:w="0" w:type="dxa"/>
            <w:right w:w="108" w:type="dxa"/>
          </w:tblCellMar>
        </w:tblPrEx>
        <w:trPr>
          <w:trHeight w:val="1134"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71DCF20A">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lang w:eastAsia="zh-CN"/>
              </w:rPr>
            </w:pPr>
            <w:r>
              <w:rPr>
                <w:rFonts w:hint="eastAsia" w:ascii="楷体" w:hAnsi="楷体" w:eastAsia="楷体" w:cs="楷体"/>
                <w:color w:val="auto"/>
                <w:kern w:val="0"/>
                <w:sz w:val="18"/>
                <w:szCs w:val="18"/>
                <w:lang w:bidi="ar"/>
              </w:rPr>
              <w:t>1</w:t>
            </w:r>
            <w:r>
              <w:rPr>
                <w:rFonts w:hint="eastAsia" w:ascii="楷体" w:hAnsi="楷体" w:eastAsia="楷体" w:cs="楷体"/>
                <w:color w:val="auto"/>
                <w:kern w:val="0"/>
                <w:sz w:val="18"/>
                <w:szCs w:val="18"/>
                <w:lang w:val="en-US" w:eastAsia="zh-CN" w:bidi="ar"/>
              </w:rPr>
              <w:t>3</w:t>
            </w:r>
          </w:p>
        </w:tc>
        <w:tc>
          <w:tcPr>
            <w:tcW w:w="702" w:type="pct"/>
            <w:tcBorders>
              <w:top w:val="single" w:color="000000" w:sz="4" w:space="0"/>
              <w:left w:val="single" w:color="000000" w:sz="4" w:space="0"/>
              <w:bottom w:val="single" w:color="000000" w:sz="4" w:space="0"/>
              <w:right w:val="single" w:color="auto" w:sz="4" w:space="0"/>
            </w:tcBorders>
            <w:noWrap/>
            <w:vAlign w:val="center"/>
          </w:tcPr>
          <w:p w14:paraId="310C65F0">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礼宾枪</w:t>
            </w:r>
          </w:p>
        </w:tc>
        <w:tc>
          <w:tcPr>
            <w:tcW w:w="2961" w:type="pct"/>
            <w:tcBorders>
              <w:top w:val="single" w:color="auto" w:sz="4" w:space="0"/>
              <w:left w:val="single" w:color="auto" w:sz="4" w:space="0"/>
              <w:bottom w:val="single" w:color="auto" w:sz="4" w:space="0"/>
              <w:right w:val="single" w:color="auto" w:sz="4" w:space="0"/>
            </w:tcBorders>
            <w:noWrap w:val="0"/>
            <w:vAlign w:val="top"/>
          </w:tcPr>
          <w:p w14:paraId="1755FDB4">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r>
              <w:rPr>
                <w:rFonts w:hint="eastAsia" w:ascii="楷体" w:hAnsi="楷体" w:eastAsia="楷体" w:cs="楷体"/>
                <w:color w:val="auto"/>
                <w:sz w:val="18"/>
                <w:szCs w:val="18"/>
              </w:rPr>
              <w:t>1、产品规格：长≥102cm,宽≥ 17cm</w:t>
            </w:r>
          </w:p>
          <w:p w14:paraId="0F89B60F">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r>
              <w:rPr>
                <w:rFonts w:hint="eastAsia" w:ascii="楷体" w:hAnsi="楷体" w:eastAsia="楷体" w:cs="楷体"/>
                <w:color w:val="auto"/>
                <w:sz w:val="18"/>
                <w:szCs w:val="18"/>
              </w:rPr>
              <w:t>2、产品重量：≥4.3公斤</w:t>
            </w:r>
          </w:p>
          <w:p w14:paraId="26EA9472">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r>
              <w:rPr>
                <w:rFonts w:hint="eastAsia" w:ascii="楷体" w:hAnsi="楷体" w:eastAsia="楷体" w:cs="楷体"/>
                <w:color w:val="auto"/>
                <w:sz w:val="18"/>
                <w:szCs w:val="18"/>
              </w:rPr>
              <w:t>3、产品材质：采用天然橡胶、内置钢铁、一次性压铸而成、外壳喷漆原木色</w:t>
            </w:r>
          </w:p>
          <w:p w14:paraId="7C54FBCE">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r>
              <w:rPr>
                <w:rFonts w:hint="eastAsia" w:ascii="楷体" w:hAnsi="楷体" w:eastAsia="楷体" w:cs="楷体"/>
                <w:color w:val="auto"/>
                <w:sz w:val="18"/>
                <w:szCs w:val="18"/>
              </w:rPr>
              <w:t>4、产品功能：扳机能扣动、刺刀可旋转收放</w:t>
            </w:r>
          </w:p>
          <w:p w14:paraId="2B4A68E9">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p>
        </w:tc>
        <w:tc>
          <w:tcPr>
            <w:tcW w:w="433" w:type="pct"/>
            <w:tcBorders>
              <w:top w:val="single" w:color="000000" w:sz="4" w:space="0"/>
              <w:left w:val="single" w:color="auto" w:sz="4" w:space="0"/>
              <w:bottom w:val="single" w:color="000000" w:sz="4" w:space="0"/>
              <w:right w:val="single" w:color="000000" w:sz="4" w:space="0"/>
            </w:tcBorders>
            <w:noWrap w:val="0"/>
            <w:vAlign w:val="center"/>
          </w:tcPr>
          <w:p w14:paraId="65CCCD5F">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20</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5836E8D5">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把</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42B4B742">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bidi="ar"/>
              </w:rPr>
            </w:pPr>
          </w:p>
        </w:tc>
      </w:tr>
    </w:tbl>
    <w:p w14:paraId="22C9D8CB">
      <w:pPr>
        <w:shd w:val="clear"/>
        <w:spacing w:line="360" w:lineRule="auto"/>
        <w:rPr>
          <w:rFonts w:hint="eastAsia" w:ascii="楷体" w:hAnsi="楷体" w:eastAsia="楷体" w:cs="楷体"/>
          <w:b/>
          <w:bCs/>
          <w:color w:val="auto"/>
          <w:kern w:val="2"/>
          <w:sz w:val="24"/>
          <w:szCs w:val="24"/>
          <w:highlight w:val="none"/>
          <w:lang w:val="en-US" w:eastAsia="zh-CN"/>
        </w:rPr>
      </w:pPr>
    </w:p>
    <w:p w14:paraId="5CF007DB">
      <w:pPr>
        <w:shd w:val="clear"/>
        <w:spacing w:line="360" w:lineRule="auto"/>
        <w:ind w:firstLine="482" w:firstLineChars="200"/>
        <w:rPr>
          <w:rFonts w:hint="eastAsia" w:ascii="楷体" w:hAnsi="楷体" w:eastAsia="楷体" w:cs="楷体"/>
          <w:color w:val="auto"/>
          <w:highlight w:val="none"/>
          <w:lang w:eastAsia="zh-CN"/>
        </w:rPr>
      </w:pPr>
      <w:r>
        <w:rPr>
          <w:rFonts w:hint="eastAsia" w:ascii="楷体" w:hAnsi="楷体" w:eastAsia="楷体" w:cs="楷体"/>
          <w:b/>
          <w:bCs/>
          <w:color w:val="auto"/>
          <w:kern w:val="2"/>
          <w:sz w:val="24"/>
          <w:szCs w:val="24"/>
          <w:highlight w:val="none"/>
          <w:lang w:val="en-US" w:eastAsia="zh-CN"/>
        </w:rPr>
        <w:t>注：分项报价表将作为签订合同的重要组成部分。</w:t>
      </w:r>
    </w:p>
    <w:p w14:paraId="617D326E">
      <w:pPr>
        <w:shd w:val="clear"/>
        <w:outlineLvl w:val="9"/>
        <w:rPr>
          <w:rFonts w:hint="eastAsia" w:ascii="楷体" w:hAnsi="楷体" w:eastAsia="楷体" w:cs="楷体"/>
          <w:color w:val="auto"/>
          <w:highlight w:val="none"/>
          <w:lang w:eastAsia="zh-CN"/>
        </w:rPr>
      </w:pPr>
    </w:p>
    <w:p w14:paraId="10627192">
      <w:pPr>
        <w:pStyle w:val="2"/>
        <w:shd w:val="clear"/>
        <w:outlineLvl w:val="9"/>
        <w:rPr>
          <w:rFonts w:hint="eastAsia" w:ascii="楷体" w:hAnsi="楷体" w:eastAsia="楷体" w:cs="楷体"/>
          <w:color w:val="auto"/>
          <w:highlight w:val="none"/>
          <w:lang w:eastAsia="zh-CN"/>
        </w:rPr>
      </w:pPr>
    </w:p>
    <w:p w14:paraId="1F8E0CAF">
      <w:pPr>
        <w:shd w:val="clear"/>
        <w:rPr>
          <w:rFonts w:hint="eastAsia" w:ascii="楷体" w:hAnsi="楷体" w:eastAsia="楷体" w:cs="楷体"/>
          <w:color w:val="auto"/>
          <w:highlight w:val="none"/>
          <w:lang w:eastAsia="zh-CN"/>
        </w:rPr>
      </w:pPr>
    </w:p>
    <w:p w14:paraId="37E386F6">
      <w:pPr>
        <w:pStyle w:val="2"/>
        <w:shd w:val="clear"/>
        <w:rPr>
          <w:rFonts w:hint="eastAsia" w:ascii="楷体" w:hAnsi="楷体" w:eastAsia="楷体" w:cs="楷体"/>
          <w:color w:val="auto"/>
          <w:highlight w:val="none"/>
          <w:lang w:eastAsia="zh-CN"/>
        </w:rPr>
        <w:sectPr>
          <w:pgSz w:w="11906" w:h="16838"/>
          <w:pgMar w:top="1134" w:right="1134" w:bottom="1134" w:left="1134" w:header="680" w:footer="680" w:gutter="0"/>
          <w:pgNumType w:fmt="decimal"/>
          <w:cols w:space="0" w:num="1"/>
          <w:rtlGutter w:val="0"/>
          <w:docGrid w:linePitch="331" w:charSpace="0"/>
        </w:sectPr>
      </w:pPr>
    </w:p>
    <w:p w14:paraId="0D3BED16">
      <w:pPr>
        <w:shd w:val="clear"/>
        <w:spacing w:line="360" w:lineRule="auto"/>
        <w:jc w:val="center"/>
        <w:outlineLvl w:val="2"/>
        <w:rPr>
          <w:rFonts w:hint="eastAsia" w:ascii="楷体" w:hAnsi="楷体" w:eastAsia="楷体" w:cs="楷体"/>
          <w:b/>
          <w:color w:val="auto"/>
          <w:kern w:val="0"/>
          <w:sz w:val="32"/>
          <w:szCs w:val="32"/>
          <w:highlight w:val="none"/>
        </w:rPr>
      </w:pPr>
      <w:bookmarkStart w:id="152" w:name="_Toc29292"/>
      <w:r>
        <w:rPr>
          <w:rFonts w:hint="eastAsia" w:ascii="楷体" w:hAnsi="楷体" w:eastAsia="楷体" w:cs="楷体"/>
          <w:b/>
          <w:color w:val="auto"/>
          <w:kern w:val="0"/>
          <w:sz w:val="32"/>
          <w:szCs w:val="32"/>
          <w:highlight w:val="none"/>
          <w:lang w:val="en-US" w:eastAsia="zh-CN"/>
        </w:rPr>
        <w:t>三、商务条款偏离表</w:t>
      </w:r>
      <w:bookmarkEnd w:id="152"/>
    </w:p>
    <w:p w14:paraId="7843E688">
      <w:pPr>
        <w:pStyle w:val="11"/>
        <w:keepNext w:val="0"/>
        <w:keepLines w:val="0"/>
        <w:pageBreakBefore w:val="0"/>
        <w:widowControl w:val="0"/>
        <w:shd w:val="clear"/>
        <w:kinsoku/>
        <w:wordWrap/>
        <w:overflowPunct/>
        <w:topLinePunct w:val="0"/>
        <w:autoSpaceDE w:val="0"/>
        <w:autoSpaceDN w:val="0"/>
        <w:bidi w:val="0"/>
        <w:adjustRightInd w:val="0"/>
        <w:snapToGri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供应商</w:t>
      </w:r>
      <w:r>
        <w:rPr>
          <w:rFonts w:hint="eastAsia" w:ascii="楷体" w:hAnsi="楷体" w:eastAsia="楷体" w:cs="楷体"/>
          <w:color w:val="auto"/>
          <w:sz w:val="24"/>
          <w:szCs w:val="24"/>
          <w:highlight w:val="none"/>
        </w:rPr>
        <w:t>须逐条对应投标文件中要求的商务条款条件，认真填写该表。</w:t>
      </w:r>
    </w:p>
    <w:p w14:paraId="1C795262">
      <w:pPr>
        <w:pStyle w:val="11"/>
        <w:keepNext w:val="0"/>
        <w:keepLines w:val="0"/>
        <w:pageBreakBefore w:val="0"/>
        <w:widowControl w:val="0"/>
        <w:shd w:val="clear"/>
        <w:kinsoku/>
        <w:wordWrap/>
        <w:overflowPunct/>
        <w:topLinePunct w:val="0"/>
        <w:autoSpaceDE w:val="0"/>
        <w:autoSpaceDN w:val="0"/>
        <w:bidi w:val="0"/>
        <w:adjustRightInd w:val="0"/>
        <w:snapToGri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商务条款是指：招标文件第五章</w:t>
      </w:r>
      <w:r>
        <w:rPr>
          <w:rFonts w:hint="eastAsia" w:ascii="楷体" w:hAnsi="楷体" w:eastAsia="楷体" w:cs="楷体"/>
          <w:b/>
          <w:bCs/>
          <w:color w:val="auto"/>
          <w:sz w:val="24"/>
          <w:szCs w:val="24"/>
          <w:highlight w:val="none"/>
        </w:rPr>
        <w:t>《</w:t>
      </w:r>
      <w:r>
        <w:rPr>
          <w:rFonts w:hint="eastAsia" w:ascii="楷体" w:hAnsi="楷体" w:eastAsia="楷体" w:cs="楷体"/>
          <w:b/>
          <w:bCs/>
          <w:color w:val="auto"/>
          <w:sz w:val="24"/>
          <w:szCs w:val="24"/>
          <w:highlight w:val="none"/>
          <w:lang w:eastAsia="zh-CN"/>
        </w:rPr>
        <w:t>采购需求及技术要求</w:t>
      </w:r>
      <w:r>
        <w:rPr>
          <w:rFonts w:hint="eastAsia" w:ascii="楷体" w:hAnsi="楷体" w:eastAsia="楷体" w:cs="楷体"/>
          <w:b/>
          <w:bCs/>
          <w:color w:val="auto"/>
          <w:sz w:val="24"/>
          <w:szCs w:val="24"/>
          <w:highlight w:val="none"/>
        </w:rPr>
        <w:t>》</w:t>
      </w:r>
      <w:r>
        <w:rPr>
          <w:rFonts w:hint="eastAsia" w:ascii="楷体" w:hAnsi="楷体" w:eastAsia="楷体" w:cs="楷体"/>
          <w:color w:val="auto"/>
          <w:sz w:val="24"/>
          <w:szCs w:val="24"/>
          <w:highlight w:val="none"/>
        </w:rPr>
        <w:t>和第三章</w:t>
      </w:r>
      <w:r>
        <w:rPr>
          <w:rFonts w:hint="eastAsia" w:ascii="楷体" w:hAnsi="楷体" w:eastAsia="楷体" w:cs="楷体"/>
          <w:b/>
          <w:bCs/>
          <w:color w:val="auto"/>
          <w:sz w:val="24"/>
          <w:szCs w:val="24"/>
          <w:highlight w:val="none"/>
        </w:rPr>
        <w:t>《合同书样式及主要条款》</w:t>
      </w:r>
      <w:r>
        <w:rPr>
          <w:rFonts w:hint="eastAsia" w:ascii="楷体" w:hAnsi="楷体" w:eastAsia="楷体" w:cs="楷体"/>
          <w:color w:val="auto"/>
          <w:sz w:val="24"/>
          <w:szCs w:val="24"/>
          <w:highlight w:val="none"/>
        </w:rPr>
        <w:t>中要求的</w:t>
      </w:r>
      <w:r>
        <w:rPr>
          <w:rFonts w:hint="eastAsia" w:ascii="楷体" w:hAnsi="楷体" w:eastAsia="楷体" w:cs="楷体"/>
          <w:b/>
          <w:bCs/>
          <w:color w:val="auto"/>
          <w:sz w:val="24"/>
          <w:szCs w:val="24"/>
          <w:highlight w:val="none"/>
        </w:rPr>
        <w:t>服务时间、服务地点、质量承诺、付款方式等要求</w:t>
      </w:r>
      <w:r>
        <w:rPr>
          <w:rFonts w:hint="eastAsia" w:ascii="楷体" w:hAnsi="楷体" w:eastAsia="楷体" w:cs="楷体"/>
          <w:color w:val="auto"/>
          <w:sz w:val="24"/>
          <w:szCs w:val="24"/>
          <w:highlight w:val="none"/>
        </w:rPr>
        <w:t>。</w:t>
      </w:r>
    </w:p>
    <w:p w14:paraId="2E0EC9CC">
      <w:pPr>
        <w:pStyle w:val="11"/>
        <w:shd w:val="clear"/>
        <w:rPr>
          <w:rFonts w:hint="eastAsia" w:ascii="楷体" w:hAnsi="楷体" w:eastAsia="楷体" w:cs="楷体"/>
          <w:b/>
          <w:color w:val="auto"/>
          <w:sz w:val="24"/>
          <w:szCs w:val="24"/>
          <w:highlight w:val="none"/>
        </w:rPr>
      </w:pPr>
    </w:p>
    <w:p w14:paraId="4CE18C96">
      <w:pPr>
        <w:pStyle w:val="11"/>
        <w:shd w:val="clear"/>
        <w:spacing w:line="360" w:lineRule="auto"/>
        <w:rPr>
          <w:rFonts w:hint="eastAsia" w:ascii="楷体" w:hAnsi="楷体" w:eastAsia="楷体" w:cs="楷体"/>
          <w:b/>
          <w:color w:val="auto"/>
          <w:sz w:val="24"/>
          <w:szCs w:val="24"/>
          <w:highlight w:val="none"/>
          <w:u w:val="single"/>
        </w:rPr>
      </w:pPr>
      <w:r>
        <w:rPr>
          <w:rFonts w:hint="eastAsia" w:ascii="楷体" w:hAnsi="楷体" w:eastAsia="楷体" w:cs="楷体"/>
          <w:b/>
          <w:color w:val="auto"/>
          <w:sz w:val="24"/>
          <w:szCs w:val="24"/>
          <w:highlight w:val="none"/>
        </w:rPr>
        <w:t>项目名称：</w:t>
      </w:r>
      <w:r>
        <w:rPr>
          <w:rFonts w:hint="eastAsia" w:ascii="楷体" w:hAnsi="楷体" w:eastAsia="楷体" w:cs="楷体"/>
          <w:b/>
          <w:color w:val="auto"/>
          <w:sz w:val="24"/>
          <w:szCs w:val="24"/>
          <w:highlight w:val="none"/>
          <w:u w:val="single"/>
        </w:rPr>
        <w:t xml:space="preserve">          </w:t>
      </w:r>
      <w:r>
        <w:rPr>
          <w:rFonts w:hint="eastAsia" w:ascii="楷体" w:hAnsi="楷体" w:eastAsia="楷体" w:cs="楷体"/>
          <w:b/>
          <w:color w:val="auto"/>
          <w:sz w:val="24"/>
          <w:szCs w:val="24"/>
          <w:highlight w:val="none"/>
        </w:rPr>
        <w:t xml:space="preserve">                                   项目编号：</w:t>
      </w:r>
      <w:r>
        <w:rPr>
          <w:rFonts w:hint="eastAsia" w:ascii="楷体" w:hAnsi="楷体" w:eastAsia="楷体" w:cs="楷体"/>
          <w:b/>
          <w:color w:val="auto"/>
          <w:sz w:val="24"/>
          <w:szCs w:val="24"/>
          <w:highlight w:val="none"/>
          <w:u w:val="single"/>
        </w:rPr>
        <w:t xml:space="preserve">              </w:t>
      </w:r>
    </w:p>
    <w:tbl>
      <w:tblPr>
        <w:tblStyle w:val="19"/>
        <w:tblW w:w="983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03"/>
        <w:gridCol w:w="2266"/>
        <w:gridCol w:w="2879"/>
        <w:gridCol w:w="2514"/>
        <w:gridCol w:w="1376"/>
      </w:tblGrid>
      <w:tr w14:paraId="4B2E1D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03" w:hRule="atLeast"/>
          <w:jc w:val="center"/>
        </w:trPr>
        <w:tc>
          <w:tcPr>
            <w:tcW w:w="803" w:type="dxa"/>
            <w:vAlign w:val="center"/>
          </w:tcPr>
          <w:p w14:paraId="11409FEF">
            <w:pPr>
              <w:pStyle w:val="11"/>
              <w:widowControl w:val="0"/>
              <w:shd w:val="clear"/>
              <w:spacing w:line="600" w:lineRule="exact"/>
              <w:jc w:val="center"/>
              <w:rPr>
                <w:rStyle w:val="21"/>
                <w:rFonts w:hint="eastAsia" w:ascii="楷体" w:hAnsi="楷体" w:eastAsia="楷体" w:cs="楷体"/>
                <w:b/>
                <w:color w:val="auto"/>
                <w:kern w:val="2"/>
                <w:sz w:val="24"/>
                <w:szCs w:val="24"/>
                <w:highlight w:val="none"/>
                <w:lang w:val="en-US" w:eastAsia="zh-CN" w:bidi="ar-SA"/>
              </w:rPr>
            </w:pPr>
            <w:r>
              <w:rPr>
                <w:rFonts w:hint="eastAsia" w:ascii="楷体" w:hAnsi="楷体" w:eastAsia="楷体" w:cs="楷体"/>
                <w:b/>
                <w:color w:val="auto"/>
                <w:kern w:val="2"/>
                <w:sz w:val="24"/>
                <w:szCs w:val="24"/>
                <w:highlight w:val="none"/>
                <w:lang w:val="en-US" w:eastAsia="zh-CN" w:bidi="ar-SA"/>
              </w:rPr>
              <w:t>序号</w:t>
            </w:r>
          </w:p>
        </w:tc>
        <w:tc>
          <w:tcPr>
            <w:tcW w:w="2266" w:type="dxa"/>
            <w:vAlign w:val="center"/>
          </w:tcPr>
          <w:p w14:paraId="7DAD9377">
            <w:pPr>
              <w:pStyle w:val="11"/>
              <w:widowControl w:val="0"/>
              <w:shd w:val="clear"/>
              <w:spacing w:line="600" w:lineRule="exact"/>
              <w:jc w:val="center"/>
              <w:rPr>
                <w:rStyle w:val="21"/>
                <w:rFonts w:hint="eastAsia" w:ascii="楷体" w:hAnsi="楷体" w:eastAsia="楷体" w:cs="楷体"/>
                <w:b/>
                <w:color w:val="auto"/>
                <w:kern w:val="2"/>
                <w:sz w:val="24"/>
                <w:szCs w:val="24"/>
                <w:highlight w:val="none"/>
                <w:lang w:val="en-US" w:eastAsia="zh-CN" w:bidi="ar-SA"/>
              </w:rPr>
            </w:pPr>
            <w:r>
              <w:rPr>
                <w:rFonts w:hint="eastAsia" w:ascii="楷体" w:hAnsi="楷体" w:eastAsia="楷体" w:cs="楷体"/>
                <w:b/>
                <w:color w:val="auto"/>
                <w:kern w:val="2"/>
                <w:sz w:val="24"/>
                <w:szCs w:val="24"/>
                <w:highlight w:val="none"/>
                <w:lang w:val="en-US" w:eastAsia="zh-CN" w:bidi="ar-SA"/>
              </w:rPr>
              <w:t>招标文件条目号</w:t>
            </w:r>
          </w:p>
        </w:tc>
        <w:tc>
          <w:tcPr>
            <w:tcW w:w="2879" w:type="dxa"/>
            <w:vAlign w:val="center"/>
          </w:tcPr>
          <w:p w14:paraId="7F75E021">
            <w:pPr>
              <w:pStyle w:val="11"/>
              <w:widowControl w:val="0"/>
              <w:shd w:val="clear"/>
              <w:spacing w:line="600" w:lineRule="exact"/>
              <w:jc w:val="center"/>
              <w:rPr>
                <w:rStyle w:val="21"/>
                <w:rFonts w:hint="eastAsia" w:ascii="楷体" w:hAnsi="楷体" w:eastAsia="楷体" w:cs="楷体"/>
                <w:b/>
                <w:color w:val="auto"/>
                <w:kern w:val="2"/>
                <w:sz w:val="24"/>
                <w:szCs w:val="24"/>
                <w:highlight w:val="none"/>
                <w:lang w:val="en-US" w:eastAsia="zh-CN" w:bidi="ar-SA"/>
              </w:rPr>
            </w:pPr>
            <w:r>
              <w:rPr>
                <w:rFonts w:hint="eastAsia" w:ascii="楷体" w:hAnsi="楷体" w:eastAsia="楷体" w:cs="楷体"/>
                <w:b/>
                <w:color w:val="auto"/>
                <w:kern w:val="2"/>
                <w:sz w:val="24"/>
                <w:szCs w:val="24"/>
                <w:highlight w:val="none"/>
                <w:lang w:val="en-US" w:eastAsia="zh-CN" w:bidi="ar-SA"/>
              </w:rPr>
              <w:t>招标文件的商务条款</w:t>
            </w:r>
          </w:p>
        </w:tc>
        <w:tc>
          <w:tcPr>
            <w:tcW w:w="2514" w:type="dxa"/>
            <w:vAlign w:val="center"/>
          </w:tcPr>
          <w:p w14:paraId="7FFF7189">
            <w:pPr>
              <w:pStyle w:val="11"/>
              <w:widowControl w:val="0"/>
              <w:shd w:val="clear"/>
              <w:spacing w:line="600" w:lineRule="exact"/>
              <w:jc w:val="center"/>
              <w:rPr>
                <w:rStyle w:val="21"/>
                <w:rFonts w:hint="eastAsia" w:ascii="楷体" w:hAnsi="楷体" w:eastAsia="楷体" w:cs="楷体"/>
                <w:b/>
                <w:color w:val="auto"/>
                <w:kern w:val="2"/>
                <w:sz w:val="24"/>
                <w:szCs w:val="24"/>
                <w:highlight w:val="none"/>
                <w:lang w:val="en-US" w:eastAsia="zh-CN" w:bidi="ar-SA"/>
              </w:rPr>
            </w:pPr>
            <w:r>
              <w:rPr>
                <w:rFonts w:hint="eastAsia" w:ascii="楷体" w:hAnsi="楷体" w:eastAsia="楷体" w:cs="楷体"/>
                <w:b/>
                <w:color w:val="auto"/>
                <w:kern w:val="2"/>
                <w:sz w:val="24"/>
                <w:szCs w:val="24"/>
                <w:highlight w:val="none"/>
                <w:lang w:val="en-US" w:eastAsia="zh-CN" w:bidi="ar-SA"/>
              </w:rPr>
              <w:t>投标文件的商务条款</w:t>
            </w:r>
          </w:p>
        </w:tc>
        <w:tc>
          <w:tcPr>
            <w:tcW w:w="1376" w:type="dxa"/>
            <w:vAlign w:val="center"/>
          </w:tcPr>
          <w:p w14:paraId="5720F249">
            <w:pPr>
              <w:pStyle w:val="11"/>
              <w:widowControl w:val="0"/>
              <w:shd w:val="clear"/>
              <w:spacing w:line="600" w:lineRule="exact"/>
              <w:jc w:val="center"/>
              <w:rPr>
                <w:rStyle w:val="21"/>
                <w:rFonts w:hint="eastAsia" w:ascii="楷体" w:hAnsi="楷体" w:eastAsia="楷体" w:cs="楷体"/>
                <w:b/>
                <w:color w:val="auto"/>
                <w:kern w:val="2"/>
                <w:sz w:val="24"/>
                <w:szCs w:val="24"/>
                <w:highlight w:val="none"/>
                <w:lang w:val="en-US" w:eastAsia="zh-CN" w:bidi="ar-SA"/>
              </w:rPr>
            </w:pPr>
            <w:r>
              <w:rPr>
                <w:rFonts w:hint="eastAsia" w:ascii="楷体" w:hAnsi="楷体" w:eastAsia="楷体" w:cs="楷体"/>
                <w:b/>
                <w:color w:val="auto"/>
                <w:kern w:val="2"/>
                <w:sz w:val="24"/>
                <w:szCs w:val="24"/>
                <w:highlight w:val="none"/>
                <w:lang w:val="en-US" w:eastAsia="zh-CN" w:bidi="ar-SA"/>
              </w:rPr>
              <w:t>偏离说明</w:t>
            </w:r>
          </w:p>
        </w:tc>
      </w:tr>
      <w:tr w14:paraId="7146A0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2" w:hRule="atLeast"/>
          <w:jc w:val="center"/>
        </w:trPr>
        <w:tc>
          <w:tcPr>
            <w:tcW w:w="803" w:type="dxa"/>
          </w:tcPr>
          <w:p w14:paraId="27AC19B4">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266" w:type="dxa"/>
          </w:tcPr>
          <w:p w14:paraId="1C12F89E">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879" w:type="dxa"/>
          </w:tcPr>
          <w:p w14:paraId="23B59CAD">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514" w:type="dxa"/>
          </w:tcPr>
          <w:p w14:paraId="2968D855">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1376" w:type="dxa"/>
          </w:tcPr>
          <w:p w14:paraId="3443EF08">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r>
      <w:tr w14:paraId="6F92F1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2" w:hRule="atLeast"/>
          <w:jc w:val="center"/>
        </w:trPr>
        <w:tc>
          <w:tcPr>
            <w:tcW w:w="803" w:type="dxa"/>
          </w:tcPr>
          <w:p w14:paraId="26469327">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266" w:type="dxa"/>
          </w:tcPr>
          <w:p w14:paraId="597789C6">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879" w:type="dxa"/>
          </w:tcPr>
          <w:p w14:paraId="6B05DB36">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514" w:type="dxa"/>
          </w:tcPr>
          <w:p w14:paraId="7A72867B">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1376" w:type="dxa"/>
          </w:tcPr>
          <w:p w14:paraId="59CBD8A4">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r>
      <w:tr w14:paraId="7D31D8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2" w:hRule="atLeast"/>
          <w:jc w:val="center"/>
        </w:trPr>
        <w:tc>
          <w:tcPr>
            <w:tcW w:w="803" w:type="dxa"/>
          </w:tcPr>
          <w:p w14:paraId="0353F5B8">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266" w:type="dxa"/>
          </w:tcPr>
          <w:p w14:paraId="0F1C2AB0">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879" w:type="dxa"/>
          </w:tcPr>
          <w:p w14:paraId="4E6E855B">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514" w:type="dxa"/>
          </w:tcPr>
          <w:p w14:paraId="7A57E563">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1376" w:type="dxa"/>
          </w:tcPr>
          <w:p w14:paraId="2F7A2F55">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r>
      <w:tr w14:paraId="006001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2" w:hRule="atLeast"/>
          <w:jc w:val="center"/>
        </w:trPr>
        <w:tc>
          <w:tcPr>
            <w:tcW w:w="803" w:type="dxa"/>
          </w:tcPr>
          <w:p w14:paraId="2378DF72">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266" w:type="dxa"/>
          </w:tcPr>
          <w:p w14:paraId="29540B0D">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879" w:type="dxa"/>
          </w:tcPr>
          <w:p w14:paraId="5FC96887">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514" w:type="dxa"/>
          </w:tcPr>
          <w:p w14:paraId="1881D71C">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1376" w:type="dxa"/>
          </w:tcPr>
          <w:p w14:paraId="0367FC8D">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r>
      <w:tr w14:paraId="3BB49A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2" w:hRule="atLeast"/>
          <w:jc w:val="center"/>
        </w:trPr>
        <w:tc>
          <w:tcPr>
            <w:tcW w:w="803" w:type="dxa"/>
          </w:tcPr>
          <w:p w14:paraId="0493D1CD">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266" w:type="dxa"/>
          </w:tcPr>
          <w:p w14:paraId="49441CD3">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879" w:type="dxa"/>
          </w:tcPr>
          <w:p w14:paraId="5A374716">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514" w:type="dxa"/>
          </w:tcPr>
          <w:p w14:paraId="109B8590">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1376" w:type="dxa"/>
          </w:tcPr>
          <w:p w14:paraId="45AF8573">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r>
      <w:tr w14:paraId="15A1D5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2" w:hRule="atLeast"/>
          <w:jc w:val="center"/>
        </w:trPr>
        <w:tc>
          <w:tcPr>
            <w:tcW w:w="803" w:type="dxa"/>
          </w:tcPr>
          <w:p w14:paraId="4CA1C8D7">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266" w:type="dxa"/>
          </w:tcPr>
          <w:p w14:paraId="6D8554F0">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879" w:type="dxa"/>
          </w:tcPr>
          <w:p w14:paraId="1120EE67">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514" w:type="dxa"/>
          </w:tcPr>
          <w:p w14:paraId="4215C853">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1376" w:type="dxa"/>
          </w:tcPr>
          <w:p w14:paraId="23133469">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r>
      <w:tr w14:paraId="299811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2" w:hRule="atLeast"/>
          <w:jc w:val="center"/>
        </w:trPr>
        <w:tc>
          <w:tcPr>
            <w:tcW w:w="803" w:type="dxa"/>
          </w:tcPr>
          <w:p w14:paraId="1AE3F722">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266" w:type="dxa"/>
          </w:tcPr>
          <w:p w14:paraId="31BB7BE0">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879" w:type="dxa"/>
          </w:tcPr>
          <w:p w14:paraId="551E281C">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514" w:type="dxa"/>
          </w:tcPr>
          <w:p w14:paraId="67FC03CE">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1376" w:type="dxa"/>
          </w:tcPr>
          <w:p w14:paraId="21E02DC1">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r>
      <w:tr w14:paraId="5CE29B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jc w:val="center"/>
        </w:trPr>
        <w:tc>
          <w:tcPr>
            <w:tcW w:w="803" w:type="dxa"/>
          </w:tcPr>
          <w:p w14:paraId="3686FC91">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266" w:type="dxa"/>
          </w:tcPr>
          <w:p w14:paraId="6DADD6B1">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879" w:type="dxa"/>
          </w:tcPr>
          <w:p w14:paraId="2C2EB2C8">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2514" w:type="dxa"/>
          </w:tcPr>
          <w:p w14:paraId="5D04BF6F">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c>
          <w:tcPr>
            <w:tcW w:w="1376" w:type="dxa"/>
          </w:tcPr>
          <w:p w14:paraId="21A3265C">
            <w:pPr>
              <w:pStyle w:val="11"/>
              <w:widowControl w:val="0"/>
              <w:shd w:val="clear"/>
              <w:spacing w:line="600" w:lineRule="exact"/>
              <w:jc w:val="both"/>
              <w:rPr>
                <w:rStyle w:val="21"/>
                <w:rFonts w:hint="eastAsia" w:ascii="楷体" w:hAnsi="楷体" w:eastAsia="楷体" w:cs="楷体"/>
                <w:color w:val="auto"/>
                <w:kern w:val="2"/>
                <w:sz w:val="24"/>
                <w:szCs w:val="24"/>
                <w:highlight w:val="none"/>
                <w:lang w:val="en-US" w:eastAsia="zh-CN" w:bidi="ar-SA"/>
              </w:rPr>
            </w:pPr>
          </w:p>
        </w:tc>
      </w:tr>
    </w:tbl>
    <w:p w14:paraId="08FCB606">
      <w:pPr>
        <w:pStyle w:val="11"/>
        <w:shd w:val="clear"/>
        <w:spacing w:line="600" w:lineRule="exact"/>
        <w:rPr>
          <w:rFonts w:hint="eastAsia" w:ascii="楷体" w:hAnsi="楷体" w:eastAsia="楷体" w:cs="楷体"/>
          <w:b w:val="0"/>
          <w:bCs/>
          <w:color w:val="auto"/>
          <w:kern w:val="2"/>
          <w:sz w:val="24"/>
          <w:szCs w:val="24"/>
          <w:highlight w:val="none"/>
          <w:lang w:val="en-US" w:eastAsia="zh-CN" w:bidi="ar-SA"/>
        </w:rPr>
      </w:pPr>
    </w:p>
    <w:p w14:paraId="08682F36">
      <w:pPr>
        <w:pStyle w:val="11"/>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注：1、“偏离”系指“正偏离”“负偏离”或“无偏离”。</w:t>
      </w:r>
    </w:p>
    <w:p w14:paraId="4D41F9F3">
      <w:pPr>
        <w:pStyle w:val="11"/>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楷体" w:hAnsi="楷体" w:eastAsia="楷体" w:cs="楷体"/>
          <w:b/>
          <w:bCs/>
          <w:color w:val="auto"/>
          <w:kern w:val="2"/>
          <w:sz w:val="24"/>
          <w:szCs w:val="24"/>
          <w:highlight w:val="none"/>
          <w:lang w:val="en-US" w:eastAsia="zh-CN" w:bidi="ar-SA"/>
        </w:rPr>
      </w:pPr>
      <w:r>
        <w:rPr>
          <w:rFonts w:hint="eastAsia" w:ascii="楷体" w:hAnsi="楷体" w:eastAsia="楷体" w:cs="楷体"/>
          <w:b/>
          <w:bCs/>
          <w:color w:val="auto"/>
          <w:kern w:val="2"/>
          <w:sz w:val="24"/>
          <w:szCs w:val="24"/>
          <w:highlight w:val="none"/>
          <w:lang w:val="en-US" w:eastAsia="zh-CN" w:bidi="ar-SA"/>
        </w:rPr>
        <w:t>2、如无偏差，供应商不需要填表，但应声明：“本响应文件完全响应招标文件所有条款的要求，无偏差。”</w:t>
      </w:r>
    </w:p>
    <w:p w14:paraId="1181BA68">
      <w:pPr>
        <w:shd w:val="clear"/>
        <w:rPr>
          <w:rFonts w:hint="eastAsia" w:ascii="楷体" w:hAnsi="楷体" w:eastAsia="楷体" w:cs="楷体"/>
          <w:color w:val="auto"/>
          <w:highlight w:val="none"/>
        </w:rPr>
      </w:pPr>
    </w:p>
    <w:p w14:paraId="286F078B">
      <w:pPr>
        <w:shd w:val="clear"/>
        <w:spacing w:line="480" w:lineRule="exact"/>
        <w:ind w:firstLine="480"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供应商(</w:t>
      </w:r>
      <w:r>
        <w:rPr>
          <w:rFonts w:hint="eastAsia" w:ascii="楷体" w:hAnsi="楷体" w:eastAsia="楷体" w:cs="楷体"/>
          <w:color w:val="auto"/>
          <w:sz w:val="24"/>
          <w:highlight w:val="none"/>
          <w:lang w:eastAsia="zh-CN"/>
        </w:rPr>
        <w:t>电子签章</w:t>
      </w:r>
      <w:r>
        <w:rPr>
          <w:rFonts w:hint="eastAsia" w:ascii="楷体" w:hAnsi="楷体" w:eastAsia="楷体" w:cs="楷体"/>
          <w:color w:val="auto"/>
          <w:sz w:val="24"/>
          <w:highlight w:val="none"/>
        </w:rPr>
        <w:t>)：</w:t>
      </w:r>
    </w:p>
    <w:p w14:paraId="7B7CE8A4">
      <w:pPr>
        <w:shd w:val="clear"/>
        <w:spacing w:line="480" w:lineRule="exact"/>
        <w:ind w:firstLine="480"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日期：     年      月      日</w:t>
      </w:r>
    </w:p>
    <w:p w14:paraId="00F8D96A">
      <w:pPr>
        <w:pStyle w:val="11"/>
        <w:shd w:val="clear"/>
        <w:spacing w:line="500" w:lineRule="exact"/>
        <w:ind w:firstLine="200" w:firstLineChars="100"/>
        <w:jc w:val="center"/>
        <w:rPr>
          <w:rFonts w:hint="eastAsia" w:ascii="楷体" w:hAnsi="楷体" w:eastAsia="楷体" w:cs="楷体"/>
          <w:color w:val="auto"/>
          <w:sz w:val="24"/>
          <w:highlight w:val="none"/>
        </w:rPr>
      </w:pPr>
      <w:r>
        <w:rPr>
          <w:rFonts w:hint="eastAsia" w:ascii="楷体" w:hAnsi="楷体" w:eastAsia="楷体" w:cs="楷体"/>
          <w:color w:val="auto"/>
          <w:highlight w:val="none"/>
        </w:rPr>
        <w:br w:type="page"/>
      </w:r>
    </w:p>
    <w:p w14:paraId="6B7366D6">
      <w:pPr>
        <w:shd w:val="clear"/>
        <w:spacing w:line="360" w:lineRule="auto"/>
        <w:jc w:val="center"/>
        <w:outlineLvl w:val="2"/>
        <w:rPr>
          <w:rFonts w:hint="eastAsia" w:ascii="楷体" w:hAnsi="楷体" w:eastAsia="楷体" w:cs="楷体"/>
          <w:b/>
          <w:color w:val="auto"/>
          <w:kern w:val="0"/>
          <w:sz w:val="32"/>
          <w:szCs w:val="32"/>
          <w:highlight w:val="none"/>
          <w:lang w:val="en-US" w:eastAsia="zh-CN"/>
        </w:rPr>
      </w:pPr>
      <w:bookmarkStart w:id="153" w:name="_Toc2343"/>
      <w:r>
        <w:rPr>
          <w:rFonts w:hint="eastAsia" w:ascii="楷体" w:hAnsi="楷体" w:eastAsia="楷体" w:cs="楷体"/>
          <w:b/>
          <w:color w:val="auto"/>
          <w:kern w:val="0"/>
          <w:sz w:val="32"/>
          <w:szCs w:val="32"/>
          <w:highlight w:val="none"/>
          <w:lang w:val="en-US" w:eastAsia="zh-CN"/>
        </w:rPr>
        <w:t>四、中小企业声明函</w:t>
      </w:r>
      <w:bookmarkEnd w:id="153"/>
    </w:p>
    <w:p w14:paraId="56405B1B">
      <w:pPr>
        <w:shd w:val="clear"/>
        <w:rPr>
          <w:rFonts w:hint="eastAsia" w:ascii="楷体" w:hAnsi="楷体" w:eastAsia="楷体" w:cs="楷体"/>
          <w:color w:val="auto"/>
          <w:highlight w:val="none"/>
        </w:rPr>
      </w:pPr>
    </w:p>
    <w:p w14:paraId="338F45A6">
      <w:pPr>
        <w:keepNext w:val="0"/>
        <w:keepLines w:val="0"/>
        <w:widowControl/>
        <w:suppressLineNumbers w:val="0"/>
        <w:shd w:val="clear"/>
        <w:jc w:val="center"/>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《中小企业声明函》（符合《关于进一步加大政府采购支持中小企业力度的通知（财库〔2022〕19号）》价格扣减条件的供应商需提交）</w:t>
      </w:r>
    </w:p>
    <w:p w14:paraId="114E398C">
      <w:pPr>
        <w:keepNext w:val="0"/>
        <w:keepLines w:val="0"/>
        <w:widowControl/>
        <w:suppressLineNumbers w:val="0"/>
        <w:shd w:val="clear"/>
        <w:jc w:val="left"/>
        <w:rPr>
          <w:rFonts w:hint="eastAsia" w:ascii="楷体" w:hAnsi="楷体" w:eastAsia="楷体" w:cs="楷体"/>
          <w:color w:val="auto"/>
          <w:highlight w:val="none"/>
        </w:rPr>
      </w:pPr>
    </w:p>
    <w:p w14:paraId="32E29594">
      <w:pPr>
        <w:shd w:val="clear"/>
        <w:spacing w:line="360" w:lineRule="auto"/>
        <w:jc w:val="center"/>
        <w:rPr>
          <w:rFonts w:hint="eastAsia" w:ascii="楷体" w:hAnsi="楷体" w:eastAsia="楷体" w:cs="楷体"/>
          <w:b/>
          <w:color w:val="auto"/>
          <w:spacing w:val="6"/>
          <w:sz w:val="32"/>
          <w:szCs w:val="32"/>
          <w:highlight w:val="none"/>
        </w:rPr>
      </w:pPr>
      <w:r>
        <w:rPr>
          <w:rFonts w:hint="eastAsia" w:ascii="楷体" w:hAnsi="楷体" w:eastAsia="楷体" w:cs="楷体"/>
          <w:b/>
          <w:color w:val="auto"/>
          <w:spacing w:val="6"/>
          <w:sz w:val="32"/>
          <w:szCs w:val="32"/>
          <w:highlight w:val="none"/>
        </w:rPr>
        <w:t>中小企业声明函</w:t>
      </w:r>
    </w:p>
    <w:p w14:paraId="797ED4AF">
      <w:pPr>
        <w:shd w:val="clear"/>
        <w:snapToGrid w:val="0"/>
        <w:spacing w:line="360" w:lineRule="auto"/>
        <w:ind w:firstLine="480" w:firstLineChars="200"/>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本公司郑重声明，根据《</w:t>
      </w:r>
      <w:r>
        <w:rPr>
          <w:rFonts w:hint="eastAsia" w:ascii="楷体" w:hAnsi="楷体" w:eastAsia="楷体" w:cs="楷体"/>
          <w:color w:val="auto"/>
          <w:kern w:val="0"/>
          <w:sz w:val="24"/>
          <w:highlight w:val="none"/>
        </w:rPr>
        <w:t>关于进一步加大政府采购支持中小企业力度的通知（财库〔2022〕19号</w:t>
      </w:r>
      <w:r>
        <w:rPr>
          <w:rFonts w:hint="eastAsia" w:ascii="楷体" w:hAnsi="楷体" w:eastAsia="楷体" w:cs="楷体"/>
          <w:color w:val="auto"/>
          <w:kern w:val="0"/>
          <w:sz w:val="24"/>
          <w:highlight w:val="none"/>
          <w:lang w:eastAsia="zh-CN"/>
        </w:rPr>
        <w:t>）</w:t>
      </w:r>
      <w:r>
        <w:rPr>
          <w:rFonts w:hint="eastAsia" w:ascii="楷体" w:hAnsi="楷体" w:eastAsia="楷体" w:cs="楷体"/>
          <w:bCs/>
          <w:color w:val="auto"/>
          <w:sz w:val="24"/>
          <w:highlight w:val="none"/>
        </w:rPr>
        <w:t>》的规定，本公司参加</w:t>
      </w:r>
      <w:r>
        <w:rPr>
          <w:rFonts w:hint="eastAsia" w:ascii="楷体" w:hAnsi="楷体" w:eastAsia="楷体" w:cs="楷体"/>
          <w:bCs/>
          <w:color w:val="auto"/>
          <w:sz w:val="24"/>
          <w:highlight w:val="none"/>
          <w:u w:val="single"/>
        </w:rPr>
        <w:t xml:space="preserve">   （单位名称）    </w:t>
      </w:r>
      <w:r>
        <w:rPr>
          <w:rFonts w:hint="eastAsia" w:ascii="楷体" w:hAnsi="楷体" w:eastAsia="楷体" w:cs="楷体"/>
          <w:bCs/>
          <w:color w:val="auto"/>
          <w:sz w:val="24"/>
          <w:highlight w:val="none"/>
        </w:rPr>
        <w:t xml:space="preserve"> 的 </w:t>
      </w:r>
      <w:r>
        <w:rPr>
          <w:rFonts w:hint="eastAsia" w:ascii="楷体" w:hAnsi="楷体" w:eastAsia="楷体" w:cs="楷体"/>
          <w:bCs/>
          <w:color w:val="auto"/>
          <w:sz w:val="24"/>
          <w:highlight w:val="none"/>
          <w:u w:val="single"/>
        </w:rPr>
        <w:t xml:space="preserve">    （项目名称）     </w:t>
      </w:r>
      <w:r>
        <w:rPr>
          <w:rFonts w:hint="eastAsia" w:ascii="楷体" w:hAnsi="楷体" w:eastAsia="楷体" w:cs="楷体"/>
          <w:bCs/>
          <w:color w:val="auto"/>
          <w:sz w:val="24"/>
          <w:highlight w:val="none"/>
        </w:rPr>
        <w:t>采购活动，提供的货物全部由符合政策要求的中小企业制造。相关企业的具体情况如下：</w:t>
      </w:r>
    </w:p>
    <w:p w14:paraId="6F2B4855">
      <w:pPr>
        <w:shd w:val="clear"/>
        <w:snapToGrid w:val="0"/>
        <w:spacing w:line="360" w:lineRule="auto"/>
        <w:ind w:firstLine="480" w:firstLineChars="200"/>
        <w:rPr>
          <w:rFonts w:hint="eastAsia" w:ascii="楷体" w:hAnsi="楷体" w:eastAsia="楷体" w:cs="楷体"/>
          <w:bCs/>
          <w:color w:val="auto"/>
          <w:sz w:val="24"/>
          <w:highlight w:val="none"/>
          <w:u w:val="single"/>
        </w:rPr>
      </w:pPr>
      <w:r>
        <w:rPr>
          <w:rFonts w:hint="eastAsia" w:ascii="楷体" w:hAnsi="楷体" w:eastAsia="楷体" w:cs="楷体"/>
          <w:bCs/>
          <w:color w:val="auto"/>
          <w:sz w:val="24"/>
          <w:highlight w:val="none"/>
        </w:rPr>
        <w:t>1.</w:t>
      </w:r>
      <w:r>
        <w:rPr>
          <w:rFonts w:hint="eastAsia" w:ascii="楷体" w:hAnsi="楷体" w:eastAsia="楷体" w:cs="楷体"/>
          <w:bCs/>
          <w:color w:val="auto"/>
          <w:sz w:val="24"/>
          <w:highlight w:val="none"/>
          <w:u w:val="single"/>
        </w:rPr>
        <w:t xml:space="preserve">    （标的名称）    </w:t>
      </w:r>
      <w:r>
        <w:rPr>
          <w:rFonts w:hint="eastAsia" w:ascii="楷体" w:hAnsi="楷体" w:eastAsia="楷体" w:cs="楷体"/>
          <w:bCs/>
          <w:color w:val="auto"/>
          <w:sz w:val="24"/>
          <w:highlight w:val="none"/>
        </w:rPr>
        <w:t>，属于</w:t>
      </w:r>
      <w:r>
        <w:rPr>
          <w:rFonts w:hint="eastAsia" w:ascii="楷体" w:hAnsi="楷体" w:eastAsia="楷体" w:cs="楷体"/>
          <w:bCs/>
          <w:color w:val="auto"/>
          <w:sz w:val="24"/>
          <w:highlight w:val="none"/>
          <w:u w:val="single"/>
        </w:rPr>
        <w:t xml:space="preserve">     （采购文件中明确的所属行业）    </w:t>
      </w:r>
      <w:r>
        <w:rPr>
          <w:rFonts w:hint="eastAsia" w:ascii="楷体" w:hAnsi="楷体" w:eastAsia="楷体" w:cs="楷体"/>
          <w:bCs/>
          <w:color w:val="auto"/>
          <w:sz w:val="24"/>
          <w:highlight w:val="none"/>
        </w:rPr>
        <w:t>行业；制造商为</w:t>
      </w:r>
      <w:r>
        <w:rPr>
          <w:rFonts w:hint="eastAsia" w:ascii="楷体" w:hAnsi="楷体" w:eastAsia="楷体" w:cs="楷体"/>
          <w:bCs/>
          <w:color w:val="auto"/>
          <w:sz w:val="24"/>
          <w:highlight w:val="none"/>
          <w:u w:val="single"/>
        </w:rPr>
        <w:t xml:space="preserve">     （企业名称）     </w:t>
      </w:r>
      <w:r>
        <w:rPr>
          <w:rFonts w:hint="eastAsia" w:ascii="楷体" w:hAnsi="楷体" w:eastAsia="楷体" w:cs="楷体"/>
          <w:bCs/>
          <w:color w:val="auto"/>
          <w:sz w:val="24"/>
          <w:highlight w:val="none"/>
        </w:rPr>
        <w:t>，从业人员人</w:t>
      </w:r>
      <w:r>
        <w:rPr>
          <w:rFonts w:hint="eastAsia" w:ascii="楷体" w:hAnsi="楷体" w:eastAsia="楷体" w:cs="楷体"/>
          <w:bCs/>
          <w:color w:val="auto"/>
          <w:sz w:val="24"/>
          <w:highlight w:val="none"/>
          <w:u w:val="single"/>
        </w:rPr>
        <w:t xml:space="preserve">        </w:t>
      </w:r>
      <w:r>
        <w:rPr>
          <w:rFonts w:hint="eastAsia" w:ascii="楷体" w:hAnsi="楷体" w:eastAsia="楷体" w:cs="楷体"/>
          <w:bCs/>
          <w:color w:val="auto"/>
          <w:sz w:val="24"/>
          <w:highlight w:val="none"/>
        </w:rPr>
        <w:t>人，营业收入为</w:t>
      </w:r>
      <w:r>
        <w:rPr>
          <w:rFonts w:hint="eastAsia" w:ascii="楷体" w:hAnsi="楷体" w:eastAsia="楷体" w:cs="楷体"/>
          <w:bCs/>
          <w:color w:val="auto"/>
          <w:sz w:val="24"/>
          <w:highlight w:val="none"/>
          <w:u w:val="single"/>
        </w:rPr>
        <w:t xml:space="preserve">        </w:t>
      </w:r>
      <w:r>
        <w:rPr>
          <w:rFonts w:hint="eastAsia" w:ascii="楷体" w:hAnsi="楷体" w:eastAsia="楷体" w:cs="楷体"/>
          <w:bCs/>
          <w:color w:val="auto"/>
          <w:sz w:val="24"/>
          <w:highlight w:val="none"/>
        </w:rPr>
        <w:t>万元，资产总额为</w:t>
      </w:r>
      <w:r>
        <w:rPr>
          <w:rFonts w:hint="eastAsia" w:ascii="楷体" w:hAnsi="楷体" w:eastAsia="楷体" w:cs="楷体"/>
          <w:bCs/>
          <w:color w:val="auto"/>
          <w:sz w:val="24"/>
          <w:highlight w:val="none"/>
          <w:u w:val="single"/>
        </w:rPr>
        <w:t xml:space="preserve">        </w:t>
      </w:r>
      <w:r>
        <w:rPr>
          <w:rFonts w:hint="eastAsia" w:ascii="楷体" w:hAnsi="楷体" w:eastAsia="楷体" w:cs="楷体"/>
          <w:bCs/>
          <w:color w:val="auto"/>
          <w:sz w:val="24"/>
          <w:highlight w:val="none"/>
        </w:rPr>
        <w:t xml:space="preserve">万元，属于 </w:t>
      </w:r>
      <w:r>
        <w:rPr>
          <w:rFonts w:hint="eastAsia" w:ascii="楷体" w:hAnsi="楷体" w:eastAsia="楷体" w:cs="楷体"/>
          <w:bCs/>
          <w:color w:val="auto"/>
          <w:sz w:val="24"/>
          <w:highlight w:val="none"/>
          <w:u w:val="single"/>
        </w:rPr>
        <w:t xml:space="preserve">  （中型企业、小型企业、微型企业）     </w:t>
      </w:r>
      <w:r>
        <w:rPr>
          <w:rFonts w:hint="eastAsia" w:ascii="楷体" w:hAnsi="楷体" w:eastAsia="楷体" w:cs="楷体"/>
          <w:bCs/>
          <w:color w:val="auto"/>
          <w:sz w:val="24"/>
          <w:highlight w:val="none"/>
        </w:rPr>
        <w:t>；</w:t>
      </w:r>
    </w:p>
    <w:p w14:paraId="0CB0C63A">
      <w:pPr>
        <w:shd w:val="clear"/>
        <w:snapToGrid w:val="0"/>
        <w:spacing w:line="360" w:lineRule="auto"/>
        <w:ind w:firstLine="480" w:firstLineChars="200"/>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 xml:space="preserve">2. </w:t>
      </w:r>
      <w:r>
        <w:rPr>
          <w:rFonts w:hint="eastAsia" w:ascii="楷体" w:hAnsi="楷体" w:eastAsia="楷体" w:cs="楷体"/>
          <w:bCs/>
          <w:color w:val="auto"/>
          <w:sz w:val="24"/>
          <w:highlight w:val="none"/>
          <w:u w:val="single"/>
        </w:rPr>
        <w:t xml:space="preserve">    （标的名称）   </w:t>
      </w:r>
      <w:r>
        <w:rPr>
          <w:rFonts w:hint="eastAsia" w:ascii="楷体" w:hAnsi="楷体" w:eastAsia="楷体" w:cs="楷体"/>
          <w:bCs/>
          <w:color w:val="auto"/>
          <w:sz w:val="24"/>
          <w:highlight w:val="none"/>
        </w:rPr>
        <w:t>，属于</w:t>
      </w:r>
      <w:r>
        <w:rPr>
          <w:rFonts w:hint="eastAsia" w:ascii="楷体" w:hAnsi="楷体" w:eastAsia="楷体" w:cs="楷体"/>
          <w:bCs/>
          <w:color w:val="auto"/>
          <w:sz w:val="24"/>
          <w:highlight w:val="none"/>
          <w:u w:val="single"/>
        </w:rPr>
        <w:t xml:space="preserve">   （采购文件中明确的所属行业）    </w:t>
      </w:r>
      <w:r>
        <w:rPr>
          <w:rFonts w:hint="eastAsia" w:ascii="楷体" w:hAnsi="楷体" w:eastAsia="楷体" w:cs="楷体"/>
          <w:bCs/>
          <w:color w:val="auto"/>
          <w:sz w:val="24"/>
          <w:highlight w:val="none"/>
        </w:rPr>
        <w:t>行业；制造商为</w:t>
      </w:r>
      <w:r>
        <w:rPr>
          <w:rFonts w:hint="eastAsia" w:ascii="楷体" w:hAnsi="楷体" w:eastAsia="楷体" w:cs="楷体"/>
          <w:bCs/>
          <w:color w:val="auto"/>
          <w:sz w:val="24"/>
          <w:highlight w:val="none"/>
          <w:u w:val="single"/>
        </w:rPr>
        <w:t xml:space="preserve">  （企业名称）   </w:t>
      </w:r>
      <w:r>
        <w:rPr>
          <w:rFonts w:hint="eastAsia" w:ascii="楷体" w:hAnsi="楷体" w:eastAsia="楷体" w:cs="楷体"/>
          <w:bCs/>
          <w:color w:val="auto"/>
          <w:sz w:val="24"/>
          <w:highlight w:val="none"/>
        </w:rPr>
        <w:t>，从业人员</w:t>
      </w:r>
      <w:r>
        <w:rPr>
          <w:rFonts w:hint="eastAsia" w:ascii="楷体" w:hAnsi="楷体" w:eastAsia="楷体" w:cs="楷体"/>
          <w:bCs/>
          <w:color w:val="auto"/>
          <w:sz w:val="24"/>
          <w:highlight w:val="none"/>
          <w:u w:val="single"/>
        </w:rPr>
        <w:t xml:space="preserve">       </w:t>
      </w:r>
      <w:r>
        <w:rPr>
          <w:rFonts w:hint="eastAsia" w:ascii="楷体" w:hAnsi="楷体" w:eastAsia="楷体" w:cs="楷体"/>
          <w:bCs/>
          <w:color w:val="auto"/>
          <w:sz w:val="24"/>
          <w:highlight w:val="none"/>
        </w:rPr>
        <w:t>人，营业收入为</w:t>
      </w:r>
      <w:r>
        <w:rPr>
          <w:rFonts w:hint="eastAsia" w:ascii="楷体" w:hAnsi="楷体" w:eastAsia="楷体" w:cs="楷体"/>
          <w:bCs/>
          <w:color w:val="auto"/>
          <w:sz w:val="24"/>
          <w:highlight w:val="none"/>
          <w:u w:val="single"/>
        </w:rPr>
        <w:t xml:space="preserve">       </w:t>
      </w:r>
      <w:r>
        <w:rPr>
          <w:rFonts w:hint="eastAsia" w:ascii="楷体" w:hAnsi="楷体" w:eastAsia="楷体" w:cs="楷体"/>
          <w:bCs/>
          <w:color w:val="auto"/>
          <w:sz w:val="24"/>
          <w:highlight w:val="none"/>
        </w:rPr>
        <w:t>万元，资产总额为</w:t>
      </w:r>
      <w:r>
        <w:rPr>
          <w:rFonts w:hint="eastAsia" w:ascii="楷体" w:hAnsi="楷体" w:eastAsia="楷体" w:cs="楷体"/>
          <w:bCs/>
          <w:color w:val="auto"/>
          <w:sz w:val="24"/>
          <w:highlight w:val="none"/>
          <w:u w:val="single"/>
        </w:rPr>
        <w:t xml:space="preserve">     </w:t>
      </w:r>
      <w:r>
        <w:rPr>
          <w:rFonts w:hint="eastAsia" w:ascii="楷体" w:hAnsi="楷体" w:eastAsia="楷体" w:cs="楷体"/>
          <w:bCs/>
          <w:color w:val="auto"/>
          <w:sz w:val="24"/>
          <w:highlight w:val="none"/>
        </w:rPr>
        <w:t>万元，属于</w:t>
      </w:r>
      <w:r>
        <w:rPr>
          <w:rFonts w:hint="eastAsia" w:ascii="楷体" w:hAnsi="楷体" w:eastAsia="楷体" w:cs="楷体"/>
          <w:bCs/>
          <w:color w:val="auto"/>
          <w:sz w:val="24"/>
          <w:highlight w:val="none"/>
          <w:u w:val="single"/>
        </w:rPr>
        <w:t xml:space="preserve">   （中型企业、小型企业、微型企业）   </w:t>
      </w:r>
      <w:r>
        <w:rPr>
          <w:rFonts w:hint="eastAsia" w:ascii="楷体" w:hAnsi="楷体" w:eastAsia="楷体" w:cs="楷体"/>
          <w:bCs/>
          <w:color w:val="auto"/>
          <w:sz w:val="24"/>
          <w:highlight w:val="none"/>
        </w:rPr>
        <w:t>；</w:t>
      </w:r>
    </w:p>
    <w:p w14:paraId="1B4CFAF6">
      <w:pPr>
        <w:shd w:val="clear"/>
        <w:snapToGrid w:val="0"/>
        <w:spacing w:line="360" w:lineRule="auto"/>
        <w:ind w:firstLine="480" w:firstLineChars="20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w:t>
      </w:r>
    </w:p>
    <w:p w14:paraId="47C38B90">
      <w:pPr>
        <w:shd w:val="clear"/>
        <w:autoSpaceDE w:val="0"/>
        <w:autoSpaceDN w:val="0"/>
        <w:adjustRightInd w:val="0"/>
        <w:snapToGrid w:val="0"/>
        <w:spacing w:line="360" w:lineRule="auto"/>
        <w:ind w:firstLine="480" w:firstLineChars="200"/>
        <w:jc w:val="left"/>
        <w:rPr>
          <w:rFonts w:hint="eastAsia" w:ascii="楷体" w:hAnsi="楷体" w:eastAsia="楷体" w:cs="楷体"/>
          <w:color w:val="auto"/>
          <w:kern w:val="0"/>
          <w:sz w:val="24"/>
          <w:szCs w:val="24"/>
          <w:highlight w:val="none"/>
        </w:rPr>
      </w:pPr>
      <w:r>
        <w:rPr>
          <w:rFonts w:hint="eastAsia" w:ascii="楷体" w:hAnsi="楷体" w:eastAsia="楷体" w:cs="楷体"/>
          <w:color w:val="auto"/>
          <w:kern w:val="0"/>
          <w:sz w:val="24"/>
          <w:szCs w:val="24"/>
          <w:highlight w:val="none"/>
        </w:rPr>
        <w:t>以上企业，不属于大企业的分支机构，不存在控股股东为大企业的情形，也不存在与大企业的负责人为同一人的情形。</w:t>
      </w:r>
    </w:p>
    <w:p w14:paraId="0B799456">
      <w:pPr>
        <w:shd w:val="clear"/>
        <w:autoSpaceDE w:val="0"/>
        <w:autoSpaceDN w:val="0"/>
        <w:adjustRightInd w:val="0"/>
        <w:snapToGrid w:val="0"/>
        <w:spacing w:line="360" w:lineRule="auto"/>
        <w:ind w:firstLine="480" w:firstLineChars="200"/>
        <w:jc w:val="left"/>
        <w:rPr>
          <w:rFonts w:hint="eastAsia" w:ascii="楷体" w:hAnsi="楷体" w:eastAsia="楷体" w:cs="楷体"/>
          <w:color w:val="auto"/>
          <w:kern w:val="0"/>
          <w:sz w:val="24"/>
          <w:szCs w:val="24"/>
          <w:highlight w:val="none"/>
        </w:rPr>
      </w:pPr>
      <w:r>
        <w:rPr>
          <w:rFonts w:hint="eastAsia" w:ascii="楷体" w:hAnsi="楷体" w:eastAsia="楷体" w:cs="楷体"/>
          <w:color w:val="auto"/>
          <w:kern w:val="0"/>
          <w:sz w:val="24"/>
          <w:szCs w:val="24"/>
          <w:highlight w:val="none"/>
        </w:rPr>
        <w:t>本企业对上述声明内容的真实性负责。如有虚假，将依法承担相应责任。</w:t>
      </w:r>
    </w:p>
    <w:p w14:paraId="674B6E64">
      <w:pPr>
        <w:shd w:val="clear"/>
        <w:autoSpaceDE w:val="0"/>
        <w:autoSpaceDN w:val="0"/>
        <w:adjustRightInd w:val="0"/>
        <w:spacing w:line="360" w:lineRule="auto"/>
        <w:jc w:val="left"/>
        <w:rPr>
          <w:rFonts w:hint="eastAsia" w:ascii="楷体" w:hAnsi="楷体" w:eastAsia="楷体" w:cs="楷体"/>
          <w:color w:val="auto"/>
          <w:kern w:val="0"/>
          <w:sz w:val="24"/>
          <w:szCs w:val="24"/>
          <w:highlight w:val="none"/>
        </w:rPr>
      </w:pPr>
    </w:p>
    <w:p w14:paraId="068AE8A7">
      <w:pPr>
        <w:shd w:val="clear"/>
        <w:autoSpaceDE w:val="0"/>
        <w:autoSpaceDN w:val="0"/>
        <w:adjustRightInd w:val="0"/>
        <w:spacing w:line="360" w:lineRule="auto"/>
        <w:jc w:val="left"/>
        <w:rPr>
          <w:rFonts w:hint="eastAsia" w:ascii="楷体" w:hAnsi="楷体" w:eastAsia="楷体" w:cs="楷体"/>
          <w:b w:val="0"/>
          <w:bCs w:val="0"/>
          <w:color w:val="auto"/>
          <w:kern w:val="0"/>
          <w:sz w:val="24"/>
          <w:szCs w:val="24"/>
          <w:highlight w:val="none"/>
        </w:rPr>
      </w:pPr>
      <w:r>
        <w:rPr>
          <w:rFonts w:hint="eastAsia" w:ascii="楷体" w:hAnsi="楷体" w:eastAsia="楷体" w:cs="楷体"/>
          <w:b w:val="0"/>
          <w:bCs w:val="0"/>
          <w:color w:val="auto"/>
          <w:kern w:val="0"/>
          <w:sz w:val="24"/>
          <w:szCs w:val="24"/>
          <w:highlight w:val="none"/>
        </w:rPr>
        <w:t>供应商（</w:t>
      </w:r>
      <w:r>
        <w:rPr>
          <w:rFonts w:hint="eastAsia" w:ascii="楷体" w:hAnsi="楷体" w:eastAsia="楷体" w:cs="楷体"/>
          <w:b w:val="0"/>
          <w:bCs w:val="0"/>
          <w:color w:val="auto"/>
          <w:kern w:val="0"/>
          <w:sz w:val="24"/>
          <w:szCs w:val="24"/>
          <w:highlight w:val="none"/>
          <w:lang w:eastAsia="zh-CN"/>
        </w:rPr>
        <w:t>电子签章</w:t>
      </w:r>
      <w:r>
        <w:rPr>
          <w:rFonts w:hint="eastAsia" w:ascii="楷体" w:hAnsi="楷体" w:eastAsia="楷体" w:cs="楷体"/>
          <w:b w:val="0"/>
          <w:bCs w:val="0"/>
          <w:color w:val="auto"/>
          <w:kern w:val="0"/>
          <w:sz w:val="24"/>
          <w:szCs w:val="24"/>
          <w:highlight w:val="none"/>
        </w:rPr>
        <w:t>）：</w:t>
      </w:r>
    </w:p>
    <w:p w14:paraId="5EF91113">
      <w:pPr>
        <w:shd w:val="clear"/>
        <w:autoSpaceDE w:val="0"/>
        <w:autoSpaceDN w:val="0"/>
        <w:adjustRightInd w:val="0"/>
        <w:spacing w:line="360" w:lineRule="auto"/>
        <w:jc w:val="left"/>
        <w:rPr>
          <w:rFonts w:hint="eastAsia" w:ascii="楷体" w:hAnsi="楷体" w:eastAsia="楷体" w:cs="楷体"/>
          <w:b w:val="0"/>
          <w:bCs w:val="0"/>
          <w:color w:val="auto"/>
          <w:kern w:val="0"/>
          <w:sz w:val="24"/>
          <w:szCs w:val="24"/>
          <w:highlight w:val="none"/>
        </w:rPr>
      </w:pPr>
      <w:r>
        <w:rPr>
          <w:rFonts w:hint="eastAsia" w:ascii="楷体" w:hAnsi="楷体" w:eastAsia="楷体" w:cs="楷体"/>
          <w:b w:val="0"/>
          <w:bCs w:val="0"/>
          <w:color w:val="auto"/>
          <w:kern w:val="0"/>
          <w:sz w:val="24"/>
          <w:szCs w:val="24"/>
          <w:highlight w:val="none"/>
        </w:rPr>
        <w:t>日期：   年   月   日</w:t>
      </w:r>
    </w:p>
    <w:p w14:paraId="59CF9562">
      <w:pPr>
        <w:widowControl/>
        <w:shd w:val="clear"/>
        <w:jc w:val="left"/>
        <w:rPr>
          <w:rFonts w:hint="eastAsia" w:ascii="楷体" w:hAnsi="楷体" w:eastAsia="楷体" w:cs="楷体"/>
          <w:b/>
          <w:bCs/>
          <w:color w:val="auto"/>
          <w:kern w:val="0"/>
          <w:sz w:val="24"/>
          <w:szCs w:val="24"/>
          <w:highlight w:val="none"/>
        </w:rPr>
      </w:pPr>
    </w:p>
    <w:p w14:paraId="51CBF15D">
      <w:pPr>
        <w:widowControl/>
        <w:shd w:val="clear"/>
        <w:jc w:val="left"/>
        <w:rPr>
          <w:rFonts w:hint="eastAsia" w:ascii="楷体" w:hAnsi="楷体" w:eastAsia="楷体" w:cs="楷体"/>
          <w:b/>
          <w:bCs/>
          <w:color w:val="auto"/>
          <w:kern w:val="0"/>
          <w:sz w:val="24"/>
          <w:szCs w:val="24"/>
          <w:highlight w:val="none"/>
        </w:rPr>
      </w:pPr>
    </w:p>
    <w:p w14:paraId="18DE76AC">
      <w:pPr>
        <w:widowControl/>
        <w:shd w:val="clear"/>
        <w:jc w:val="left"/>
        <w:rPr>
          <w:rFonts w:hint="eastAsia" w:ascii="楷体" w:hAnsi="楷体" w:eastAsia="楷体" w:cs="楷体"/>
          <w:b/>
          <w:bCs/>
          <w:color w:val="auto"/>
          <w:kern w:val="0"/>
          <w:sz w:val="24"/>
          <w:szCs w:val="24"/>
          <w:highlight w:val="none"/>
        </w:rPr>
      </w:pPr>
    </w:p>
    <w:p w14:paraId="116B2494">
      <w:pPr>
        <w:widowControl/>
        <w:shd w:val="clear"/>
        <w:jc w:val="left"/>
        <w:rPr>
          <w:rFonts w:hint="eastAsia" w:ascii="楷体" w:hAnsi="楷体" w:eastAsia="楷体" w:cs="楷体"/>
          <w:b/>
          <w:bCs/>
          <w:color w:val="auto"/>
          <w:kern w:val="0"/>
          <w:sz w:val="24"/>
          <w:szCs w:val="24"/>
          <w:highlight w:val="none"/>
        </w:rPr>
      </w:pPr>
      <w:r>
        <w:rPr>
          <w:rFonts w:hint="eastAsia" w:ascii="楷体" w:hAnsi="楷体" w:eastAsia="楷体" w:cs="楷体"/>
          <w:b/>
          <w:bCs/>
          <w:color w:val="auto"/>
          <w:kern w:val="0"/>
          <w:sz w:val="24"/>
          <w:szCs w:val="24"/>
          <w:highlight w:val="none"/>
        </w:rPr>
        <w:t>注：1、符合《</w:t>
      </w:r>
      <w:r>
        <w:rPr>
          <w:rFonts w:hint="eastAsia" w:ascii="楷体" w:hAnsi="楷体" w:eastAsia="楷体" w:cs="楷体"/>
          <w:color w:val="auto"/>
          <w:kern w:val="0"/>
          <w:sz w:val="24"/>
          <w:highlight w:val="none"/>
        </w:rPr>
        <w:t>关于进一步加大政府采购支持中小企业力度的通知（财库〔2022〕19号</w:t>
      </w:r>
      <w:r>
        <w:rPr>
          <w:rFonts w:hint="eastAsia" w:ascii="楷体" w:hAnsi="楷体" w:eastAsia="楷体" w:cs="楷体"/>
          <w:color w:val="auto"/>
          <w:kern w:val="0"/>
          <w:sz w:val="24"/>
          <w:highlight w:val="none"/>
          <w:lang w:eastAsia="zh-CN"/>
        </w:rPr>
        <w:t>）</w:t>
      </w:r>
      <w:r>
        <w:rPr>
          <w:rFonts w:hint="eastAsia" w:ascii="楷体" w:hAnsi="楷体" w:eastAsia="楷体" w:cs="楷体"/>
          <w:b/>
          <w:bCs/>
          <w:color w:val="auto"/>
          <w:kern w:val="0"/>
          <w:sz w:val="24"/>
          <w:szCs w:val="24"/>
          <w:highlight w:val="none"/>
        </w:rPr>
        <w:t>》价格扣减条件的</w:t>
      </w:r>
      <w:r>
        <w:rPr>
          <w:rFonts w:hint="eastAsia" w:ascii="楷体" w:hAnsi="楷体" w:eastAsia="楷体" w:cs="楷体"/>
          <w:b/>
          <w:bCs/>
          <w:color w:val="auto"/>
          <w:kern w:val="0"/>
          <w:sz w:val="24"/>
          <w:szCs w:val="24"/>
          <w:highlight w:val="none"/>
          <w:lang w:eastAsia="zh-CN"/>
        </w:rPr>
        <w:t>供应商</w:t>
      </w:r>
      <w:r>
        <w:rPr>
          <w:rFonts w:hint="eastAsia" w:ascii="楷体" w:hAnsi="楷体" w:eastAsia="楷体" w:cs="楷体"/>
          <w:b/>
          <w:bCs/>
          <w:color w:val="auto"/>
          <w:kern w:val="0"/>
          <w:sz w:val="24"/>
          <w:szCs w:val="24"/>
          <w:highlight w:val="none"/>
        </w:rPr>
        <w:t>需提供《中小企业声明函》。</w:t>
      </w:r>
    </w:p>
    <w:p w14:paraId="5F1BDB0E">
      <w:pPr>
        <w:widowControl/>
        <w:shd w:val="clear"/>
        <w:jc w:val="left"/>
        <w:rPr>
          <w:rFonts w:hint="eastAsia" w:ascii="楷体" w:hAnsi="楷体" w:eastAsia="楷体" w:cs="楷体"/>
          <w:b/>
          <w:bCs/>
          <w:color w:val="auto"/>
          <w:kern w:val="0"/>
          <w:sz w:val="24"/>
          <w:szCs w:val="24"/>
          <w:highlight w:val="none"/>
        </w:rPr>
      </w:pPr>
      <w:r>
        <w:rPr>
          <w:rFonts w:hint="eastAsia" w:ascii="楷体" w:hAnsi="楷体" w:eastAsia="楷体" w:cs="楷体"/>
          <w:b/>
          <w:bCs/>
          <w:color w:val="auto"/>
          <w:kern w:val="0"/>
          <w:sz w:val="24"/>
          <w:szCs w:val="24"/>
          <w:highlight w:val="none"/>
        </w:rPr>
        <w:t>2.从业人员、营业收入、资产总额填报上一年度数据，无上一年度数据的新成立企业可不填报。</w:t>
      </w:r>
    </w:p>
    <w:p w14:paraId="4C00B1C5">
      <w:pPr>
        <w:widowControl/>
        <w:shd w:val="clear"/>
        <w:jc w:val="left"/>
        <w:rPr>
          <w:rFonts w:hint="eastAsia" w:ascii="楷体" w:hAnsi="楷体" w:eastAsia="楷体" w:cs="楷体"/>
          <w:b/>
          <w:color w:val="auto"/>
          <w:sz w:val="24"/>
          <w:highlight w:val="none"/>
        </w:rPr>
      </w:pPr>
      <w:r>
        <w:rPr>
          <w:rFonts w:hint="eastAsia" w:ascii="楷体" w:hAnsi="楷体" w:eastAsia="楷体" w:cs="楷体"/>
          <w:b/>
          <w:bCs/>
          <w:color w:val="auto"/>
          <w:kern w:val="0"/>
          <w:sz w:val="24"/>
          <w:szCs w:val="24"/>
          <w:highlight w:val="none"/>
        </w:rPr>
        <w:t>3.不享受中小企业优先采购政策的</w:t>
      </w:r>
      <w:r>
        <w:rPr>
          <w:rFonts w:hint="eastAsia" w:ascii="楷体" w:hAnsi="楷体" w:eastAsia="楷体" w:cs="楷体"/>
          <w:b/>
          <w:bCs/>
          <w:color w:val="auto"/>
          <w:kern w:val="0"/>
          <w:sz w:val="24"/>
          <w:szCs w:val="24"/>
          <w:highlight w:val="none"/>
          <w:lang w:eastAsia="zh-CN"/>
        </w:rPr>
        <w:t>供应商</w:t>
      </w:r>
      <w:r>
        <w:rPr>
          <w:rFonts w:hint="eastAsia" w:ascii="楷体" w:hAnsi="楷体" w:eastAsia="楷体" w:cs="楷体"/>
          <w:b/>
          <w:bCs/>
          <w:color w:val="auto"/>
          <w:kern w:val="0"/>
          <w:sz w:val="24"/>
          <w:szCs w:val="24"/>
          <w:highlight w:val="none"/>
        </w:rPr>
        <w:t>不需填写《中小企业声明函》。</w:t>
      </w:r>
      <w:r>
        <w:rPr>
          <w:rFonts w:hint="eastAsia" w:ascii="楷体" w:hAnsi="楷体" w:eastAsia="楷体" w:cs="楷体"/>
          <w:b/>
          <w:color w:val="auto"/>
          <w:sz w:val="24"/>
          <w:highlight w:val="none"/>
        </w:rPr>
        <w:br w:type="page"/>
      </w:r>
    </w:p>
    <w:p w14:paraId="54B70408">
      <w:pPr>
        <w:shd w:val="clear"/>
        <w:spacing w:line="360" w:lineRule="auto"/>
        <w:jc w:val="center"/>
        <w:outlineLvl w:val="2"/>
        <w:rPr>
          <w:rFonts w:hint="eastAsia" w:ascii="楷体" w:hAnsi="楷体" w:eastAsia="楷体" w:cs="楷体"/>
          <w:b/>
          <w:color w:val="auto"/>
          <w:kern w:val="0"/>
          <w:sz w:val="32"/>
          <w:szCs w:val="32"/>
          <w:highlight w:val="none"/>
          <w:lang w:val="en-US" w:eastAsia="zh-CN"/>
        </w:rPr>
      </w:pPr>
      <w:bookmarkStart w:id="154" w:name="_Toc45145024"/>
      <w:bookmarkStart w:id="155" w:name="_Toc27061"/>
      <w:bookmarkStart w:id="156" w:name="_Toc13635"/>
      <w:bookmarkStart w:id="157" w:name="_Toc15938"/>
      <w:bookmarkStart w:id="158" w:name="_Toc54878344"/>
      <w:r>
        <w:rPr>
          <w:rFonts w:hint="eastAsia" w:ascii="楷体" w:hAnsi="楷体" w:eastAsia="楷体" w:cs="楷体"/>
          <w:b/>
          <w:color w:val="auto"/>
          <w:kern w:val="0"/>
          <w:sz w:val="32"/>
          <w:szCs w:val="32"/>
          <w:highlight w:val="none"/>
          <w:lang w:val="en-US" w:eastAsia="zh-CN"/>
        </w:rPr>
        <w:t>五、残疾人福利性单位声明函</w:t>
      </w:r>
      <w:bookmarkEnd w:id="154"/>
      <w:bookmarkEnd w:id="155"/>
      <w:bookmarkEnd w:id="156"/>
      <w:bookmarkEnd w:id="157"/>
      <w:bookmarkEnd w:id="158"/>
    </w:p>
    <w:p w14:paraId="2C0A9B63">
      <w:pPr>
        <w:shd w:val="clear"/>
        <w:tabs>
          <w:tab w:val="left" w:pos="5580"/>
        </w:tabs>
        <w:spacing w:line="240" w:lineRule="atLeast"/>
        <w:jc w:val="center"/>
        <w:rPr>
          <w:rFonts w:hint="eastAsia" w:ascii="楷体" w:hAnsi="楷体" w:eastAsia="楷体" w:cs="楷体"/>
          <w:b/>
          <w:color w:val="auto"/>
          <w:sz w:val="28"/>
          <w:highlight w:val="none"/>
        </w:rPr>
      </w:pPr>
    </w:p>
    <w:p w14:paraId="74F9E3A6">
      <w:pPr>
        <w:shd w:val="clear"/>
        <w:tabs>
          <w:tab w:val="left" w:pos="5580"/>
        </w:tabs>
        <w:spacing w:line="240" w:lineRule="atLeast"/>
        <w:jc w:val="cente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《残疾人福利性单位声明函》（符合《三部门联合发布关于促进残疾人就业政府采购政策的通知》（财库〔2017〕141号）价格扣减条件的</w:t>
      </w:r>
      <w:r>
        <w:rPr>
          <w:rFonts w:hint="eastAsia" w:ascii="楷体" w:hAnsi="楷体" w:eastAsia="楷体" w:cs="楷体"/>
          <w:b/>
          <w:color w:val="auto"/>
          <w:sz w:val="24"/>
          <w:szCs w:val="24"/>
          <w:highlight w:val="none"/>
          <w:lang w:eastAsia="zh-CN"/>
        </w:rPr>
        <w:t>供应商</w:t>
      </w:r>
      <w:r>
        <w:rPr>
          <w:rFonts w:hint="eastAsia" w:ascii="楷体" w:hAnsi="楷体" w:eastAsia="楷体" w:cs="楷体"/>
          <w:b/>
          <w:color w:val="auto"/>
          <w:sz w:val="24"/>
          <w:szCs w:val="24"/>
          <w:highlight w:val="none"/>
        </w:rPr>
        <w:t>须提交）</w:t>
      </w:r>
    </w:p>
    <w:p w14:paraId="10A77530">
      <w:pPr>
        <w:shd w:val="clear"/>
        <w:tabs>
          <w:tab w:val="left" w:pos="5580"/>
        </w:tabs>
        <w:spacing w:line="240" w:lineRule="atLeast"/>
        <w:jc w:val="center"/>
        <w:rPr>
          <w:rFonts w:hint="eastAsia" w:ascii="楷体" w:hAnsi="楷体" w:eastAsia="楷体" w:cs="楷体"/>
          <w:b/>
          <w:color w:val="auto"/>
          <w:sz w:val="24"/>
          <w:szCs w:val="24"/>
          <w:highlight w:val="none"/>
        </w:rPr>
      </w:pPr>
    </w:p>
    <w:p w14:paraId="70563745">
      <w:pPr>
        <w:shd w:val="clear"/>
        <w:tabs>
          <w:tab w:val="left" w:pos="5580"/>
        </w:tabs>
        <w:spacing w:line="240" w:lineRule="atLeast"/>
        <w:jc w:val="center"/>
        <w:rPr>
          <w:rFonts w:hint="eastAsia" w:ascii="楷体" w:hAnsi="楷体" w:eastAsia="楷体" w:cs="楷体"/>
          <w:b/>
          <w:bCs/>
          <w:color w:val="auto"/>
          <w:sz w:val="28"/>
          <w:szCs w:val="28"/>
          <w:highlight w:val="none"/>
        </w:rPr>
      </w:pPr>
      <w:r>
        <w:rPr>
          <w:rFonts w:hint="eastAsia" w:ascii="楷体" w:hAnsi="楷体" w:eastAsia="楷体" w:cs="楷体"/>
          <w:b/>
          <w:color w:val="auto"/>
          <w:sz w:val="24"/>
          <w:szCs w:val="24"/>
          <w:highlight w:val="none"/>
        </w:rPr>
        <w:t>残疾人福利性单位声明函</w:t>
      </w:r>
      <w:bookmarkStart w:id="159" w:name="_Toc45145212"/>
      <w:bookmarkStart w:id="160" w:name="_Toc48665114"/>
      <w:bookmarkStart w:id="161" w:name="OLE_LINK14"/>
      <w:bookmarkStart w:id="162" w:name="OLE_LINK13"/>
      <w:bookmarkStart w:id="163" w:name="_Toc503861969"/>
      <w:bookmarkStart w:id="164" w:name="_Toc54878345"/>
      <w:bookmarkStart w:id="165" w:name="_Toc48723573"/>
      <w:bookmarkStart w:id="166" w:name="_Toc45145025"/>
      <w:bookmarkStart w:id="167" w:name="_Toc44767477"/>
      <w:bookmarkStart w:id="168" w:name="_Toc51847536"/>
      <w:bookmarkStart w:id="169" w:name="_Toc48723679"/>
      <w:bookmarkStart w:id="170" w:name="_Toc48658027"/>
    </w:p>
    <w:bookmarkEnd w:id="159"/>
    <w:bookmarkEnd w:id="160"/>
    <w:bookmarkEnd w:id="161"/>
    <w:bookmarkEnd w:id="162"/>
    <w:bookmarkEnd w:id="163"/>
    <w:bookmarkEnd w:id="164"/>
    <w:bookmarkEnd w:id="165"/>
    <w:bookmarkEnd w:id="166"/>
    <w:bookmarkEnd w:id="167"/>
    <w:bookmarkEnd w:id="168"/>
    <w:bookmarkEnd w:id="169"/>
    <w:bookmarkEnd w:id="170"/>
    <w:p w14:paraId="5A8EFAC1">
      <w:pPr>
        <w:shd w:val="clear"/>
        <w:spacing w:line="588" w:lineRule="exact"/>
        <w:ind w:firstLine="504" w:firstLineChars="200"/>
        <w:rPr>
          <w:rFonts w:hint="eastAsia" w:ascii="楷体" w:hAnsi="楷体" w:eastAsia="楷体" w:cs="楷体"/>
          <w:color w:val="auto"/>
          <w:spacing w:val="6"/>
          <w:sz w:val="24"/>
          <w:szCs w:val="24"/>
          <w:highlight w:val="none"/>
        </w:rPr>
      </w:pPr>
      <w:r>
        <w:rPr>
          <w:rFonts w:hint="eastAsia" w:ascii="楷体" w:hAnsi="楷体" w:eastAsia="楷体" w:cs="楷体"/>
          <w:color w:val="auto"/>
          <w:spacing w:val="6"/>
          <w:sz w:val="24"/>
          <w:szCs w:val="24"/>
          <w:highlight w:val="none"/>
        </w:rPr>
        <w:t>本单位郑重声明，根据《财政部 民政部 中国残疾人联合会关于促进残疾人就业政府采购政策的通知》（财库</w:t>
      </w:r>
      <w:r>
        <w:rPr>
          <w:rFonts w:hint="eastAsia" w:ascii="楷体" w:hAnsi="楷体" w:eastAsia="楷体" w:cs="楷体"/>
          <w:color w:val="auto"/>
          <w:sz w:val="24"/>
          <w:szCs w:val="24"/>
          <w:highlight w:val="none"/>
        </w:rPr>
        <w:t>〔2017〕 141</w:t>
      </w:r>
      <w:r>
        <w:rPr>
          <w:rFonts w:hint="eastAsia" w:ascii="楷体" w:hAnsi="楷体" w:eastAsia="楷体" w:cs="楷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C84E072">
      <w:pPr>
        <w:shd w:val="clear"/>
        <w:spacing w:line="588" w:lineRule="exact"/>
        <w:ind w:firstLine="504" w:firstLineChars="200"/>
        <w:rPr>
          <w:rFonts w:hint="eastAsia" w:ascii="楷体" w:hAnsi="楷体" w:eastAsia="楷体" w:cs="楷体"/>
          <w:color w:val="auto"/>
          <w:spacing w:val="6"/>
          <w:sz w:val="24"/>
          <w:szCs w:val="24"/>
          <w:highlight w:val="none"/>
        </w:rPr>
      </w:pPr>
      <w:r>
        <w:rPr>
          <w:rFonts w:hint="eastAsia" w:ascii="楷体" w:hAnsi="楷体" w:eastAsia="楷体" w:cs="楷体"/>
          <w:color w:val="auto"/>
          <w:spacing w:val="6"/>
          <w:sz w:val="24"/>
          <w:szCs w:val="24"/>
          <w:highlight w:val="none"/>
        </w:rPr>
        <w:t>本单位对上述声明的真实性负责。如有虚假，将依法承担相应责任。</w:t>
      </w:r>
    </w:p>
    <w:p w14:paraId="5A9DE913">
      <w:pPr>
        <w:shd w:val="clear"/>
        <w:spacing w:line="588" w:lineRule="exact"/>
        <w:ind w:firstLine="504" w:firstLineChars="200"/>
        <w:rPr>
          <w:rFonts w:hint="eastAsia" w:ascii="楷体" w:hAnsi="楷体" w:eastAsia="楷体" w:cs="楷体"/>
          <w:color w:val="auto"/>
          <w:spacing w:val="6"/>
          <w:sz w:val="24"/>
          <w:szCs w:val="24"/>
          <w:highlight w:val="none"/>
        </w:rPr>
      </w:pPr>
    </w:p>
    <w:p w14:paraId="4957F6EA">
      <w:pPr>
        <w:shd w:val="clear"/>
        <w:spacing w:line="588" w:lineRule="exact"/>
        <w:ind w:firstLine="504" w:firstLineChars="200"/>
        <w:rPr>
          <w:rFonts w:hint="eastAsia" w:ascii="楷体" w:hAnsi="楷体" w:eastAsia="楷体" w:cs="楷体"/>
          <w:color w:val="auto"/>
          <w:spacing w:val="6"/>
          <w:sz w:val="24"/>
          <w:szCs w:val="24"/>
          <w:highlight w:val="none"/>
        </w:rPr>
      </w:pPr>
    </w:p>
    <w:p w14:paraId="1E9EAC44">
      <w:pPr>
        <w:shd w:val="clear"/>
        <w:autoSpaceDE w:val="0"/>
        <w:autoSpaceDN w:val="0"/>
        <w:adjustRightInd w:val="0"/>
        <w:spacing w:line="360" w:lineRule="auto"/>
        <w:jc w:val="left"/>
        <w:rPr>
          <w:rFonts w:hint="eastAsia" w:ascii="楷体" w:hAnsi="楷体" w:eastAsia="楷体" w:cs="楷体"/>
          <w:b w:val="0"/>
          <w:bCs w:val="0"/>
          <w:color w:val="auto"/>
          <w:kern w:val="0"/>
          <w:sz w:val="24"/>
          <w:szCs w:val="24"/>
          <w:highlight w:val="none"/>
        </w:rPr>
      </w:pPr>
      <w:r>
        <w:rPr>
          <w:rFonts w:hint="eastAsia" w:ascii="楷体" w:hAnsi="楷体" w:eastAsia="楷体" w:cs="楷体"/>
          <w:b w:val="0"/>
          <w:bCs w:val="0"/>
          <w:color w:val="auto"/>
          <w:kern w:val="0"/>
          <w:sz w:val="24"/>
          <w:szCs w:val="24"/>
          <w:highlight w:val="none"/>
        </w:rPr>
        <w:t>供应商（</w:t>
      </w:r>
      <w:r>
        <w:rPr>
          <w:rFonts w:hint="eastAsia" w:ascii="楷体" w:hAnsi="楷体" w:eastAsia="楷体" w:cs="楷体"/>
          <w:b w:val="0"/>
          <w:bCs w:val="0"/>
          <w:color w:val="auto"/>
          <w:kern w:val="0"/>
          <w:sz w:val="24"/>
          <w:szCs w:val="24"/>
          <w:highlight w:val="none"/>
          <w:lang w:eastAsia="zh-CN"/>
        </w:rPr>
        <w:t>电子签章</w:t>
      </w:r>
      <w:r>
        <w:rPr>
          <w:rFonts w:hint="eastAsia" w:ascii="楷体" w:hAnsi="楷体" w:eastAsia="楷体" w:cs="楷体"/>
          <w:b w:val="0"/>
          <w:bCs w:val="0"/>
          <w:color w:val="auto"/>
          <w:kern w:val="0"/>
          <w:sz w:val="24"/>
          <w:szCs w:val="24"/>
          <w:highlight w:val="none"/>
        </w:rPr>
        <w:t>）：</w:t>
      </w:r>
    </w:p>
    <w:p w14:paraId="61A85C4D">
      <w:pPr>
        <w:shd w:val="clear"/>
        <w:autoSpaceDE w:val="0"/>
        <w:autoSpaceDN w:val="0"/>
        <w:adjustRightInd w:val="0"/>
        <w:spacing w:line="360" w:lineRule="auto"/>
        <w:jc w:val="left"/>
        <w:rPr>
          <w:rFonts w:hint="eastAsia" w:ascii="楷体" w:hAnsi="楷体" w:eastAsia="楷体" w:cs="楷体"/>
          <w:b w:val="0"/>
          <w:bCs w:val="0"/>
          <w:color w:val="auto"/>
          <w:kern w:val="0"/>
          <w:sz w:val="24"/>
          <w:szCs w:val="24"/>
          <w:highlight w:val="none"/>
        </w:rPr>
      </w:pPr>
      <w:r>
        <w:rPr>
          <w:rFonts w:hint="eastAsia" w:ascii="楷体" w:hAnsi="楷体" w:eastAsia="楷体" w:cs="楷体"/>
          <w:b w:val="0"/>
          <w:bCs w:val="0"/>
          <w:color w:val="auto"/>
          <w:kern w:val="0"/>
          <w:sz w:val="24"/>
          <w:szCs w:val="24"/>
          <w:highlight w:val="none"/>
        </w:rPr>
        <w:t>日期：   年   月   日</w:t>
      </w:r>
    </w:p>
    <w:p w14:paraId="3687A0C4">
      <w:pPr>
        <w:shd w:val="clear"/>
        <w:tabs>
          <w:tab w:val="left" w:pos="4860"/>
        </w:tabs>
        <w:spacing w:line="588" w:lineRule="exact"/>
        <w:ind w:right="1560" w:firstLine="504" w:firstLineChars="200"/>
        <w:jc w:val="center"/>
        <w:rPr>
          <w:rFonts w:hint="eastAsia" w:ascii="楷体" w:hAnsi="楷体" w:eastAsia="楷体" w:cs="楷体"/>
          <w:color w:val="auto"/>
          <w:spacing w:val="6"/>
          <w:sz w:val="24"/>
          <w:szCs w:val="24"/>
          <w:highlight w:val="none"/>
        </w:rPr>
      </w:pPr>
      <w:r>
        <w:rPr>
          <w:rFonts w:hint="eastAsia" w:ascii="楷体" w:hAnsi="楷体" w:eastAsia="楷体" w:cs="楷体"/>
          <w:color w:val="auto"/>
          <w:spacing w:val="6"/>
          <w:sz w:val="24"/>
          <w:szCs w:val="24"/>
          <w:highlight w:val="none"/>
        </w:rPr>
        <w:t xml:space="preserve">               </w:t>
      </w:r>
    </w:p>
    <w:p w14:paraId="7572BE73">
      <w:pPr>
        <w:shd w:val="clear"/>
        <w:tabs>
          <w:tab w:val="left" w:pos="4860"/>
        </w:tabs>
        <w:spacing w:line="588" w:lineRule="exact"/>
        <w:ind w:right="1560" w:firstLine="504" w:firstLineChars="200"/>
        <w:jc w:val="center"/>
        <w:rPr>
          <w:rFonts w:hint="eastAsia" w:ascii="楷体" w:hAnsi="楷体" w:eastAsia="楷体" w:cs="楷体"/>
          <w:color w:val="auto"/>
          <w:spacing w:val="6"/>
          <w:sz w:val="24"/>
          <w:szCs w:val="24"/>
          <w:highlight w:val="none"/>
        </w:rPr>
      </w:pPr>
    </w:p>
    <w:p w14:paraId="6B5218AB">
      <w:pPr>
        <w:shd w:val="clear"/>
        <w:rPr>
          <w:rFonts w:hint="eastAsia" w:ascii="楷体" w:hAnsi="楷体" w:eastAsia="楷体" w:cs="楷体"/>
          <w:b/>
          <w:color w:val="auto"/>
          <w:sz w:val="24"/>
          <w:szCs w:val="24"/>
          <w:highlight w:val="none"/>
        </w:rPr>
      </w:pPr>
    </w:p>
    <w:p w14:paraId="602F36C5">
      <w:pPr>
        <w:shd w:val="clea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p>
    <w:p w14:paraId="6260754F">
      <w:pPr>
        <w:shd w:val="clear"/>
        <w:spacing w:line="360" w:lineRule="auto"/>
        <w:ind w:firstLine="480" w:firstLineChars="200"/>
        <w:rPr>
          <w:rFonts w:hint="eastAsia" w:ascii="楷体" w:hAnsi="楷体" w:eastAsia="楷体" w:cs="楷体"/>
          <w:color w:val="auto"/>
          <w:sz w:val="24"/>
          <w:highlight w:val="none"/>
        </w:rPr>
      </w:pPr>
    </w:p>
    <w:p w14:paraId="599E901B">
      <w:pPr>
        <w:shd w:val="clear"/>
        <w:jc w:val="center"/>
        <w:outlineLvl w:val="2"/>
        <w:rPr>
          <w:rFonts w:hint="eastAsia" w:ascii="楷体" w:hAnsi="楷体" w:eastAsia="楷体" w:cs="楷体"/>
          <w:color w:val="auto"/>
          <w:highlight w:val="none"/>
          <w:lang w:eastAsia="zh-CN"/>
        </w:rPr>
      </w:pPr>
      <w:r>
        <w:rPr>
          <w:rFonts w:hint="eastAsia" w:ascii="楷体" w:hAnsi="楷体" w:eastAsia="楷体" w:cs="楷体"/>
          <w:color w:val="auto"/>
          <w:highlight w:val="none"/>
        </w:rPr>
        <w:br w:type="page"/>
      </w:r>
      <w:bookmarkStart w:id="171" w:name="_Toc28028"/>
      <w:r>
        <w:rPr>
          <w:rFonts w:hint="eastAsia" w:ascii="楷体" w:hAnsi="楷体" w:eastAsia="楷体" w:cs="楷体"/>
          <w:b/>
          <w:color w:val="auto"/>
          <w:kern w:val="0"/>
          <w:sz w:val="32"/>
          <w:szCs w:val="32"/>
          <w:highlight w:val="none"/>
          <w:lang w:val="en-US" w:eastAsia="zh-CN"/>
        </w:rPr>
        <w:t>六、监狱企业证明材料</w:t>
      </w:r>
      <w:bookmarkEnd w:id="171"/>
    </w:p>
    <w:p w14:paraId="6ED3FC92">
      <w:pPr>
        <w:shd w:val="clear"/>
        <w:jc w:val="left"/>
        <w:rPr>
          <w:rFonts w:hint="eastAsia" w:ascii="楷体" w:hAnsi="楷体" w:eastAsia="楷体" w:cs="楷体"/>
          <w:b/>
          <w:color w:val="auto"/>
          <w:szCs w:val="21"/>
          <w:highlight w:val="none"/>
        </w:rPr>
      </w:pPr>
    </w:p>
    <w:p w14:paraId="1C3BC9D6">
      <w:pPr>
        <w:shd w:val="clear"/>
        <w:tabs>
          <w:tab w:val="left" w:pos="5580"/>
        </w:tabs>
        <w:spacing w:line="240" w:lineRule="atLeast"/>
        <w:jc w:val="cente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《监狱企业证明文件》（符合《财政部 司法部关于政府采购支持监狱企业发展有关问题的通知》（财库[2014]68号）价格扣减条件的供应商须提交）</w:t>
      </w:r>
    </w:p>
    <w:p w14:paraId="692BB08B">
      <w:pPr>
        <w:shd w:val="clear"/>
        <w:tabs>
          <w:tab w:val="left" w:pos="5580"/>
        </w:tabs>
        <w:spacing w:line="240" w:lineRule="atLeast"/>
        <w:jc w:val="center"/>
        <w:rPr>
          <w:rFonts w:hint="eastAsia" w:ascii="楷体" w:hAnsi="楷体" w:eastAsia="楷体" w:cs="楷体"/>
          <w:b/>
          <w:color w:val="auto"/>
          <w:sz w:val="24"/>
          <w:highlight w:val="none"/>
        </w:rPr>
      </w:pPr>
    </w:p>
    <w:p w14:paraId="7CA8715E">
      <w:pPr>
        <w:shd w:val="clear"/>
        <w:tabs>
          <w:tab w:val="left" w:pos="5580"/>
        </w:tabs>
        <w:spacing w:line="240" w:lineRule="atLeast"/>
        <w:jc w:val="center"/>
        <w:rPr>
          <w:rFonts w:hint="eastAsia" w:ascii="楷体" w:hAnsi="楷体" w:eastAsia="楷体" w:cs="楷体"/>
          <w:b/>
          <w:bCs/>
          <w:color w:val="auto"/>
          <w:sz w:val="24"/>
          <w:highlight w:val="none"/>
        </w:rPr>
      </w:pPr>
      <w:r>
        <w:rPr>
          <w:rFonts w:hint="eastAsia" w:ascii="楷体" w:hAnsi="楷体" w:eastAsia="楷体" w:cs="楷体"/>
          <w:b/>
          <w:color w:val="auto"/>
          <w:sz w:val="24"/>
          <w:highlight w:val="none"/>
        </w:rPr>
        <w:t>监狱企业证明文件</w:t>
      </w:r>
    </w:p>
    <w:p w14:paraId="5A4CA8D0">
      <w:pPr>
        <w:shd w:val="clear"/>
        <w:spacing w:line="360" w:lineRule="auto"/>
        <w:jc w:val="center"/>
        <w:rPr>
          <w:rFonts w:hint="eastAsia" w:ascii="楷体" w:hAnsi="楷体" w:eastAsia="楷体" w:cs="楷体"/>
          <w:b/>
          <w:bCs/>
          <w:color w:val="auto"/>
          <w:sz w:val="24"/>
          <w:highlight w:val="none"/>
        </w:rPr>
      </w:pPr>
    </w:p>
    <w:p w14:paraId="593157F9">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E75E95C">
      <w:pPr>
        <w:shd w:val="clear"/>
        <w:spacing w:line="360" w:lineRule="auto"/>
        <w:ind w:firstLine="480" w:firstLineChars="20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监狱企业参加政府采购活动时，应当提供由省级以上监狱管理局、戒毒管理局（含新疆生产建设兵团）出具的属于监狱企业的证明文件。</w:t>
      </w:r>
    </w:p>
    <w:p w14:paraId="5B709E38">
      <w:pPr>
        <w:widowControl/>
        <w:shd w:val="clear"/>
        <w:jc w:val="left"/>
        <w:rPr>
          <w:rFonts w:hint="eastAsia" w:ascii="楷体" w:hAnsi="楷体" w:eastAsia="楷体" w:cs="楷体"/>
          <w:b/>
          <w:color w:val="auto"/>
          <w:sz w:val="24"/>
          <w:highlight w:val="none"/>
        </w:rPr>
      </w:pPr>
    </w:p>
    <w:p w14:paraId="6E3091DF">
      <w:pPr>
        <w:widowControl/>
        <w:shd w:val="clear"/>
        <w:jc w:val="left"/>
        <w:rPr>
          <w:rFonts w:hint="eastAsia" w:ascii="楷体" w:hAnsi="楷体" w:eastAsia="楷体" w:cs="楷体"/>
          <w:color w:val="auto"/>
          <w:sz w:val="28"/>
          <w:highlight w:val="none"/>
        </w:rPr>
      </w:pPr>
      <w:r>
        <w:rPr>
          <w:rFonts w:hint="eastAsia" w:ascii="楷体" w:hAnsi="楷体" w:eastAsia="楷体" w:cs="楷体"/>
          <w:b/>
          <w:color w:val="auto"/>
          <w:szCs w:val="24"/>
          <w:highlight w:val="none"/>
        </w:rPr>
        <w:t>注：符合条件的监狱企业在参加政府采购活动时，应当按《财政部 司法部关于政府采购支持监狱企业发展有关问题的通知》（财库[2014]68号）提供规定的《监狱企业证明文件》，并对提供的证明文件真实性负责。</w:t>
      </w:r>
    </w:p>
    <w:p w14:paraId="54EFF575">
      <w:pPr>
        <w:shd w:val="clear"/>
        <w:rPr>
          <w:rFonts w:hint="eastAsia" w:ascii="楷体" w:hAnsi="楷体" w:eastAsia="楷体" w:cs="楷体"/>
          <w:color w:val="auto"/>
          <w:highlight w:val="none"/>
        </w:rPr>
      </w:pPr>
    </w:p>
    <w:p w14:paraId="3BFFBD94">
      <w:pPr>
        <w:numPr>
          <w:ilvl w:val="3"/>
          <w:numId w:val="0"/>
        </w:numPr>
        <w:shd w:val="clear"/>
        <w:tabs>
          <w:tab w:val="left" w:pos="2155"/>
        </w:tabs>
        <w:ind w:left="1077" w:leftChars="0"/>
        <w:outlineLvl w:val="9"/>
        <w:rPr>
          <w:rFonts w:hint="eastAsia" w:ascii="楷体" w:hAnsi="楷体" w:eastAsia="楷体" w:cs="楷体"/>
          <w:color w:val="auto"/>
          <w:highlight w:val="none"/>
        </w:rPr>
      </w:pPr>
    </w:p>
    <w:p w14:paraId="6AFA6BC9">
      <w:pPr>
        <w:shd w:val="clear"/>
        <w:rPr>
          <w:rFonts w:hint="eastAsia" w:ascii="楷体" w:hAnsi="楷体" w:eastAsia="楷体" w:cs="楷体"/>
          <w:color w:val="auto"/>
          <w:highlight w:val="none"/>
        </w:rPr>
      </w:pPr>
    </w:p>
    <w:p w14:paraId="3EDFEE45">
      <w:pPr>
        <w:shd w:val="clear"/>
        <w:autoSpaceDE w:val="0"/>
        <w:autoSpaceDN w:val="0"/>
        <w:adjustRightInd w:val="0"/>
        <w:spacing w:line="360" w:lineRule="auto"/>
        <w:jc w:val="left"/>
        <w:rPr>
          <w:rFonts w:hint="eastAsia" w:ascii="楷体" w:hAnsi="楷体" w:eastAsia="楷体" w:cs="楷体"/>
          <w:b w:val="0"/>
          <w:bCs w:val="0"/>
          <w:color w:val="auto"/>
          <w:kern w:val="0"/>
          <w:sz w:val="24"/>
          <w:szCs w:val="24"/>
          <w:highlight w:val="none"/>
        </w:rPr>
      </w:pPr>
    </w:p>
    <w:p w14:paraId="691FD5F8">
      <w:pPr>
        <w:shd w:val="clear"/>
        <w:autoSpaceDE w:val="0"/>
        <w:autoSpaceDN w:val="0"/>
        <w:adjustRightInd w:val="0"/>
        <w:spacing w:line="360" w:lineRule="auto"/>
        <w:jc w:val="left"/>
        <w:rPr>
          <w:rFonts w:hint="eastAsia" w:ascii="楷体" w:hAnsi="楷体" w:eastAsia="楷体" w:cs="楷体"/>
          <w:b w:val="0"/>
          <w:bCs w:val="0"/>
          <w:color w:val="auto"/>
          <w:kern w:val="0"/>
          <w:sz w:val="24"/>
          <w:szCs w:val="24"/>
          <w:highlight w:val="none"/>
        </w:rPr>
      </w:pPr>
      <w:r>
        <w:rPr>
          <w:rFonts w:hint="eastAsia" w:ascii="楷体" w:hAnsi="楷体" w:eastAsia="楷体" w:cs="楷体"/>
          <w:b w:val="0"/>
          <w:bCs w:val="0"/>
          <w:color w:val="auto"/>
          <w:kern w:val="0"/>
          <w:sz w:val="24"/>
          <w:szCs w:val="24"/>
          <w:highlight w:val="none"/>
        </w:rPr>
        <w:t>供应商（</w:t>
      </w:r>
      <w:r>
        <w:rPr>
          <w:rFonts w:hint="eastAsia" w:ascii="楷体" w:hAnsi="楷体" w:eastAsia="楷体" w:cs="楷体"/>
          <w:b w:val="0"/>
          <w:bCs w:val="0"/>
          <w:color w:val="auto"/>
          <w:kern w:val="0"/>
          <w:sz w:val="24"/>
          <w:szCs w:val="24"/>
          <w:highlight w:val="none"/>
          <w:lang w:eastAsia="zh-CN"/>
        </w:rPr>
        <w:t>电子签章</w:t>
      </w:r>
      <w:r>
        <w:rPr>
          <w:rFonts w:hint="eastAsia" w:ascii="楷体" w:hAnsi="楷体" w:eastAsia="楷体" w:cs="楷体"/>
          <w:b w:val="0"/>
          <w:bCs w:val="0"/>
          <w:color w:val="auto"/>
          <w:kern w:val="0"/>
          <w:sz w:val="24"/>
          <w:szCs w:val="24"/>
          <w:highlight w:val="none"/>
        </w:rPr>
        <w:t>）：</w:t>
      </w:r>
    </w:p>
    <w:p w14:paraId="05075C3A">
      <w:pPr>
        <w:shd w:val="clear"/>
        <w:autoSpaceDE w:val="0"/>
        <w:autoSpaceDN w:val="0"/>
        <w:adjustRightInd w:val="0"/>
        <w:spacing w:line="360" w:lineRule="auto"/>
        <w:jc w:val="left"/>
        <w:rPr>
          <w:rFonts w:hint="eastAsia" w:ascii="楷体" w:hAnsi="楷体" w:eastAsia="楷体" w:cs="楷体"/>
          <w:b w:val="0"/>
          <w:bCs w:val="0"/>
          <w:color w:val="auto"/>
          <w:kern w:val="0"/>
          <w:sz w:val="24"/>
          <w:szCs w:val="24"/>
          <w:highlight w:val="none"/>
        </w:rPr>
      </w:pPr>
      <w:r>
        <w:rPr>
          <w:rFonts w:hint="eastAsia" w:ascii="楷体" w:hAnsi="楷体" w:eastAsia="楷体" w:cs="楷体"/>
          <w:b w:val="0"/>
          <w:bCs w:val="0"/>
          <w:color w:val="auto"/>
          <w:kern w:val="0"/>
          <w:sz w:val="24"/>
          <w:szCs w:val="24"/>
          <w:highlight w:val="none"/>
        </w:rPr>
        <w:t>日期：   年   月   日</w:t>
      </w:r>
    </w:p>
    <w:p w14:paraId="6C9F69BF">
      <w:pPr>
        <w:rPr>
          <w:rFonts w:hint="eastAsia" w:ascii="楷体" w:hAnsi="楷体" w:eastAsia="楷体" w:cs="楷体"/>
          <w:b w:val="0"/>
          <w:bCs w:val="0"/>
          <w:color w:val="auto"/>
          <w:kern w:val="0"/>
          <w:sz w:val="24"/>
          <w:szCs w:val="24"/>
          <w:highlight w:val="none"/>
        </w:rPr>
      </w:pPr>
      <w:r>
        <w:rPr>
          <w:rFonts w:hint="eastAsia" w:ascii="楷体" w:hAnsi="楷体" w:eastAsia="楷体" w:cs="楷体"/>
          <w:b w:val="0"/>
          <w:bCs w:val="0"/>
          <w:color w:val="auto"/>
          <w:kern w:val="0"/>
          <w:sz w:val="24"/>
          <w:szCs w:val="24"/>
          <w:highlight w:val="none"/>
        </w:rPr>
        <w:br w:type="page"/>
      </w:r>
    </w:p>
    <w:p w14:paraId="66320774">
      <w:pPr>
        <w:pStyle w:val="2"/>
        <w:numPr>
          <w:ilvl w:val="0"/>
          <w:numId w:val="0"/>
        </w:numPr>
        <w:jc w:val="center"/>
        <w:outlineLvl w:val="2"/>
        <w:rPr>
          <w:rFonts w:hint="eastAsia" w:ascii="楷体" w:hAnsi="楷体" w:eastAsia="楷体" w:cs="楷体"/>
          <w:b/>
          <w:color w:val="auto"/>
          <w:kern w:val="0"/>
          <w:sz w:val="32"/>
          <w:szCs w:val="32"/>
          <w:highlight w:val="none"/>
          <w:lang w:val="en-US" w:eastAsia="zh-CN" w:bidi="ar-SA"/>
        </w:rPr>
      </w:pPr>
      <w:bookmarkStart w:id="172" w:name="_Toc1241"/>
      <w:r>
        <w:rPr>
          <w:rFonts w:hint="eastAsia" w:ascii="楷体" w:hAnsi="楷体" w:eastAsia="楷体" w:cs="楷体"/>
          <w:b/>
          <w:color w:val="auto"/>
          <w:kern w:val="0"/>
          <w:sz w:val="32"/>
          <w:szCs w:val="32"/>
          <w:highlight w:val="none"/>
          <w:lang w:val="en-US" w:eastAsia="zh-CN" w:bidi="ar-SA"/>
        </w:rPr>
        <w:t>七、投标人信用</w:t>
      </w:r>
      <w:bookmarkEnd w:id="172"/>
    </w:p>
    <w:p w14:paraId="607898DB">
      <w:pPr>
        <w:pStyle w:val="3"/>
        <w:numPr>
          <w:ilvl w:val="0"/>
          <w:numId w:val="0"/>
        </w:numPr>
        <w:jc w:val="center"/>
        <w:outlineLvl w:val="9"/>
        <w:rPr>
          <w:rFonts w:hint="eastAsia" w:ascii="楷体" w:hAnsi="楷体" w:eastAsia="楷体" w:cs="楷体"/>
          <w:color w:val="auto"/>
          <w:lang w:val="en-US" w:eastAsia="zh-CN"/>
        </w:rPr>
      </w:pPr>
      <w:r>
        <w:rPr>
          <w:rFonts w:hint="eastAsia" w:ascii="楷体" w:hAnsi="楷体" w:eastAsia="楷体" w:cs="楷体"/>
          <w:color w:val="auto"/>
          <w:lang w:val="en-US" w:eastAsia="zh-CN"/>
        </w:rPr>
        <w:t>（供应商根据评分办法自行编写，格式自拟）</w:t>
      </w:r>
    </w:p>
    <w:p w14:paraId="150C079F">
      <w:pPr>
        <w:outlineLvl w:val="9"/>
        <w:rPr>
          <w:rFonts w:hint="eastAsia" w:ascii="楷体" w:hAnsi="楷体" w:eastAsia="楷体" w:cs="楷体"/>
          <w:color w:val="auto"/>
          <w:lang w:val="en-US" w:eastAsia="zh-CN"/>
        </w:rPr>
      </w:pPr>
    </w:p>
    <w:p w14:paraId="5D5DEBA7">
      <w:pPr>
        <w:pStyle w:val="2"/>
        <w:outlineLvl w:val="9"/>
        <w:rPr>
          <w:rFonts w:hint="eastAsia" w:ascii="楷体" w:hAnsi="楷体" w:eastAsia="楷体" w:cs="楷体"/>
          <w:color w:val="auto"/>
          <w:lang w:val="en-US" w:eastAsia="zh-CN"/>
        </w:rPr>
      </w:pPr>
    </w:p>
    <w:p w14:paraId="1253A95E">
      <w:pPr>
        <w:pStyle w:val="3"/>
        <w:outlineLvl w:val="9"/>
        <w:rPr>
          <w:rFonts w:hint="eastAsia" w:ascii="楷体" w:hAnsi="楷体" w:eastAsia="楷体" w:cs="楷体"/>
          <w:color w:val="auto"/>
          <w:lang w:val="en-US" w:eastAsia="zh-CN"/>
        </w:rPr>
      </w:pPr>
    </w:p>
    <w:p w14:paraId="46DCEA37">
      <w:pPr>
        <w:numPr>
          <w:ilvl w:val="0"/>
          <w:numId w:val="0"/>
        </w:numPr>
        <w:jc w:val="center"/>
        <w:outlineLvl w:val="2"/>
        <w:rPr>
          <w:rFonts w:hint="eastAsia" w:ascii="楷体" w:hAnsi="楷体" w:eastAsia="楷体" w:cs="楷体"/>
          <w:color w:val="auto"/>
          <w:lang w:val="en-US" w:eastAsia="zh-CN"/>
        </w:rPr>
      </w:pPr>
      <w:bookmarkStart w:id="173" w:name="_Toc23954"/>
      <w:r>
        <w:rPr>
          <w:rFonts w:hint="eastAsia" w:ascii="楷体" w:hAnsi="楷体" w:eastAsia="楷体" w:cs="楷体"/>
          <w:b/>
          <w:bCs/>
          <w:color w:val="auto"/>
          <w:kern w:val="0"/>
          <w:sz w:val="32"/>
          <w:szCs w:val="32"/>
          <w:highlight w:val="none"/>
          <w:lang w:val="en-US" w:eastAsia="zh-CN" w:bidi="ar-SA"/>
        </w:rPr>
        <w:t>八、类似业绩表</w:t>
      </w:r>
      <w:bookmarkEnd w:id="173"/>
    </w:p>
    <w:p w14:paraId="7CE34171">
      <w:pPr>
        <w:pStyle w:val="3"/>
        <w:numPr>
          <w:ilvl w:val="0"/>
          <w:numId w:val="0"/>
        </w:numPr>
        <w:jc w:val="center"/>
        <w:outlineLvl w:val="9"/>
        <w:rPr>
          <w:rFonts w:hint="eastAsia" w:ascii="楷体" w:hAnsi="楷体" w:eastAsia="楷体" w:cs="楷体"/>
          <w:color w:val="auto"/>
          <w:lang w:val="en-US" w:eastAsia="zh-CN"/>
        </w:rPr>
      </w:pPr>
      <w:r>
        <w:rPr>
          <w:rFonts w:hint="eastAsia" w:ascii="楷体" w:hAnsi="楷体" w:eastAsia="楷体" w:cs="楷体"/>
          <w:color w:val="auto"/>
          <w:lang w:val="en-US" w:eastAsia="zh-CN"/>
        </w:rPr>
        <w:t>（供应商根据评分办法自行编写，格式自拟）</w:t>
      </w:r>
    </w:p>
    <w:p w14:paraId="1B55C154">
      <w:pPr>
        <w:pStyle w:val="2"/>
        <w:numPr>
          <w:ilvl w:val="0"/>
          <w:numId w:val="0"/>
        </w:numPr>
        <w:outlineLvl w:val="9"/>
        <w:rPr>
          <w:rFonts w:hint="eastAsia" w:ascii="楷体" w:hAnsi="楷体" w:eastAsia="楷体" w:cs="楷体"/>
          <w:color w:val="auto"/>
          <w:lang w:val="en-US" w:eastAsia="zh-CN"/>
        </w:rPr>
      </w:pPr>
    </w:p>
    <w:p w14:paraId="759DE470">
      <w:pPr>
        <w:pStyle w:val="3"/>
        <w:outlineLvl w:val="9"/>
        <w:rPr>
          <w:rFonts w:hint="eastAsia" w:ascii="楷体" w:hAnsi="楷体" w:eastAsia="楷体" w:cs="楷体"/>
          <w:color w:val="auto"/>
          <w:lang w:val="en-US" w:eastAsia="zh-CN"/>
        </w:rPr>
      </w:pPr>
    </w:p>
    <w:p w14:paraId="48EB2823">
      <w:pPr>
        <w:numPr>
          <w:ilvl w:val="0"/>
          <w:numId w:val="0"/>
        </w:numPr>
        <w:jc w:val="center"/>
        <w:outlineLvl w:val="2"/>
        <w:rPr>
          <w:rFonts w:hint="eastAsia" w:ascii="楷体" w:hAnsi="楷体" w:eastAsia="楷体" w:cs="楷体"/>
          <w:b/>
          <w:bCs/>
          <w:color w:val="auto"/>
          <w:kern w:val="0"/>
          <w:sz w:val="32"/>
          <w:szCs w:val="32"/>
          <w:highlight w:val="none"/>
          <w:lang w:val="en-US" w:eastAsia="zh-CN" w:bidi="ar-SA"/>
        </w:rPr>
      </w:pPr>
      <w:bookmarkStart w:id="174" w:name="_Toc3368"/>
      <w:r>
        <w:rPr>
          <w:rFonts w:hint="eastAsia" w:ascii="楷体" w:hAnsi="楷体" w:eastAsia="楷体" w:cs="楷体"/>
          <w:b/>
          <w:bCs/>
          <w:color w:val="auto"/>
          <w:kern w:val="0"/>
          <w:sz w:val="32"/>
          <w:szCs w:val="32"/>
          <w:highlight w:val="none"/>
          <w:lang w:val="en-US" w:eastAsia="zh-CN" w:bidi="ar-SA"/>
        </w:rPr>
        <w:t>九、质量保证及承诺</w:t>
      </w:r>
      <w:bookmarkEnd w:id="174"/>
    </w:p>
    <w:p w14:paraId="64FEF201">
      <w:pPr>
        <w:pStyle w:val="3"/>
        <w:numPr>
          <w:ilvl w:val="0"/>
          <w:numId w:val="0"/>
        </w:numPr>
        <w:jc w:val="center"/>
        <w:outlineLvl w:val="9"/>
        <w:rPr>
          <w:rFonts w:hint="eastAsia" w:ascii="楷体" w:hAnsi="楷体" w:eastAsia="楷体" w:cs="楷体"/>
          <w:color w:val="auto"/>
          <w:lang w:val="en-US" w:eastAsia="zh-CN"/>
        </w:rPr>
      </w:pPr>
      <w:r>
        <w:rPr>
          <w:rFonts w:hint="eastAsia" w:ascii="楷体" w:hAnsi="楷体" w:eastAsia="楷体" w:cs="楷体"/>
          <w:color w:val="auto"/>
          <w:lang w:val="en-US" w:eastAsia="zh-CN"/>
        </w:rPr>
        <w:t>（供应商根据评分办法自行编写，格式自拟）</w:t>
      </w:r>
    </w:p>
    <w:p w14:paraId="18102485">
      <w:pPr>
        <w:rPr>
          <w:rFonts w:hint="eastAsia" w:ascii="楷体" w:hAnsi="楷体" w:eastAsia="楷体" w:cs="楷体"/>
          <w:color w:val="auto"/>
          <w:lang w:val="en-US" w:eastAsia="zh-CN"/>
        </w:rPr>
      </w:pPr>
    </w:p>
    <w:p w14:paraId="71B03BBC">
      <w:pPr>
        <w:pStyle w:val="2"/>
        <w:outlineLvl w:val="9"/>
        <w:rPr>
          <w:rFonts w:hint="eastAsia" w:ascii="楷体" w:hAnsi="楷体" w:eastAsia="楷体" w:cs="楷体"/>
          <w:color w:val="auto"/>
          <w:lang w:val="en-US" w:eastAsia="zh-CN"/>
        </w:rPr>
      </w:pPr>
    </w:p>
    <w:p w14:paraId="28305292">
      <w:pPr>
        <w:pStyle w:val="3"/>
        <w:jc w:val="center"/>
        <w:outlineLvl w:val="2"/>
        <w:rPr>
          <w:rFonts w:hint="default"/>
          <w:color w:val="auto"/>
          <w:lang w:val="en-US" w:eastAsia="zh-CN"/>
        </w:rPr>
      </w:pPr>
      <w:bookmarkStart w:id="175" w:name="_Toc20116"/>
      <w:r>
        <w:rPr>
          <w:rFonts w:hint="eastAsia" w:ascii="楷体" w:hAnsi="楷体" w:eastAsia="楷体" w:cs="楷体"/>
          <w:b/>
          <w:bCs/>
          <w:color w:val="auto"/>
          <w:kern w:val="0"/>
          <w:sz w:val="32"/>
          <w:szCs w:val="32"/>
          <w:highlight w:val="none"/>
          <w:lang w:val="en-US" w:eastAsia="zh-CN" w:bidi="ar-SA"/>
        </w:rPr>
        <w:t>十、供应商认为需要提供的其他资料</w:t>
      </w:r>
      <w:bookmarkEnd w:id="175"/>
    </w:p>
    <w:p w14:paraId="433C2C04">
      <w:pPr>
        <w:pStyle w:val="2"/>
        <w:numPr>
          <w:ilvl w:val="0"/>
          <w:numId w:val="0"/>
        </w:numPr>
        <w:outlineLvl w:val="9"/>
        <w:rPr>
          <w:rFonts w:hint="eastAsia" w:ascii="楷体" w:hAnsi="楷体" w:eastAsia="楷体" w:cs="楷体"/>
          <w:color w:val="auto"/>
          <w:lang w:val="en-US" w:eastAsia="zh-CN"/>
        </w:rPr>
      </w:pPr>
    </w:p>
    <w:p w14:paraId="6FD60383">
      <w:pPr>
        <w:pStyle w:val="4"/>
        <w:numPr>
          <w:ilvl w:val="0"/>
          <w:numId w:val="4"/>
        </w:numPr>
        <w:shd w:val="clear"/>
        <w:spacing w:before="0" w:line="240" w:lineRule="auto"/>
        <w:jc w:val="center"/>
        <w:rPr>
          <w:rFonts w:hint="eastAsia" w:ascii="楷体" w:hAnsi="楷体" w:eastAsia="楷体" w:cs="楷体"/>
          <w:color w:val="auto"/>
          <w:sz w:val="36"/>
          <w:highlight w:val="none"/>
        </w:rPr>
      </w:pPr>
      <w:r>
        <w:rPr>
          <w:rFonts w:hint="eastAsia" w:ascii="楷体" w:hAnsi="楷体" w:eastAsia="楷体" w:cs="楷体"/>
          <w:color w:val="auto"/>
          <w:szCs w:val="21"/>
          <w:highlight w:val="none"/>
        </w:rPr>
        <w:br w:type="page"/>
      </w:r>
      <w:bookmarkStart w:id="176" w:name="_Toc4215"/>
      <w:bookmarkStart w:id="177" w:name="_Toc12423"/>
      <w:r>
        <w:rPr>
          <w:rFonts w:hint="eastAsia" w:ascii="楷体" w:hAnsi="楷体" w:eastAsia="楷体" w:cs="楷体"/>
          <w:color w:val="auto"/>
          <w:sz w:val="36"/>
          <w:highlight w:val="none"/>
        </w:rPr>
        <w:t xml:space="preserve"> </w:t>
      </w:r>
      <w:bookmarkStart w:id="178" w:name="_Toc23343"/>
      <w:bookmarkStart w:id="179" w:name="_Toc24949"/>
      <w:r>
        <w:rPr>
          <w:rFonts w:hint="eastAsia" w:ascii="楷体" w:hAnsi="楷体" w:eastAsia="楷体" w:cs="楷体"/>
          <w:color w:val="auto"/>
          <w:sz w:val="36"/>
          <w:highlight w:val="none"/>
        </w:rPr>
        <w:t>采购需求及技术要求</w:t>
      </w:r>
      <w:bookmarkEnd w:id="176"/>
      <w:bookmarkEnd w:id="177"/>
      <w:bookmarkEnd w:id="178"/>
      <w:bookmarkEnd w:id="179"/>
    </w:p>
    <w:p w14:paraId="49D1C620">
      <w:pPr>
        <w:spacing w:line="360" w:lineRule="auto"/>
        <w:ind w:firstLine="422" w:firstLineChars="200"/>
        <w:rPr>
          <w:rFonts w:hint="eastAsia" w:ascii="楷体" w:hAnsi="楷体" w:eastAsia="楷体" w:cs="楷体"/>
          <w:b/>
          <w:bCs/>
          <w:color w:val="auto"/>
          <w:szCs w:val="21"/>
          <w:highlight w:val="none"/>
        </w:rPr>
      </w:pPr>
      <w:r>
        <w:rPr>
          <w:rFonts w:hint="eastAsia" w:ascii="楷体" w:hAnsi="楷体" w:eastAsia="楷体" w:cs="楷体"/>
          <w:b/>
          <w:bCs/>
          <w:color w:val="auto"/>
          <w:szCs w:val="21"/>
          <w:highlight w:val="none"/>
        </w:rPr>
        <w:t>（一）采购标的需实现的功能或者目标，以及为落实政府采购政策需满足的要求：</w:t>
      </w:r>
    </w:p>
    <w:p w14:paraId="5EA5C3F6">
      <w:pPr>
        <w:spacing w:line="360" w:lineRule="auto"/>
        <w:ind w:firstLine="735" w:firstLineChars="350"/>
        <w:rPr>
          <w:rFonts w:hint="eastAsia" w:ascii="楷体" w:hAnsi="楷体" w:eastAsia="楷体" w:cs="楷体"/>
          <w:bCs/>
          <w:color w:val="auto"/>
          <w:szCs w:val="21"/>
          <w:highlight w:val="none"/>
        </w:rPr>
      </w:pPr>
      <w:r>
        <w:rPr>
          <w:rFonts w:hint="eastAsia" w:ascii="楷体" w:hAnsi="楷体" w:eastAsia="楷体" w:cs="楷体"/>
          <w:bCs/>
          <w:color w:val="auto"/>
          <w:szCs w:val="21"/>
          <w:highlight w:val="none"/>
        </w:rPr>
        <w:t>1、采购标的需实现的功能或者目标：</w:t>
      </w:r>
      <w:r>
        <w:rPr>
          <w:rFonts w:hint="eastAsia" w:ascii="楷体" w:hAnsi="楷体" w:eastAsia="楷体" w:cs="楷体"/>
          <w:color w:val="auto"/>
          <w:kern w:val="0"/>
          <w:szCs w:val="21"/>
          <w:highlight w:val="none"/>
        </w:rPr>
        <w:t>为满足</w:t>
      </w:r>
      <w:r>
        <w:rPr>
          <w:rFonts w:hint="eastAsia" w:ascii="楷体" w:hAnsi="楷体" w:eastAsia="楷体" w:cs="楷体"/>
          <w:color w:val="auto"/>
          <w:kern w:val="0"/>
          <w:szCs w:val="21"/>
          <w:highlight w:val="none"/>
          <w:lang w:val="en-US" w:eastAsia="zh-CN"/>
        </w:rPr>
        <w:t>昆明市官渡区人民法院警用耗材物资供应</w:t>
      </w:r>
      <w:r>
        <w:rPr>
          <w:rFonts w:hint="eastAsia" w:ascii="楷体" w:hAnsi="楷体" w:eastAsia="楷体" w:cs="楷体"/>
          <w:color w:val="auto"/>
          <w:kern w:val="0"/>
          <w:szCs w:val="21"/>
          <w:highlight w:val="none"/>
        </w:rPr>
        <w:t>需求，</w:t>
      </w:r>
      <w:r>
        <w:rPr>
          <w:rFonts w:hint="eastAsia" w:ascii="楷体" w:hAnsi="楷体" w:eastAsia="楷体" w:cs="楷体"/>
          <w:color w:val="auto"/>
          <w:kern w:val="0"/>
          <w:szCs w:val="21"/>
          <w:highlight w:val="none"/>
          <w:lang w:val="en-US" w:eastAsia="zh-CN"/>
        </w:rPr>
        <w:t>通过公开招标方式确定供应商</w:t>
      </w:r>
      <w:r>
        <w:rPr>
          <w:rFonts w:hint="eastAsia" w:ascii="楷体" w:hAnsi="楷体" w:eastAsia="楷体" w:cs="楷体"/>
          <w:color w:val="auto"/>
          <w:kern w:val="0"/>
          <w:szCs w:val="21"/>
          <w:highlight w:val="none"/>
        </w:rPr>
        <w:t>为</w:t>
      </w:r>
      <w:r>
        <w:rPr>
          <w:rFonts w:hint="eastAsia" w:ascii="楷体" w:hAnsi="楷体" w:eastAsia="楷体" w:cs="楷体"/>
          <w:color w:val="auto"/>
          <w:kern w:val="0"/>
          <w:szCs w:val="21"/>
          <w:highlight w:val="none"/>
          <w:lang w:val="en-US" w:eastAsia="zh-CN"/>
        </w:rPr>
        <w:t>昆明市官渡区人民法院</w:t>
      </w:r>
      <w:r>
        <w:rPr>
          <w:rFonts w:hint="eastAsia" w:ascii="楷体" w:hAnsi="楷体" w:eastAsia="楷体" w:cs="楷体"/>
          <w:color w:val="auto"/>
          <w:kern w:val="0"/>
          <w:szCs w:val="21"/>
          <w:highlight w:val="none"/>
        </w:rPr>
        <w:t>提供警用耗材</w:t>
      </w:r>
      <w:r>
        <w:rPr>
          <w:rFonts w:hint="eastAsia" w:ascii="楷体" w:hAnsi="楷体" w:eastAsia="楷体" w:cs="楷体"/>
          <w:color w:val="auto"/>
          <w:kern w:val="0"/>
          <w:szCs w:val="21"/>
          <w:highlight w:val="none"/>
          <w:lang w:val="en-US" w:eastAsia="zh-CN"/>
        </w:rPr>
        <w:t>所需</w:t>
      </w:r>
      <w:r>
        <w:rPr>
          <w:rFonts w:hint="eastAsia" w:ascii="楷体" w:hAnsi="楷体" w:eastAsia="楷体" w:cs="楷体"/>
          <w:color w:val="auto"/>
          <w:kern w:val="0"/>
          <w:szCs w:val="21"/>
          <w:highlight w:val="none"/>
        </w:rPr>
        <w:t>物资。</w:t>
      </w:r>
    </w:p>
    <w:p w14:paraId="0A9C2510">
      <w:pPr>
        <w:spacing w:line="360" w:lineRule="auto"/>
        <w:ind w:firstLine="735" w:firstLineChars="350"/>
        <w:rPr>
          <w:rFonts w:hint="eastAsia" w:ascii="楷体" w:hAnsi="楷体" w:eastAsia="楷体" w:cs="楷体"/>
          <w:bCs/>
          <w:color w:val="auto"/>
          <w:szCs w:val="21"/>
          <w:highlight w:val="none"/>
        </w:rPr>
      </w:pPr>
      <w:r>
        <w:rPr>
          <w:rFonts w:hint="eastAsia" w:ascii="楷体" w:hAnsi="楷体" w:eastAsia="楷体" w:cs="楷体"/>
          <w:bCs/>
          <w:color w:val="auto"/>
          <w:szCs w:val="21"/>
          <w:highlight w:val="none"/>
        </w:rPr>
        <w:t>2、为落实政府采购政策需满足的要求：</w:t>
      </w:r>
    </w:p>
    <w:p w14:paraId="5B50EEF4">
      <w:pPr>
        <w:spacing w:line="360" w:lineRule="auto"/>
        <w:ind w:firstLine="518" w:firstLineChars="247"/>
        <w:rPr>
          <w:rFonts w:hint="eastAsia" w:ascii="楷体" w:hAnsi="楷体" w:eastAsia="楷体" w:cs="楷体"/>
          <w:bCs/>
          <w:color w:val="auto"/>
          <w:szCs w:val="21"/>
          <w:highlight w:val="none"/>
        </w:rPr>
      </w:pPr>
      <w:r>
        <w:rPr>
          <w:rFonts w:hint="eastAsia" w:ascii="楷体" w:hAnsi="楷体" w:eastAsia="楷体" w:cs="楷体"/>
          <w:color w:val="auto"/>
          <w:szCs w:val="22"/>
          <w:highlight w:val="none"/>
        </w:rPr>
        <w:t>中小企业扶持政策：根据《政府采购促进中小企业发展管理办法》（财库[2020]46 号）及《关于进一步加大政府采购支持中小企业力度的通知》（财库[2022]19号）的规定</w:t>
      </w:r>
      <w:r>
        <w:rPr>
          <w:rFonts w:hint="eastAsia" w:ascii="楷体" w:hAnsi="楷体" w:eastAsia="楷体" w:cs="楷体"/>
          <w:color w:val="auto"/>
          <w:szCs w:val="22"/>
          <w:highlight w:val="none"/>
          <w:lang w:eastAsia="zh-CN"/>
        </w:rPr>
        <w:t>，</w:t>
      </w:r>
      <w:r>
        <w:rPr>
          <w:rFonts w:hint="eastAsia" w:ascii="楷体" w:hAnsi="楷体" w:eastAsia="楷体" w:cs="楷体"/>
          <w:color w:val="auto"/>
          <w:szCs w:val="22"/>
          <w:highlight w:val="none"/>
        </w:rPr>
        <w:t>评审时对符合要求的小型、微型企业货物报价享受10%的价格折扣。监狱企业和残疾人福利性单位视同小型、微型企业。</w:t>
      </w:r>
    </w:p>
    <w:p w14:paraId="50FADB95">
      <w:pPr>
        <w:spacing w:line="360" w:lineRule="auto"/>
        <w:ind w:firstLine="310" w:firstLineChars="147"/>
        <w:rPr>
          <w:rFonts w:hint="eastAsia" w:ascii="楷体" w:hAnsi="楷体" w:eastAsia="楷体" w:cs="楷体"/>
          <w:b/>
          <w:bCs/>
          <w:color w:val="auto"/>
          <w:szCs w:val="21"/>
          <w:highlight w:val="none"/>
        </w:rPr>
      </w:pPr>
      <w:r>
        <w:rPr>
          <w:rFonts w:hint="eastAsia" w:ascii="楷体" w:hAnsi="楷体" w:eastAsia="楷体" w:cs="楷体"/>
          <w:b/>
          <w:bCs/>
          <w:color w:val="auto"/>
          <w:szCs w:val="21"/>
          <w:highlight w:val="none"/>
        </w:rPr>
        <w:t>（二）采购标的需执行的国家相关标准、行业标准、地方标准或者其他标准、规范：</w:t>
      </w:r>
      <w:r>
        <w:rPr>
          <w:rFonts w:hint="eastAsia" w:ascii="楷体" w:hAnsi="楷体" w:eastAsia="楷体" w:cs="楷体"/>
          <w:color w:val="auto"/>
          <w:szCs w:val="21"/>
          <w:highlight w:val="none"/>
        </w:rPr>
        <w:t>符合《中华人民共和国食品安全法》、国家和地方相关质量检验标准和卫生标准及采购人要求。</w:t>
      </w:r>
    </w:p>
    <w:p w14:paraId="36DA42F7">
      <w:pPr>
        <w:spacing w:line="360" w:lineRule="auto"/>
        <w:ind w:firstLine="310" w:firstLineChars="147"/>
        <w:rPr>
          <w:rFonts w:hint="eastAsia" w:ascii="楷体" w:hAnsi="楷体" w:eastAsia="楷体" w:cs="楷体"/>
          <w:b/>
          <w:bCs/>
          <w:color w:val="auto"/>
          <w:szCs w:val="21"/>
          <w:highlight w:val="none"/>
        </w:rPr>
      </w:pPr>
      <w:r>
        <w:rPr>
          <w:rFonts w:hint="eastAsia" w:ascii="楷体" w:hAnsi="楷体" w:eastAsia="楷体" w:cs="楷体"/>
          <w:b/>
          <w:bCs/>
          <w:color w:val="auto"/>
          <w:szCs w:val="21"/>
          <w:highlight w:val="none"/>
        </w:rPr>
        <w:t>（三）采购标的需满足的质量、安全、技术规格、物理特性等要求：</w:t>
      </w:r>
    </w:p>
    <w:p w14:paraId="65BEE6CA">
      <w:pPr>
        <w:spacing w:line="360" w:lineRule="auto"/>
        <w:ind w:firstLine="420" w:firstLineChars="200"/>
        <w:rPr>
          <w:rFonts w:hint="eastAsia" w:ascii="楷体" w:hAnsi="楷体" w:eastAsia="楷体" w:cs="楷体"/>
          <w:color w:val="auto"/>
          <w:szCs w:val="21"/>
          <w:highlight w:val="none"/>
        </w:rPr>
      </w:pPr>
      <w:r>
        <w:rPr>
          <w:rFonts w:hint="eastAsia" w:ascii="楷体" w:hAnsi="楷体" w:eastAsia="楷体" w:cs="楷体"/>
          <w:color w:val="auto"/>
          <w:szCs w:val="21"/>
          <w:highlight w:val="none"/>
        </w:rPr>
        <w:t>1、</w:t>
      </w:r>
      <w:r>
        <w:rPr>
          <w:rFonts w:hint="eastAsia" w:ascii="楷体" w:hAnsi="楷体" w:eastAsia="楷体" w:cs="楷体"/>
          <w:color w:val="auto"/>
          <w:szCs w:val="21"/>
          <w:highlight w:val="none"/>
          <w:lang w:val="en-US" w:eastAsia="zh-CN"/>
        </w:rPr>
        <w:t>整体</w:t>
      </w:r>
      <w:r>
        <w:rPr>
          <w:rFonts w:hint="eastAsia" w:ascii="楷体" w:hAnsi="楷体" w:eastAsia="楷体" w:cs="楷体"/>
          <w:color w:val="auto"/>
          <w:szCs w:val="21"/>
          <w:highlight w:val="none"/>
        </w:rPr>
        <w:t>货物需求一览表</w:t>
      </w:r>
    </w:p>
    <w:tbl>
      <w:tblPr>
        <w:tblStyle w:val="19"/>
        <w:tblW w:w="4993" w:type="pct"/>
        <w:jc w:val="center"/>
        <w:tblLayout w:type="autofit"/>
        <w:tblCellMar>
          <w:top w:w="0" w:type="dxa"/>
          <w:left w:w="108" w:type="dxa"/>
          <w:bottom w:w="0" w:type="dxa"/>
          <w:right w:w="108" w:type="dxa"/>
        </w:tblCellMar>
      </w:tblPr>
      <w:tblGrid>
        <w:gridCol w:w="532"/>
        <w:gridCol w:w="1476"/>
        <w:gridCol w:w="5778"/>
        <w:gridCol w:w="800"/>
        <w:gridCol w:w="542"/>
        <w:gridCol w:w="712"/>
      </w:tblGrid>
      <w:tr w14:paraId="1B986A67">
        <w:trPr>
          <w:trHeight w:val="1134"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096E9C4A">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b/>
                <w:bCs/>
                <w:color w:val="auto"/>
                <w:sz w:val="18"/>
                <w:szCs w:val="18"/>
              </w:rPr>
            </w:pPr>
            <w:r>
              <w:rPr>
                <w:rFonts w:hint="eastAsia" w:ascii="楷体" w:hAnsi="楷体" w:eastAsia="楷体" w:cs="楷体"/>
                <w:b/>
                <w:bCs/>
                <w:color w:val="auto"/>
                <w:kern w:val="0"/>
                <w:sz w:val="18"/>
                <w:szCs w:val="18"/>
                <w:lang w:bidi="ar"/>
              </w:rPr>
              <w:t>序号</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14:paraId="2DD89B3B">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b/>
                <w:bCs/>
                <w:color w:val="auto"/>
                <w:sz w:val="18"/>
                <w:szCs w:val="18"/>
              </w:rPr>
            </w:pPr>
            <w:r>
              <w:rPr>
                <w:rFonts w:hint="eastAsia" w:ascii="楷体" w:hAnsi="楷体" w:eastAsia="楷体" w:cs="楷体"/>
                <w:b/>
                <w:bCs/>
                <w:color w:val="auto"/>
                <w:kern w:val="0"/>
                <w:sz w:val="18"/>
                <w:szCs w:val="18"/>
                <w:lang w:bidi="ar"/>
              </w:rPr>
              <w:t>名称</w:t>
            </w:r>
          </w:p>
        </w:tc>
        <w:tc>
          <w:tcPr>
            <w:tcW w:w="2961" w:type="pct"/>
            <w:tcBorders>
              <w:top w:val="single" w:color="000000" w:sz="4" w:space="0"/>
              <w:left w:val="single" w:color="000000" w:sz="4" w:space="0"/>
              <w:bottom w:val="single" w:color="000000" w:sz="4" w:space="0"/>
              <w:right w:val="single" w:color="000000" w:sz="4" w:space="0"/>
            </w:tcBorders>
            <w:noWrap w:val="0"/>
            <w:vAlign w:val="center"/>
          </w:tcPr>
          <w:p w14:paraId="6FB4047F">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b/>
                <w:bCs/>
                <w:color w:val="auto"/>
                <w:sz w:val="18"/>
                <w:szCs w:val="18"/>
              </w:rPr>
            </w:pPr>
            <w:r>
              <w:rPr>
                <w:rFonts w:hint="eastAsia" w:ascii="楷体" w:hAnsi="楷体" w:eastAsia="楷体" w:cs="楷体"/>
                <w:b/>
                <w:bCs/>
                <w:color w:val="auto"/>
                <w:kern w:val="0"/>
                <w:sz w:val="18"/>
                <w:szCs w:val="18"/>
                <w:lang w:bidi="ar"/>
              </w:rPr>
              <w:t>规格参数</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47FB563F">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b/>
                <w:bCs/>
                <w:color w:val="auto"/>
                <w:sz w:val="18"/>
                <w:szCs w:val="18"/>
              </w:rPr>
            </w:pPr>
            <w:r>
              <w:rPr>
                <w:rFonts w:hint="eastAsia" w:ascii="楷体" w:hAnsi="楷体" w:eastAsia="楷体" w:cs="楷体"/>
                <w:b/>
                <w:bCs/>
                <w:color w:val="auto"/>
                <w:kern w:val="0"/>
                <w:sz w:val="18"/>
                <w:szCs w:val="18"/>
                <w:lang w:bidi="ar"/>
              </w:rPr>
              <w:t>数量</w:t>
            </w:r>
          </w:p>
        </w:tc>
        <w:tc>
          <w:tcPr>
            <w:tcW w:w="302" w:type="pct"/>
            <w:tcBorders>
              <w:top w:val="single" w:color="000000" w:sz="4" w:space="0"/>
              <w:left w:val="single" w:color="000000" w:sz="4" w:space="0"/>
              <w:bottom w:val="single" w:color="000000" w:sz="4" w:space="0"/>
              <w:right w:val="single" w:color="000000" w:sz="4" w:space="0"/>
            </w:tcBorders>
            <w:noWrap w:val="0"/>
            <w:vAlign w:val="center"/>
          </w:tcPr>
          <w:p w14:paraId="459AF4B9">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b/>
                <w:bCs/>
                <w:color w:val="auto"/>
                <w:sz w:val="18"/>
                <w:szCs w:val="18"/>
              </w:rPr>
            </w:pPr>
            <w:r>
              <w:rPr>
                <w:rFonts w:hint="eastAsia" w:ascii="楷体" w:hAnsi="楷体" w:eastAsia="楷体" w:cs="楷体"/>
                <w:b/>
                <w:bCs/>
                <w:color w:val="auto"/>
                <w:kern w:val="0"/>
                <w:sz w:val="18"/>
                <w:szCs w:val="18"/>
                <w:lang w:bidi="ar"/>
              </w:rPr>
              <w:t>单位</w:t>
            </w:r>
          </w:p>
        </w:tc>
        <w:tc>
          <w:tcPr>
            <w:tcW w:w="302" w:type="pct"/>
            <w:tcBorders>
              <w:top w:val="single" w:color="000000" w:sz="4" w:space="0"/>
              <w:left w:val="single" w:color="000000" w:sz="4" w:space="0"/>
              <w:bottom w:val="single" w:color="000000" w:sz="4" w:space="0"/>
              <w:right w:val="single" w:color="000000" w:sz="4" w:space="0"/>
            </w:tcBorders>
            <w:noWrap w:val="0"/>
            <w:vAlign w:val="center"/>
          </w:tcPr>
          <w:p w14:paraId="36C65F73">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b/>
                <w:bCs/>
                <w:color w:val="auto"/>
                <w:kern w:val="0"/>
                <w:sz w:val="18"/>
                <w:szCs w:val="18"/>
                <w:lang w:val="en-US" w:eastAsia="zh-CN" w:bidi="ar"/>
              </w:rPr>
            </w:pPr>
            <w:r>
              <w:rPr>
                <w:rFonts w:hint="eastAsia" w:ascii="楷体" w:hAnsi="楷体" w:eastAsia="楷体" w:cs="楷体"/>
                <w:b/>
                <w:bCs/>
                <w:color w:val="auto"/>
                <w:kern w:val="0"/>
                <w:sz w:val="18"/>
                <w:szCs w:val="18"/>
                <w:lang w:val="en-US" w:eastAsia="zh-CN" w:bidi="ar"/>
              </w:rPr>
              <w:t>单价限价</w:t>
            </w:r>
          </w:p>
        </w:tc>
      </w:tr>
      <w:tr w14:paraId="7B60B715">
        <w:tblPrEx>
          <w:tblCellMar>
            <w:top w:w="0" w:type="dxa"/>
            <w:left w:w="108" w:type="dxa"/>
            <w:bottom w:w="0" w:type="dxa"/>
            <w:right w:w="108" w:type="dxa"/>
          </w:tblCellMar>
        </w:tblPrEx>
        <w:trPr>
          <w:trHeight w:val="2325"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4470F03D">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1</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1CBE4FD0">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防割手套</w:t>
            </w:r>
          </w:p>
        </w:tc>
        <w:tc>
          <w:tcPr>
            <w:tcW w:w="2961" w:type="pct"/>
            <w:tcBorders>
              <w:top w:val="single" w:color="000000" w:sz="4" w:space="0"/>
              <w:left w:val="single" w:color="000000" w:sz="4" w:space="0"/>
              <w:bottom w:val="single" w:color="auto" w:sz="4" w:space="0"/>
              <w:right w:val="single" w:color="000000" w:sz="4" w:space="0"/>
            </w:tcBorders>
            <w:noWrap w:val="0"/>
            <w:vAlign w:val="top"/>
          </w:tcPr>
          <w:p w14:paraId="0D53D43B">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1.产品符合</w:t>
            </w:r>
            <w:r>
              <w:rPr>
                <w:rFonts w:hint="eastAsia" w:ascii="楷体" w:hAnsi="楷体" w:eastAsia="楷体" w:cs="楷体"/>
                <w:color w:val="auto"/>
                <w:sz w:val="18"/>
                <w:szCs w:val="18"/>
              </w:rPr>
              <w:fldChar w:fldCharType="begin"/>
            </w:r>
            <w:r>
              <w:rPr>
                <w:rFonts w:hint="eastAsia" w:ascii="楷体" w:hAnsi="楷体" w:eastAsia="楷体" w:cs="楷体"/>
                <w:color w:val="auto"/>
                <w:sz w:val="18"/>
                <w:szCs w:val="18"/>
              </w:rPr>
              <w:instrText xml:space="preserve"> HYPERLINK "http://www.baidu.com/link?url=A4RzDngLzZnJqZW11rYqHMgWHMH90OypspJkQ62rSithYKYMtkDI4t52u6SUJUzxKx_nHssPg2aMoQD5BUmPuq" \t "_blank" </w:instrText>
            </w:r>
            <w:r>
              <w:rPr>
                <w:rFonts w:hint="eastAsia" w:ascii="楷体" w:hAnsi="楷体" w:eastAsia="楷体" w:cs="楷体"/>
                <w:color w:val="auto"/>
                <w:sz w:val="18"/>
                <w:szCs w:val="18"/>
              </w:rPr>
              <w:fldChar w:fldCharType="separate"/>
            </w:r>
            <w:r>
              <w:rPr>
                <w:rFonts w:hint="eastAsia" w:ascii="楷体" w:hAnsi="楷体" w:eastAsia="楷体" w:cs="楷体"/>
                <w:color w:val="auto"/>
                <w:sz w:val="18"/>
                <w:szCs w:val="18"/>
              </w:rPr>
              <w:t>GA 614-2006《警用防割手套</w:t>
            </w:r>
            <w:r>
              <w:rPr>
                <w:rFonts w:hint="eastAsia" w:ascii="楷体" w:hAnsi="楷体" w:eastAsia="楷体" w:cs="楷体"/>
                <w:color w:val="auto"/>
                <w:sz w:val="18"/>
                <w:szCs w:val="18"/>
              </w:rPr>
              <w:fldChar w:fldCharType="end"/>
            </w:r>
            <w:r>
              <w:rPr>
                <w:rFonts w:hint="eastAsia" w:ascii="楷体" w:hAnsi="楷体" w:eastAsia="楷体" w:cs="楷体"/>
                <w:color w:val="auto"/>
                <w:sz w:val="18"/>
                <w:szCs w:val="18"/>
              </w:rPr>
              <w:t>》相关标准。</w:t>
            </w:r>
          </w:p>
          <w:p w14:paraId="444B7A70">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2.穿戴舒适性：易于戴、脱、透气、触感好、手感好，不影响关节弯曲。</w:t>
            </w:r>
          </w:p>
          <w:p w14:paraId="481D098A">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3.规格：长245mm±0.1mm,宽105.9mm±0.1mm.</w:t>
            </w:r>
          </w:p>
          <w:p w14:paraId="26FA2CDE">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4.防割性能：用专用的手套切割试验机,设定刀口压力20N、刀片转速为20r/min ,警用防割手套掌部或背部垂直手指方向进行5次切割,每次割穿发生时,切割周数≥七周,耐切割系数≥3.20</w:t>
            </w:r>
          </w:p>
          <w:p w14:paraId="0365C28C">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5.低温贮存：—20℃±2℃恒温箱保持2h,常温下恢复2h,用专用手套切割试验机,设定刀口压力为20N、刀片转速为20r/min ,警用防割手套掌部或背部垂直手指方向进行5次切割,每次割穿发生时,切割周数≥七周,且耐切割系数≥2.5</w:t>
            </w:r>
          </w:p>
          <w:p w14:paraId="0C992E94">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6.高温贮存：55℃±2℃恒温箱保持2h,在10min内用专用手套切割试验机,设定刀口压力为20N、刀片转速为20r/ min ,警用防割手套掌部或背部垂直手指方向进行5次切割,每次割穿发生时,切割周数≥7,且耐切割系数≥2.5</w:t>
            </w:r>
          </w:p>
          <w:p w14:paraId="427EBAF3">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lang w:val="en-US" w:eastAsia="zh-CN"/>
              </w:rPr>
              <w:t>7</w:t>
            </w:r>
            <w:r>
              <w:rPr>
                <w:rFonts w:hint="eastAsia" w:ascii="楷体" w:hAnsi="楷体" w:eastAsia="楷体" w:cs="楷体"/>
                <w:color w:val="auto"/>
                <w:sz w:val="18"/>
                <w:szCs w:val="18"/>
              </w:rPr>
              <w:t>.▲提供由“公安内部经国家认证认可监督管理委员会资质认可的检验机构”出具的所投产品的合格检验报告（复印件加盖供应商公章）。</w:t>
            </w:r>
          </w:p>
          <w:p w14:paraId="214CB10C">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6B87A36D">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40</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5EC0050A">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双</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35C9E17D">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val="en-US" w:eastAsia="zh-CN" w:bidi="ar"/>
              </w:rPr>
            </w:pPr>
            <w:r>
              <w:rPr>
                <w:rFonts w:hint="eastAsia" w:ascii="楷体" w:hAnsi="楷体" w:eastAsia="楷体" w:cs="楷体"/>
                <w:color w:val="auto"/>
                <w:kern w:val="0"/>
                <w:sz w:val="18"/>
                <w:szCs w:val="18"/>
                <w:lang w:val="en-US" w:eastAsia="zh-CN" w:bidi="ar"/>
              </w:rPr>
              <w:t>65元</w:t>
            </w:r>
          </w:p>
        </w:tc>
      </w:tr>
      <w:tr w14:paraId="2FFC1DB9">
        <w:tblPrEx>
          <w:tblCellMar>
            <w:top w:w="0" w:type="dxa"/>
            <w:left w:w="108" w:type="dxa"/>
            <w:bottom w:w="0" w:type="dxa"/>
            <w:right w:w="108" w:type="dxa"/>
          </w:tblCellMar>
        </w:tblPrEx>
        <w:trPr>
          <w:trHeight w:val="784"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09B82B4C">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2</w:t>
            </w:r>
          </w:p>
        </w:tc>
        <w:tc>
          <w:tcPr>
            <w:tcW w:w="702" w:type="pct"/>
            <w:tcBorders>
              <w:top w:val="single" w:color="000000" w:sz="4" w:space="0"/>
              <w:left w:val="single" w:color="000000" w:sz="4" w:space="0"/>
              <w:bottom w:val="single" w:color="000000" w:sz="4" w:space="0"/>
              <w:right w:val="single" w:color="auto" w:sz="4" w:space="0"/>
            </w:tcBorders>
            <w:noWrap/>
            <w:vAlign w:val="center"/>
          </w:tcPr>
          <w:p w14:paraId="78767131">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急救包</w:t>
            </w:r>
          </w:p>
        </w:tc>
        <w:tc>
          <w:tcPr>
            <w:tcW w:w="2961" w:type="pct"/>
            <w:tcBorders>
              <w:top w:val="single" w:color="auto" w:sz="4" w:space="0"/>
              <w:left w:val="single" w:color="auto" w:sz="4" w:space="0"/>
              <w:bottom w:val="single" w:color="auto" w:sz="4" w:space="0"/>
              <w:right w:val="single" w:color="auto" w:sz="4" w:space="0"/>
            </w:tcBorders>
            <w:noWrap w:val="0"/>
            <w:vAlign w:val="top"/>
          </w:tcPr>
          <w:p w14:paraId="4EB519D0">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lang w:val="en-US" w:eastAsia="zh-CN"/>
              </w:rPr>
              <w:t>1.</w:t>
            </w:r>
            <w:r>
              <w:rPr>
                <w:rFonts w:hint="eastAsia" w:ascii="楷体" w:hAnsi="楷体" w:eastAsia="楷体" w:cs="楷体"/>
                <w:color w:val="auto"/>
                <w:sz w:val="18"/>
                <w:szCs w:val="18"/>
              </w:rPr>
              <w:tab/>
            </w:r>
            <w:r>
              <w:rPr>
                <w:rFonts w:hint="eastAsia" w:ascii="楷体" w:hAnsi="楷体" w:eastAsia="楷体" w:cs="楷体"/>
                <w:color w:val="auto"/>
                <w:sz w:val="18"/>
                <w:szCs w:val="18"/>
              </w:rPr>
              <w:t>产品符合</w:t>
            </w:r>
            <w:r>
              <w:rPr>
                <w:rFonts w:hint="eastAsia" w:ascii="楷体" w:hAnsi="楷体" w:eastAsia="楷体" w:cs="楷体"/>
                <w:color w:val="auto"/>
                <w:sz w:val="18"/>
                <w:szCs w:val="18"/>
              </w:rPr>
              <w:fldChar w:fldCharType="begin"/>
            </w:r>
            <w:r>
              <w:rPr>
                <w:rFonts w:hint="eastAsia" w:ascii="楷体" w:hAnsi="楷体" w:eastAsia="楷体" w:cs="楷体"/>
                <w:color w:val="auto"/>
                <w:sz w:val="18"/>
                <w:szCs w:val="18"/>
              </w:rPr>
              <w:instrText xml:space="preserve"> HYPERLINK "http://www.baidu.com/link?url=A4RzDngLzZnJqZW11rYqHMgWHMH90OypspJkQ62rSithYKYMtkDI4t52u6SUJUzxKx_nHssPg2aMoQD5BUmPuq" \t "_blank" </w:instrText>
            </w:r>
            <w:r>
              <w:rPr>
                <w:rFonts w:hint="eastAsia" w:ascii="楷体" w:hAnsi="楷体" w:eastAsia="楷体" w:cs="楷体"/>
                <w:color w:val="auto"/>
                <w:sz w:val="18"/>
                <w:szCs w:val="18"/>
              </w:rPr>
              <w:fldChar w:fldCharType="separate"/>
            </w:r>
            <w:r>
              <w:rPr>
                <w:rFonts w:hint="eastAsia" w:ascii="楷体" w:hAnsi="楷体" w:eastAsia="楷体" w:cs="楷体"/>
                <w:color w:val="auto"/>
                <w:sz w:val="18"/>
                <w:szCs w:val="18"/>
              </w:rPr>
              <w:t>GA 891-2010</w:t>
            </w:r>
            <w:r>
              <w:rPr>
                <w:rFonts w:hint="eastAsia" w:ascii="楷体" w:hAnsi="楷体" w:eastAsia="楷体" w:cs="楷体"/>
                <w:color w:val="auto"/>
                <w:sz w:val="18"/>
                <w:szCs w:val="18"/>
              </w:rPr>
              <w:fldChar w:fldCharType="end"/>
            </w:r>
            <w:r>
              <w:rPr>
                <w:rFonts w:hint="eastAsia" w:ascii="楷体" w:hAnsi="楷体" w:eastAsia="楷体" w:cs="楷体"/>
                <w:color w:val="auto"/>
                <w:sz w:val="18"/>
                <w:szCs w:val="18"/>
              </w:rPr>
              <w:t>《警用急救包》的相关标准；</w:t>
            </w:r>
          </w:p>
          <w:p w14:paraId="0AD446D2">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lang w:val="en-US" w:eastAsia="zh-CN"/>
              </w:rPr>
              <w:t>2.</w:t>
            </w:r>
            <w:r>
              <w:rPr>
                <w:rFonts w:hint="eastAsia" w:ascii="楷体" w:hAnsi="楷体" w:eastAsia="楷体" w:cs="楷体"/>
                <w:color w:val="auto"/>
                <w:sz w:val="18"/>
                <w:szCs w:val="18"/>
              </w:rPr>
              <w:t>颜色：急救包所用移膜皮革及辅料配件的颜色为黑色(PANTONE 19-4006 TPX)，警徽图案和文字标识为银白色；</w:t>
            </w:r>
          </w:p>
          <w:p w14:paraId="24E193A4">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lang w:val="en-US" w:eastAsia="zh-CN"/>
              </w:rPr>
              <w:t>3.</w:t>
            </w:r>
            <w:r>
              <w:rPr>
                <w:rFonts w:hint="eastAsia" w:ascii="楷体" w:hAnsi="楷体" w:eastAsia="楷体" w:cs="楷体"/>
                <w:color w:val="auto"/>
                <w:sz w:val="18"/>
                <w:szCs w:val="18"/>
              </w:rPr>
              <w:t>结构和尺寸：急救包为竖向长方形皮包，用拉链开合，展开后，左侧有三层横向平面插袋，上层和中层两个插袋各有两个格仓；右侧有一个横向平面插袋，一个竖向小立体插袋，一个竖向大立体插袋和一个横向开口；横向平面插袋的面和底有里衬；急救包展开长为222mm±1mm,宽为125mm±1mm；</w:t>
            </w:r>
          </w:p>
          <w:p w14:paraId="4124FC4A">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lang w:val="en-US" w:eastAsia="zh-CN"/>
              </w:rPr>
              <w:t>4.</w:t>
            </w:r>
            <w:r>
              <w:rPr>
                <w:rFonts w:hint="eastAsia" w:ascii="楷体" w:hAnsi="楷体" w:eastAsia="楷体" w:cs="楷体"/>
                <w:color w:val="auto"/>
                <w:sz w:val="18"/>
                <w:szCs w:val="18"/>
              </w:rPr>
              <w:t>性能：皮革耐摩擦色牢度/级：干摩：50次 ≥4级；湿摩：10次 ≥4级；皮革断裂强度/（N/mm）：≥37N/mm；拉链平拉强力/N：≥721N；拉链拉头拉片结合力/N：≥326N；</w:t>
            </w:r>
          </w:p>
          <w:p w14:paraId="67542243">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lang w:val="en-US" w:eastAsia="zh-CN"/>
              </w:rPr>
              <w:t>5.</w:t>
            </w:r>
            <w:r>
              <w:rPr>
                <w:rFonts w:hint="eastAsia" w:ascii="楷体" w:hAnsi="楷体" w:eastAsia="楷体" w:cs="楷体"/>
                <w:color w:val="auto"/>
                <w:sz w:val="18"/>
                <w:szCs w:val="18"/>
              </w:rPr>
              <w:t>急救包内含的药品器械：硝酸甘油片规格为0.5mg数量≥4片。创可贴规格1.5cm×2.3cm，数量6片和4.5cm×6cm数量2片。 橡胶止血带规格为46cm×2.5cm数量为1根。 无菌纱布片规格为7.5cm×7.5cm，8层，数量为1片。带垫急救绷带规格为7.5cm×2m，不粘垫规格为5cm×7.5cm,数量为1条。口对口呼吸膜规格大于等于29.5cm×19cm，数量为1片。酒精消毒片规格为10cm×4cm或外包装:5cm×5cm，内芯:6cm×6cm,数量为两片。抗菌湿巾纸规格为19cm×12.5cm或外包装:5cm×6cm，内芯:20cm×12cm，数量为1袋。小剪刀检查长度为9cm-11cm，数量为1把。1’别针，数量为3枚；</w:t>
            </w:r>
          </w:p>
          <w:p w14:paraId="46184376">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lang w:val="en-US" w:eastAsia="zh-CN"/>
              </w:rPr>
              <w:t>6.</w:t>
            </w:r>
            <w:r>
              <w:rPr>
                <w:rFonts w:hint="eastAsia" w:ascii="楷体" w:hAnsi="楷体" w:eastAsia="楷体" w:cs="楷体"/>
                <w:color w:val="auto"/>
                <w:sz w:val="18"/>
                <w:szCs w:val="18"/>
              </w:rPr>
              <w:t>▲提供由“公安内部经国家认证认可监督管理委员会资质认可的检验机构”出具的所投产品的合格检验报告（复印件加盖供应商公章）。</w:t>
            </w:r>
          </w:p>
        </w:tc>
        <w:tc>
          <w:tcPr>
            <w:tcW w:w="433" w:type="pct"/>
            <w:tcBorders>
              <w:top w:val="single" w:color="000000" w:sz="4" w:space="0"/>
              <w:left w:val="single" w:color="auto" w:sz="4" w:space="0"/>
              <w:bottom w:val="single" w:color="000000" w:sz="4" w:space="0"/>
              <w:right w:val="single" w:color="000000" w:sz="4" w:space="0"/>
            </w:tcBorders>
            <w:noWrap w:val="0"/>
            <w:vAlign w:val="center"/>
          </w:tcPr>
          <w:p w14:paraId="35401B27">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10</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26304258">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个</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7AD0A763">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val="en-US" w:eastAsia="zh-CN" w:bidi="ar"/>
              </w:rPr>
            </w:pPr>
            <w:r>
              <w:rPr>
                <w:rFonts w:hint="eastAsia" w:ascii="楷体" w:hAnsi="楷体" w:eastAsia="楷体" w:cs="楷体"/>
                <w:color w:val="auto"/>
                <w:kern w:val="0"/>
                <w:sz w:val="18"/>
                <w:szCs w:val="18"/>
                <w:lang w:val="en-US" w:eastAsia="zh-CN" w:bidi="ar"/>
              </w:rPr>
              <w:t>75元</w:t>
            </w:r>
          </w:p>
        </w:tc>
      </w:tr>
      <w:tr w14:paraId="53A53614">
        <w:tblPrEx>
          <w:tblCellMar>
            <w:top w:w="0" w:type="dxa"/>
            <w:left w:w="108" w:type="dxa"/>
            <w:bottom w:w="0" w:type="dxa"/>
            <w:right w:w="108" w:type="dxa"/>
          </w:tblCellMar>
        </w:tblPrEx>
        <w:trPr>
          <w:trHeight w:val="1389"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18559D68">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3</w:t>
            </w:r>
          </w:p>
        </w:tc>
        <w:tc>
          <w:tcPr>
            <w:tcW w:w="702" w:type="pct"/>
            <w:tcBorders>
              <w:top w:val="single" w:color="000000" w:sz="4" w:space="0"/>
              <w:left w:val="single" w:color="000000" w:sz="4" w:space="0"/>
              <w:bottom w:val="single" w:color="000000" w:sz="4" w:space="0"/>
              <w:right w:val="single" w:color="auto" w:sz="4" w:space="0"/>
            </w:tcBorders>
            <w:noWrap/>
            <w:vAlign w:val="center"/>
          </w:tcPr>
          <w:p w14:paraId="192DD760">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战术手套</w:t>
            </w:r>
          </w:p>
        </w:tc>
        <w:tc>
          <w:tcPr>
            <w:tcW w:w="2961" w:type="pct"/>
            <w:tcBorders>
              <w:top w:val="single" w:color="auto" w:sz="4" w:space="0"/>
              <w:left w:val="single" w:color="auto" w:sz="4" w:space="0"/>
              <w:bottom w:val="single" w:color="auto" w:sz="4" w:space="0"/>
              <w:right w:val="single" w:color="auto" w:sz="4" w:space="0"/>
            </w:tcBorders>
            <w:noWrap w:val="0"/>
            <w:vAlign w:val="center"/>
          </w:tcPr>
          <w:p w14:paraId="338DDDCE">
            <w:pPr>
              <w:pStyle w:val="17"/>
              <w:keepNext w:val="0"/>
              <w:keepLines w:val="0"/>
              <w:pageBreakBefore w:val="0"/>
              <w:kinsoku/>
              <w:wordWrap/>
              <w:overflowPunct/>
              <w:topLinePunct w:val="0"/>
              <w:autoSpaceDE/>
              <w:autoSpaceDN/>
              <w:bidi w:val="0"/>
              <w:adjustRightInd/>
              <w:snapToGrid/>
              <w:spacing w:before="0" w:beforeAutospacing="0" w:after="0" w:afterAutospacing="0"/>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款式：半指</w:t>
            </w:r>
          </w:p>
          <w:p w14:paraId="10B45934">
            <w:pPr>
              <w:pStyle w:val="17"/>
              <w:keepNext w:val="0"/>
              <w:keepLines w:val="0"/>
              <w:pageBreakBefore w:val="0"/>
              <w:kinsoku/>
              <w:wordWrap/>
              <w:overflowPunct/>
              <w:topLinePunct w:val="0"/>
              <w:autoSpaceDE/>
              <w:autoSpaceDN/>
              <w:bidi w:val="0"/>
              <w:adjustRightInd/>
              <w:snapToGrid/>
              <w:spacing w:before="0" w:beforeAutospacing="0" w:after="0" w:afterAutospacing="0"/>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材质：尼龙</w:t>
            </w:r>
          </w:p>
          <w:p w14:paraId="18AC711C">
            <w:pPr>
              <w:pStyle w:val="17"/>
              <w:keepNext w:val="0"/>
              <w:keepLines w:val="0"/>
              <w:pageBreakBefore w:val="0"/>
              <w:kinsoku/>
              <w:wordWrap/>
              <w:overflowPunct/>
              <w:topLinePunct w:val="0"/>
              <w:autoSpaceDE/>
              <w:autoSpaceDN/>
              <w:bidi w:val="0"/>
              <w:adjustRightInd/>
              <w:snapToGrid/>
              <w:spacing w:before="0" w:beforeAutospacing="0" w:after="0" w:afterAutospacing="0"/>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颜色：黑色</w:t>
            </w:r>
          </w:p>
          <w:p w14:paraId="41D7A48D">
            <w:pPr>
              <w:pStyle w:val="17"/>
              <w:keepNext w:val="0"/>
              <w:keepLines w:val="0"/>
              <w:pageBreakBefore w:val="0"/>
              <w:kinsoku/>
              <w:wordWrap/>
              <w:overflowPunct/>
              <w:topLinePunct w:val="0"/>
              <w:autoSpaceDE/>
              <w:autoSpaceDN/>
              <w:bidi w:val="0"/>
              <w:adjustRightInd/>
              <w:snapToGrid/>
              <w:spacing w:before="0" w:beforeAutospacing="0" w:after="0" w:afterAutospacing="0"/>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设计：手背凸起设计，提供更好的防冲击保护；手掌加层加托，为作战速降提供隔热耐磨防护。</w:t>
            </w:r>
          </w:p>
        </w:tc>
        <w:tc>
          <w:tcPr>
            <w:tcW w:w="433" w:type="pct"/>
            <w:tcBorders>
              <w:top w:val="single" w:color="000000" w:sz="4" w:space="0"/>
              <w:left w:val="single" w:color="auto" w:sz="4" w:space="0"/>
              <w:bottom w:val="single" w:color="auto" w:sz="4" w:space="0"/>
              <w:right w:val="single" w:color="000000" w:sz="4" w:space="0"/>
            </w:tcBorders>
            <w:noWrap w:val="0"/>
            <w:vAlign w:val="center"/>
          </w:tcPr>
          <w:p w14:paraId="3B2B91EC">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40</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5A6E0F4C">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双</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37B3AAC3">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val="en-US" w:eastAsia="zh-CN" w:bidi="ar"/>
              </w:rPr>
            </w:pPr>
            <w:r>
              <w:rPr>
                <w:rFonts w:hint="eastAsia" w:ascii="楷体" w:hAnsi="楷体" w:eastAsia="楷体" w:cs="楷体"/>
                <w:color w:val="auto"/>
                <w:kern w:val="0"/>
                <w:sz w:val="18"/>
                <w:szCs w:val="18"/>
                <w:lang w:val="en-US" w:eastAsia="zh-CN" w:bidi="ar"/>
              </w:rPr>
              <w:t>75元</w:t>
            </w:r>
          </w:p>
        </w:tc>
      </w:tr>
      <w:tr w14:paraId="3431B7E7">
        <w:tblPrEx>
          <w:tblCellMar>
            <w:top w:w="0" w:type="dxa"/>
            <w:left w:w="108" w:type="dxa"/>
            <w:bottom w:w="0" w:type="dxa"/>
            <w:right w:w="108" w:type="dxa"/>
          </w:tblCellMar>
        </w:tblPrEx>
        <w:trPr>
          <w:trHeight w:val="1397"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27AB843F">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lang w:eastAsia="zh-CN"/>
              </w:rPr>
            </w:pPr>
            <w:r>
              <w:rPr>
                <w:rFonts w:hint="eastAsia" w:ascii="楷体" w:hAnsi="楷体" w:eastAsia="楷体" w:cs="楷体"/>
                <w:color w:val="auto"/>
                <w:kern w:val="0"/>
                <w:sz w:val="18"/>
                <w:szCs w:val="18"/>
                <w:lang w:val="en-US" w:eastAsia="zh-CN" w:bidi="ar"/>
              </w:rPr>
              <w:t>4</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0859B505">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手持金属探测仪</w:t>
            </w:r>
          </w:p>
        </w:tc>
        <w:tc>
          <w:tcPr>
            <w:tcW w:w="2961" w:type="pct"/>
            <w:tcBorders>
              <w:top w:val="single" w:color="auto" w:sz="4" w:space="0"/>
              <w:left w:val="single" w:color="000000" w:sz="4" w:space="0"/>
              <w:bottom w:val="single" w:color="000000" w:sz="4" w:space="0"/>
              <w:right w:val="single" w:color="000000" w:sz="4" w:space="0"/>
            </w:tcBorders>
            <w:noWrap w:val="0"/>
            <w:vAlign w:val="top"/>
          </w:tcPr>
          <w:p w14:paraId="78559E66">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一、技术指标</w:t>
            </w:r>
          </w:p>
          <w:p w14:paraId="11C6C6A9">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1、产品符合手持式金属探测器通用技术规范等国家标准，符合人工学设计，使用简单、方便，无需调整，应对心脏起搏器的佩带者或其它支持系统，孕妇和磁性媒质软盘、磁带、录像带等无害。</w:t>
            </w:r>
          </w:p>
          <w:p w14:paraId="528148EB">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2、报警模式：应采用LED灯光加鸣声同时报警或振动报警，适合不同场合需要。</w:t>
            </w:r>
          </w:p>
          <w:p w14:paraId="6C0DFF4D">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3、电池使用时间：应配置镍氢9V充电电池，应可连续工作100小时以上。</w:t>
            </w:r>
          </w:p>
          <w:p w14:paraId="7928105C">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4、充电功能配置（选配）：产品应配备充电装置，可对电池进行充电。</w:t>
            </w:r>
          </w:p>
          <w:p w14:paraId="49D18580">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5、电压欠压提醒：当电池电量不足时，设备应具有指示灯闪烁提醒及时充电或者更换电池。</w:t>
            </w:r>
          </w:p>
          <w:p w14:paraId="20E364F9">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6、灵敏度调节：4种灵敏度调节（超高灵敏度、高灵敏度、正常灵敏度、低灵敏度）。</w:t>
            </w:r>
          </w:p>
          <w:p w14:paraId="7D5FC96E">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7、探测距离：</w:t>
            </w:r>
          </w:p>
          <w:p w14:paraId="74D9A5A4">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超薄刀片：应≤50—80mm；</w:t>
            </w:r>
          </w:p>
          <w:p w14:paraId="652DA32C">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六四式手枪：应≤50-200mm；</w:t>
            </w:r>
          </w:p>
          <w:p w14:paraId="4F713904">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六寸匕首：应≤30-160mm；</w:t>
            </w:r>
          </w:p>
          <w:p w14:paraId="38731F34">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香烟：应≤50-150mm；</w:t>
            </w:r>
          </w:p>
          <w:p w14:paraId="4DF1085E">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一次性打火机：应≤30-100mm。</w:t>
            </w:r>
          </w:p>
          <w:p w14:paraId="5464B2FE">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8、外形尺寸：≤350mm（长）×82mm（宽）×60mm（高）</w:t>
            </w:r>
          </w:p>
          <w:p w14:paraId="6D0646EB">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9、报警声音：≥75dB(A)</w:t>
            </w:r>
          </w:p>
          <w:p w14:paraId="1EFB154D">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10、外壳防护等级：IP31</w:t>
            </w:r>
          </w:p>
          <w:p w14:paraId="40825F3B">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11、整机重量：整机重量：≤600g</w:t>
            </w:r>
          </w:p>
          <w:p w14:paraId="21963510">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12、工作环境:工作环境:-20℃- +45℃</w:t>
            </w:r>
          </w:p>
          <w:p w14:paraId="6D9E688A">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★注：提供由公安部出具的检验报告（加盖生产厂家公章）。</w:t>
            </w:r>
          </w:p>
        </w:tc>
        <w:tc>
          <w:tcPr>
            <w:tcW w:w="433" w:type="pct"/>
            <w:tcBorders>
              <w:top w:val="single" w:color="auto" w:sz="4" w:space="0"/>
              <w:left w:val="single" w:color="000000" w:sz="4" w:space="0"/>
              <w:bottom w:val="single" w:color="000000" w:sz="4" w:space="0"/>
              <w:right w:val="single" w:color="000000" w:sz="4" w:space="0"/>
            </w:tcBorders>
            <w:noWrap w:val="0"/>
            <w:vAlign w:val="center"/>
          </w:tcPr>
          <w:p w14:paraId="60659B2B">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2</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5FF80B38">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个</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5EF1D838">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val="en-US" w:eastAsia="zh-CN" w:bidi="ar"/>
              </w:rPr>
            </w:pPr>
            <w:r>
              <w:rPr>
                <w:rFonts w:hint="eastAsia" w:ascii="楷体" w:hAnsi="楷体" w:eastAsia="楷体" w:cs="楷体"/>
                <w:color w:val="auto"/>
                <w:kern w:val="0"/>
                <w:sz w:val="18"/>
                <w:szCs w:val="18"/>
                <w:lang w:val="en-US" w:eastAsia="zh-CN" w:bidi="ar"/>
              </w:rPr>
              <w:t>600元</w:t>
            </w:r>
          </w:p>
        </w:tc>
      </w:tr>
      <w:tr w14:paraId="333E2571">
        <w:tblPrEx>
          <w:tblCellMar>
            <w:top w:w="0" w:type="dxa"/>
            <w:left w:w="108" w:type="dxa"/>
            <w:bottom w:w="0" w:type="dxa"/>
            <w:right w:w="108" w:type="dxa"/>
          </w:tblCellMar>
        </w:tblPrEx>
        <w:trPr>
          <w:trHeight w:val="1370"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10F63D8D">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lang w:eastAsia="zh-CN"/>
              </w:rPr>
            </w:pPr>
            <w:r>
              <w:rPr>
                <w:rFonts w:hint="eastAsia" w:ascii="楷体" w:hAnsi="楷体" w:eastAsia="楷体" w:cs="楷体"/>
                <w:color w:val="auto"/>
                <w:kern w:val="0"/>
                <w:sz w:val="18"/>
                <w:szCs w:val="18"/>
                <w:lang w:val="en-US" w:eastAsia="zh-CN" w:bidi="ar"/>
              </w:rPr>
              <w:t>5</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39211F43">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锥桶</w:t>
            </w:r>
          </w:p>
        </w:tc>
        <w:tc>
          <w:tcPr>
            <w:tcW w:w="2961" w:type="pct"/>
            <w:tcBorders>
              <w:top w:val="single" w:color="000000" w:sz="4" w:space="0"/>
              <w:left w:val="single" w:color="000000" w:sz="4" w:space="0"/>
              <w:bottom w:val="single" w:color="000000" w:sz="4" w:space="0"/>
              <w:right w:val="single" w:color="000000" w:sz="4" w:space="0"/>
            </w:tcBorders>
            <w:noWrap w:val="0"/>
            <w:vAlign w:val="top"/>
          </w:tcPr>
          <w:p w14:paraId="6E3C4475">
            <w:pPr>
              <w:pStyle w:val="17"/>
              <w:keepNext w:val="0"/>
              <w:keepLines w:val="0"/>
              <w:pageBreakBefore w:val="0"/>
              <w:numPr>
                <w:ilvl w:val="0"/>
                <w:numId w:val="3"/>
              </w:numPr>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锥体高度≥75CM</w:t>
            </w:r>
          </w:p>
          <w:p w14:paraId="0977C5AD">
            <w:pPr>
              <w:pStyle w:val="17"/>
              <w:keepNext w:val="0"/>
              <w:keepLines w:val="0"/>
              <w:pageBreakBefore w:val="0"/>
              <w:numPr>
                <w:ilvl w:val="0"/>
                <w:numId w:val="3"/>
              </w:numPr>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路锥重量≥3.5KG</w:t>
            </w:r>
          </w:p>
          <w:p w14:paraId="4BE6764D">
            <w:pPr>
              <w:pStyle w:val="17"/>
              <w:keepNext w:val="0"/>
              <w:keepLines w:val="0"/>
              <w:pageBreakBefore w:val="0"/>
              <w:numPr>
                <w:ilvl w:val="0"/>
                <w:numId w:val="3"/>
              </w:numPr>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锥座重量≥2.3KG</w:t>
            </w:r>
          </w:p>
          <w:p w14:paraId="5F40D53E">
            <w:pPr>
              <w:pStyle w:val="17"/>
              <w:keepNext w:val="0"/>
              <w:keepLines w:val="0"/>
              <w:pageBreakBefore w:val="0"/>
              <w:numPr>
                <w:ilvl w:val="0"/>
                <w:numId w:val="3"/>
              </w:numPr>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底座为软塑制造</w:t>
            </w:r>
          </w:p>
          <w:p w14:paraId="65BE5F4D">
            <w:pPr>
              <w:pStyle w:val="17"/>
              <w:keepNext w:val="0"/>
              <w:keepLines w:val="0"/>
              <w:pageBreakBefore w:val="0"/>
              <w:numPr>
                <w:ilvl w:val="0"/>
                <w:numId w:val="3"/>
              </w:numPr>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可抗8级风</w:t>
            </w:r>
          </w:p>
          <w:p w14:paraId="7736C0EC">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3D614268">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10</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601A21D4">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个</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0EC6CB76">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val="en-US" w:eastAsia="zh-CN" w:bidi="ar"/>
              </w:rPr>
            </w:pPr>
            <w:r>
              <w:rPr>
                <w:rFonts w:hint="eastAsia" w:ascii="楷体" w:hAnsi="楷体" w:eastAsia="楷体" w:cs="楷体"/>
                <w:color w:val="auto"/>
                <w:kern w:val="0"/>
                <w:sz w:val="18"/>
                <w:szCs w:val="18"/>
                <w:lang w:val="en-US" w:eastAsia="zh-CN" w:bidi="ar"/>
              </w:rPr>
              <w:t>55元</w:t>
            </w:r>
          </w:p>
        </w:tc>
      </w:tr>
      <w:tr w14:paraId="2D4E85CD">
        <w:tblPrEx>
          <w:tblCellMar>
            <w:top w:w="0" w:type="dxa"/>
            <w:left w:w="108" w:type="dxa"/>
            <w:bottom w:w="0" w:type="dxa"/>
            <w:right w:w="108" w:type="dxa"/>
          </w:tblCellMar>
        </w:tblPrEx>
        <w:trPr>
          <w:trHeight w:val="90"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5E5CDBBE">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lang w:eastAsia="zh-CN"/>
              </w:rPr>
            </w:pPr>
            <w:r>
              <w:rPr>
                <w:rFonts w:hint="eastAsia" w:ascii="楷体" w:hAnsi="楷体" w:eastAsia="楷体" w:cs="楷体"/>
                <w:color w:val="auto"/>
                <w:kern w:val="0"/>
                <w:sz w:val="18"/>
                <w:szCs w:val="18"/>
                <w:lang w:val="en-US" w:eastAsia="zh-CN" w:bidi="ar"/>
              </w:rPr>
              <w:t>6</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14:paraId="42A4B636">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抓捕器</w:t>
            </w:r>
          </w:p>
        </w:tc>
        <w:tc>
          <w:tcPr>
            <w:tcW w:w="2961" w:type="pct"/>
            <w:tcBorders>
              <w:top w:val="single" w:color="000000" w:sz="4" w:space="0"/>
              <w:left w:val="single" w:color="000000" w:sz="4" w:space="0"/>
              <w:bottom w:val="single" w:color="000000" w:sz="4" w:space="0"/>
              <w:right w:val="single" w:color="000000" w:sz="4" w:space="0"/>
            </w:tcBorders>
            <w:noWrap w:val="0"/>
            <w:vAlign w:val="top"/>
          </w:tcPr>
          <w:p w14:paraId="623E2EBE">
            <w:pPr>
              <w:keepNext w:val="0"/>
              <w:keepLines w:val="0"/>
              <w:pageBreakBefore w:val="0"/>
              <w:widowControl/>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 xml:space="preserve">符合GA/T 1145-2014警用约束叉  </w:t>
            </w:r>
          </w:p>
          <w:p w14:paraId="4B163BC3">
            <w:pPr>
              <w:keepNext w:val="0"/>
              <w:keepLines w:val="0"/>
              <w:pageBreakBefore w:val="0"/>
              <w:widowControl/>
              <w:kinsoku/>
              <w:wordWrap/>
              <w:overflowPunct/>
              <w:topLinePunct w:val="0"/>
              <w:autoSpaceDE/>
              <w:autoSpaceDN/>
              <w:bidi w:val="0"/>
              <w:adjustRightInd/>
              <w:snapToGrid/>
              <w:ind w:left="0"/>
              <w:jc w:val="left"/>
              <w:rPr>
                <w:rFonts w:hint="eastAsia" w:ascii="楷体" w:hAnsi="楷体" w:eastAsia="楷体" w:cs="楷体"/>
                <w:color w:val="auto"/>
                <w:sz w:val="18"/>
                <w:szCs w:val="18"/>
              </w:rPr>
            </w:pPr>
          </w:p>
          <w:p w14:paraId="79075EAF">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kern w:val="0"/>
                <w:sz w:val="18"/>
                <w:szCs w:val="18"/>
                <w:lang w:eastAsia="zh-CN" w:bidi="ar"/>
              </w:rPr>
            </w:pPr>
            <w:r>
              <w:rPr>
                <w:rFonts w:hint="eastAsia" w:ascii="楷体" w:hAnsi="楷体" w:eastAsia="楷体" w:cs="楷体"/>
                <w:color w:val="auto"/>
                <w:kern w:val="0"/>
                <w:sz w:val="18"/>
                <w:szCs w:val="18"/>
                <w:lang w:bidi="ar"/>
              </w:rPr>
              <w:t>①具有叉脚、叉脖子功能。</w:t>
            </w:r>
          </w:p>
          <w:p w14:paraId="244790EE">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kern w:val="0"/>
                <w:sz w:val="18"/>
                <w:szCs w:val="18"/>
                <w:lang w:eastAsia="zh-CN" w:bidi="ar"/>
              </w:rPr>
            </w:pPr>
            <w:r>
              <w:rPr>
                <w:rFonts w:hint="eastAsia" w:ascii="楷体" w:hAnsi="楷体" w:eastAsia="楷体" w:cs="楷体"/>
                <w:color w:val="auto"/>
                <w:kern w:val="0"/>
                <w:sz w:val="18"/>
                <w:szCs w:val="18"/>
                <w:lang w:bidi="ar"/>
              </w:rPr>
              <w:t>②自动锁紧功能。</w:t>
            </w:r>
          </w:p>
          <w:p w14:paraId="23C5A6C9">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kern w:val="0"/>
                <w:sz w:val="18"/>
                <w:szCs w:val="18"/>
                <w:lang w:eastAsia="zh-CN" w:bidi="ar"/>
              </w:rPr>
            </w:pPr>
            <w:r>
              <w:rPr>
                <w:rFonts w:hint="eastAsia" w:ascii="楷体" w:hAnsi="楷体" w:eastAsia="楷体" w:cs="楷体"/>
                <w:color w:val="auto"/>
                <w:kern w:val="0"/>
                <w:sz w:val="18"/>
                <w:szCs w:val="18"/>
                <w:lang w:bidi="ar"/>
              </w:rPr>
              <w:t>③开关采用杠杆式按钮设计，开合轻松不费力。</w:t>
            </w:r>
          </w:p>
          <w:p w14:paraId="3241EC39">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kern w:val="0"/>
                <w:sz w:val="18"/>
                <w:szCs w:val="18"/>
                <w:lang w:eastAsia="zh-CN" w:bidi="ar"/>
              </w:rPr>
            </w:pPr>
            <w:r>
              <w:rPr>
                <w:rFonts w:hint="eastAsia" w:ascii="楷体" w:hAnsi="楷体" w:eastAsia="楷体" w:cs="楷体"/>
                <w:color w:val="auto"/>
                <w:kern w:val="0"/>
                <w:sz w:val="18"/>
                <w:szCs w:val="18"/>
                <w:lang w:bidi="ar"/>
              </w:rPr>
              <w:t>④叉头和杆体采用铝合金材质，坚固耐用。</w:t>
            </w:r>
          </w:p>
          <w:p w14:paraId="074B735D">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kern w:val="0"/>
                <w:sz w:val="18"/>
                <w:szCs w:val="18"/>
                <w:lang w:bidi="ar"/>
              </w:rPr>
            </w:pPr>
            <w:r>
              <w:rPr>
                <w:rFonts w:hint="eastAsia" w:ascii="楷体" w:hAnsi="楷体" w:eastAsia="楷体" w:cs="楷体"/>
                <w:color w:val="auto"/>
                <w:kern w:val="0"/>
                <w:sz w:val="18"/>
                <w:szCs w:val="18"/>
                <w:lang w:bidi="ar"/>
              </w:rPr>
              <w:t>⑤尾部有钢锥设计，可破窗具有很强的使用价值。</w:t>
            </w:r>
          </w:p>
          <w:p w14:paraId="19771F35">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eastAsia="zh-CN"/>
              </w:rPr>
            </w:pPr>
          </w:p>
          <w:p w14:paraId="0CD68E28">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1产品由叉头、叉杆、连接部位和握持部位等组成。</w:t>
            </w:r>
          </w:p>
          <w:p w14:paraId="59C1435E">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2尺寸检验：工作长度：2110mm,携行长度：1280mm,叉杆握持部位直径：33mm，叉头闭合无缝隙,质量：≤2.25kg，</w:t>
            </w:r>
            <w:r>
              <w:rPr>
                <w:rFonts w:hint="eastAsia" w:ascii="楷体" w:hAnsi="楷体" w:eastAsia="楷体" w:cs="楷体"/>
                <w:color w:val="auto"/>
                <w:kern w:val="0"/>
                <w:sz w:val="18"/>
                <w:szCs w:val="18"/>
                <w:lang w:bidi="ar"/>
              </w:rPr>
              <w:t>月牙环最大直径:350±10mm，月牙环闭合圆宽度:170±5mm</w:t>
            </w:r>
          </w:p>
          <w:p w14:paraId="1865439C">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3状态转换时间：警用约束叉的携行状态与工作状态能快速有限的转换，转换时间应≤6S</w:t>
            </w:r>
          </w:p>
          <w:p w14:paraId="1047FBC1">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4快速约束功能：通过操作控制部件叉套被约束对象，叉头叉套约束部位并闭合时间不大于5S</w:t>
            </w:r>
          </w:p>
          <w:p w14:paraId="12B583FC">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5抗破坏能力检验：警用约束叉在叉头闭合的状态下，沿着叉杆轴向承受500N的静压力，沿叉头开启闭合方向承受500N的静压力，叉杆的中点承受500N横向力，叉杆不出现裂纹、断裂或拉脱</w:t>
            </w:r>
          </w:p>
          <w:p w14:paraId="2C85670E">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6.叉头操作可靠性：≥1000次的开启状态与锁合状态循环使用后，能正常工作.</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7830CD51">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5</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56429D69">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套</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18698ED2">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val="en-US" w:eastAsia="zh-CN" w:bidi="ar"/>
              </w:rPr>
            </w:pPr>
            <w:r>
              <w:rPr>
                <w:rFonts w:hint="eastAsia" w:ascii="楷体" w:hAnsi="楷体" w:eastAsia="楷体" w:cs="楷体"/>
                <w:color w:val="auto"/>
                <w:kern w:val="0"/>
                <w:sz w:val="18"/>
                <w:szCs w:val="18"/>
                <w:lang w:val="en-US" w:eastAsia="zh-CN" w:bidi="ar"/>
              </w:rPr>
              <w:t>260元</w:t>
            </w:r>
          </w:p>
        </w:tc>
      </w:tr>
      <w:tr w14:paraId="20009316">
        <w:tblPrEx>
          <w:tblCellMar>
            <w:top w:w="0" w:type="dxa"/>
            <w:left w:w="108" w:type="dxa"/>
            <w:bottom w:w="0" w:type="dxa"/>
            <w:right w:w="108" w:type="dxa"/>
          </w:tblCellMar>
        </w:tblPrEx>
        <w:trPr>
          <w:trHeight w:val="1134"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63B291BD">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lang w:eastAsia="zh-CN"/>
              </w:rPr>
            </w:pPr>
            <w:r>
              <w:rPr>
                <w:rFonts w:hint="eastAsia" w:ascii="楷体" w:hAnsi="楷体" w:eastAsia="楷体" w:cs="楷体"/>
                <w:color w:val="auto"/>
                <w:kern w:val="0"/>
                <w:sz w:val="18"/>
                <w:szCs w:val="18"/>
                <w:lang w:val="en-US" w:eastAsia="zh-CN" w:bidi="ar"/>
              </w:rPr>
              <w:t>7</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2B79E814">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警戒带</w:t>
            </w:r>
          </w:p>
        </w:tc>
        <w:tc>
          <w:tcPr>
            <w:tcW w:w="2961" w:type="pct"/>
            <w:tcBorders>
              <w:top w:val="single" w:color="000000" w:sz="4" w:space="0"/>
              <w:left w:val="single" w:color="000000" w:sz="4" w:space="0"/>
              <w:bottom w:val="single" w:color="000000" w:sz="4" w:space="0"/>
              <w:right w:val="single" w:color="000000" w:sz="4" w:space="0"/>
            </w:tcBorders>
            <w:noWrap w:val="0"/>
            <w:vAlign w:val="top"/>
          </w:tcPr>
          <w:p w14:paraId="60DC9854">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功能：用于在特定场所警示禁止进入范围的带状标志物。</w:t>
            </w:r>
          </w:p>
          <w:p w14:paraId="1341A34B">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执行标准：符合《GA/T 375-2016 警戒带》中相关要求；</w:t>
            </w:r>
          </w:p>
          <w:p w14:paraId="1FE1CDAD">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rPr>
            </w:pPr>
            <w:r>
              <w:rPr>
                <w:rFonts w:hint="eastAsia" w:ascii="楷体" w:hAnsi="楷体" w:eastAsia="楷体" w:cs="楷体"/>
                <w:color w:val="auto"/>
                <w:sz w:val="18"/>
                <w:szCs w:val="18"/>
              </w:rPr>
              <w:t>1、结构</w:t>
            </w:r>
          </w:p>
          <w:p w14:paraId="79AD625E">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警戒带由带体和收放盒组成。</w:t>
            </w:r>
          </w:p>
          <w:p w14:paraId="236EE763">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2、外观</w:t>
            </w:r>
          </w:p>
          <w:p w14:paraId="1EF43C9F">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带体和收放盒质地均匀、边缘整齐、无毛边、无凹凸、平整圆滑、图标字迹清晰、表面无明显污迹。</w:t>
            </w:r>
          </w:p>
          <w:p w14:paraId="065506B5">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3、标识</w:t>
            </w:r>
          </w:p>
          <w:p w14:paraId="74CD1C95">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企业技术要求∶在乳白色带体上印有"警察""POLICE"字样和"禁止通行"标识，字体和标识应在乳白色区域的居中位置;"警察"字样应为黑体，字高 35mm±2mm，字 宽40mm ± 2mm，字 间 距 45 ±2mm;"POLICE"字样应为黑体大写英文字母，字母高35mm±2mm，总宽为145mm ±2mm。</w:t>
            </w:r>
          </w:p>
          <w:p w14:paraId="3D638C4D">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4、颜色</w:t>
            </w:r>
          </w:p>
          <w:p w14:paraId="513BB609">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企业技术要求∶带体由乳白色（反光带）和蓝色相间组成主体颜色。带体上的"警察""POLICE""禁止通行"标志的颜色为红色。带体上相同部位颜色应一致。</w:t>
            </w:r>
          </w:p>
          <w:p w14:paraId="2F1DF1EE">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5、规格</w:t>
            </w:r>
          </w:p>
          <w:p w14:paraId="12255A2B">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带体长度：长度为119.8m 宽度为50.5mm。</w:t>
            </w:r>
          </w:p>
          <w:p w14:paraId="401F386B">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6、抗跌落性能</w:t>
            </w:r>
          </w:p>
          <w:p w14:paraId="278B093E">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警戒带自1.2m高处自由跌落至水泥地面后，收放盒没有出现开裂、破碎等现象，并能正常收放。</w:t>
            </w:r>
          </w:p>
          <w:p w14:paraId="63388C92">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7、物理性能</w:t>
            </w:r>
          </w:p>
          <w:p w14:paraId="5F9469E7">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企业技术要求∶断裂强力（经向）/N∶649N</w:t>
            </w:r>
          </w:p>
          <w:p w14:paraId="25E1A2D5">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企业技术要求∶断裂伸长率（经向）/%∶23%</w:t>
            </w:r>
          </w:p>
          <w:p w14:paraId="5565E4D6">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企业技术要求∶单位长度质量/（g/m）∶4.3g/m</w:t>
            </w:r>
          </w:p>
          <w:p w14:paraId="38EF6DD0">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企业技术要求∶企业技术要求∶银灰色反光带逆反射系数/[cd/(1x·㎡)]：0.52[cd/(1x·㎡)]</w:t>
            </w:r>
          </w:p>
          <w:p w14:paraId="3828040A">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8、色牢度</w:t>
            </w:r>
          </w:p>
          <w:p w14:paraId="6E849D7F">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耐水色牢度：变色：3级 沾色：3级</w:t>
            </w:r>
          </w:p>
          <w:p w14:paraId="61CF9F90">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耐摩擦色牢度（经向）：干摩：2级 湿摩：2级</w:t>
            </w:r>
          </w:p>
          <w:p w14:paraId="47AD0028">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9、收放盒</w:t>
            </w:r>
          </w:p>
          <w:p w14:paraId="7539EE3E">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企业技术要求∶收放盒主体颜色为蓝色；收放盒表面无毛刺、锈迹和明显划痕；收放警戒带时操作方便、转动灵活。</w:t>
            </w:r>
          </w:p>
          <w:p w14:paraId="133B0092">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10、高温试验</w:t>
            </w:r>
          </w:p>
          <w:p w14:paraId="32EC646F">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警戒带在温度+55℃±2℃条件下保持2h，取出后无粘连、无沾色、无裂纹，并能正常使用。</w:t>
            </w:r>
          </w:p>
          <w:p w14:paraId="426A4002">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11、低温试验</w:t>
            </w:r>
          </w:p>
          <w:p w14:paraId="19CA3248">
            <w:pPr>
              <w:pStyle w:val="17"/>
              <w:keepNext w:val="0"/>
              <w:keepLines w:val="0"/>
              <w:pageBreakBefore w:val="0"/>
              <w:kinsoku/>
              <w:wordWrap/>
              <w:overflowPunct/>
              <w:topLinePunct w:val="0"/>
              <w:autoSpaceDE/>
              <w:autoSpaceDN/>
              <w:bidi w:val="0"/>
              <w:adjustRightInd/>
              <w:snapToGrid/>
              <w:spacing w:before="0" w:beforeAutospacing="0" w:after="0" w:afterAutospacing="0"/>
              <w:ind w:left="0"/>
              <w:rPr>
                <w:rFonts w:hint="eastAsia" w:ascii="楷体" w:hAnsi="楷体" w:eastAsia="楷体" w:cs="楷体"/>
                <w:color w:val="auto"/>
                <w:sz w:val="18"/>
                <w:szCs w:val="18"/>
              </w:rPr>
            </w:pPr>
            <w:r>
              <w:rPr>
                <w:rFonts w:hint="eastAsia" w:ascii="楷体" w:hAnsi="楷体" w:eastAsia="楷体" w:cs="楷体"/>
                <w:color w:val="auto"/>
                <w:sz w:val="18"/>
                <w:szCs w:val="18"/>
              </w:rPr>
              <w:t>警戒带在温度-20℃±2℃条件下保持2h，取出后无粘连、无沾色、无裂纹，并能正常使用。</w:t>
            </w:r>
          </w:p>
          <w:p w14:paraId="01A1ECE9">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1F43BE1C">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5</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03E794C4">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盒</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187A9856">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val="en-US" w:eastAsia="zh-CN" w:bidi="ar"/>
              </w:rPr>
            </w:pPr>
            <w:r>
              <w:rPr>
                <w:rFonts w:hint="eastAsia" w:ascii="楷体" w:hAnsi="楷体" w:eastAsia="楷体" w:cs="楷体"/>
                <w:color w:val="auto"/>
                <w:kern w:val="0"/>
                <w:sz w:val="18"/>
                <w:szCs w:val="18"/>
                <w:lang w:val="en-US" w:eastAsia="zh-CN" w:bidi="ar"/>
              </w:rPr>
              <w:t>60元</w:t>
            </w:r>
          </w:p>
        </w:tc>
      </w:tr>
      <w:tr w14:paraId="4D1A69F6">
        <w:tblPrEx>
          <w:tblCellMar>
            <w:top w:w="0" w:type="dxa"/>
            <w:left w:w="108" w:type="dxa"/>
            <w:bottom w:w="0" w:type="dxa"/>
            <w:right w:w="108" w:type="dxa"/>
          </w:tblCellMar>
        </w:tblPrEx>
        <w:trPr>
          <w:trHeight w:val="1014"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5A1A5F42">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lang w:eastAsia="zh-CN"/>
              </w:rPr>
            </w:pPr>
            <w:r>
              <w:rPr>
                <w:rFonts w:hint="eastAsia" w:ascii="楷体" w:hAnsi="楷体" w:eastAsia="楷体" w:cs="楷体"/>
                <w:color w:val="auto"/>
                <w:kern w:val="0"/>
                <w:sz w:val="18"/>
                <w:szCs w:val="18"/>
                <w:lang w:val="en-US" w:eastAsia="zh-CN" w:bidi="ar"/>
              </w:rPr>
              <w:t>8</w:t>
            </w:r>
          </w:p>
        </w:tc>
        <w:tc>
          <w:tcPr>
            <w:tcW w:w="702" w:type="pct"/>
            <w:tcBorders>
              <w:top w:val="single" w:color="000000" w:sz="4" w:space="0"/>
              <w:left w:val="single" w:color="000000" w:sz="4" w:space="0"/>
              <w:bottom w:val="single" w:color="000000" w:sz="4" w:space="0"/>
              <w:right w:val="single" w:color="000000" w:sz="4" w:space="0"/>
            </w:tcBorders>
            <w:noWrap/>
            <w:vAlign w:val="center"/>
          </w:tcPr>
          <w:p w14:paraId="23A38049">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二轮电动车电瓶</w:t>
            </w:r>
          </w:p>
        </w:tc>
        <w:tc>
          <w:tcPr>
            <w:tcW w:w="2961" w:type="pct"/>
            <w:tcBorders>
              <w:top w:val="single" w:color="000000" w:sz="4" w:space="0"/>
              <w:left w:val="single" w:color="000000" w:sz="4" w:space="0"/>
              <w:bottom w:val="single" w:color="000000" w:sz="4" w:space="0"/>
              <w:right w:val="single" w:color="000000" w:sz="4" w:space="0"/>
            </w:tcBorders>
            <w:noWrap w:val="0"/>
            <w:vAlign w:val="center"/>
          </w:tcPr>
          <w:p w14:paraId="53AD5BE6">
            <w:pPr>
              <w:keepNext w:val="0"/>
              <w:keepLines w:val="0"/>
              <w:pageBreakBefore w:val="0"/>
              <w:widowControl/>
              <w:numPr>
                <w:ilvl w:val="0"/>
                <w:numId w:val="0"/>
              </w:numPr>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r>
              <w:rPr>
                <w:rFonts w:hint="eastAsia" w:ascii="楷体" w:hAnsi="楷体" w:eastAsia="楷体" w:cs="楷体"/>
                <w:color w:val="auto"/>
                <w:kern w:val="2"/>
                <w:sz w:val="18"/>
                <w:szCs w:val="18"/>
                <w:lang w:val="en-US" w:eastAsia="zh-CN" w:bidi="ar-SA"/>
              </w:rPr>
              <w:t>1、</w:t>
            </w:r>
            <w:r>
              <w:rPr>
                <w:rFonts w:hint="eastAsia" w:ascii="楷体" w:hAnsi="楷体" w:eastAsia="楷体" w:cs="楷体"/>
                <w:color w:val="auto"/>
                <w:sz w:val="18"/>
                <w:szCs w:val="18"/>
              </w:rPr>
              <w:t>铅酸电池</w:t>
            </w:r>
          </w:p>
          <w:p w14:paraId="5EFD4E02">
            <w:pPr>
              <w:pStyle w:val="2"/>
              <w:keepNext w:val="0"/>
              <w:keepLines w:val="0"/>
              <w:pageBreakBefore w:val="0"/>
              <w:numPr>
                <w:ilvl w:val="0"/>
                <w:numId w:val="0"/>
              </w:numPr>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80" w:name="_Toc3154"/>
            <w:r>
              <w:rPr>
                <w:rFonts w:hint="eastAsia" w:ascii="楷体" w:hAnsi="楷体" w:eastAsia="楷体" w:cs="楷体"/>
                <w:color w:val="auto"/>
                <w:kern w:val="2"/>
                <w:sz w:val="18"/>
                <w:szCs w:val="18"/>
                <w:lang w:val="en-US" w:eastAsia="zh-CN" w:bidi="ar-SA"/>
              </w:rPr>
              <w:t>2、</w:t>
            </w:r>
            <w:r>
              <w:rPr>
                <w:rFonts w:hint="eastAsia" w:ascii="楷体" w:hAnsi="楷体" w:eastAsia="楷体" w:cs="楷体"/>
                <w:color w:val="auto"/>
                <w:sz w:val="18"/>
                <w:szCs w:val="18"/>
              </w:rPr>
              <w:t>≥72V32.3A</w:t>
            </w:r>
            <w:bookmarkEnd w:id="180"/>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66A76BEA">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2</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50B85BEB">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套</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33FDA2C0">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bidi="ar"/>
              </w:rPr>
            </w:pPr>
            <w:r>
              <w:rPr>
                <w:rFonts w:hint="eastAsia" w:ascii="楷体" w:hAnsi="楷体" w:eastAsia="楷体" w:cs="楷体"/>
                <w:color w:val="auto"/>
                <w:kern w:val="0"/>
                <w:sz w:val="18"/>
                <w:szCs w:val="18"/>
                <w:lang w:val="en-US" w:eastAsia="zh-CN" w:bidi="ar"/>
              </w:rPr>
              <w:t>650元</w:t>
            </w:r>
          </w:p>
        </w:tc>
      </w:tr>
      <w:tr w14:paraId="1837F8DC">
        <w:tblPrEx>
          <w:tblCellMar>
            <w:top w:w="0" w:type="dxa"/>
            <w:left w:w="108" w:type="dxa"/>
            <w:bottom w:w="0" w:type="dxa"/>
            <w:right w:w="108" w:type="dxa"/>
          </w:tblCellMar>
        </w:tblPrEx>
        <w:trPr>
          <w:trHeight w:val="994"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339D6116">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lang w:val="en-US" w:eastAsia="zh-CN"/>
              </w:rPr>
            </w:pPr>
            <w:r>
              <w:rPr>
                <w:rFonts w:hint="eastAsia" w:ascii="楷体" w:hAnsi="楷体" w:eastAsia="楷体" w:cs="楷体"/>
                <w:color w:val="auto"/>
                <w:kern w:val="0"/>
                <w:sz w:val="18"/>
                <w:szCs w:val="18"/>
                <w:lang w:val="en-US" w:eastAsia="zh-CN" w:bidi="ar"/>
              </w:rPr>
              <w:t>9</w:t>
            </w:r>
          </w:p>
        </w:tc>
        <w:tc>
          <w:tcPr>
            <w:tcW w:w="702" w:type="pct"/>
            <w:tcBorders>
              <w:top w:val="single" w:color="000000" w:sz="4" w:space="0"/>
              <w:left w:val="single" w:color="000000" w:sz="4" w:space="0"/>
              <w:bottom w:val="single" w:color="000000" w:sz="4" w:space="0"/>
              <w:right w:val="single" w:color="auto" w:sz="4" w:space="0"/>
            </w:tcBorders>
            <w:noWrap/>
            <w:vAlign w:val="center"/>
          </w:tcPr>
          <w:p w14:paraId="2A353EED">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操作台</w:t>
            </w:r>
          </w:p>
        </w:tc>
        <w:tc>
          <w:tcPr>
            <w:tcW w:w="2961" w:type="pct"/>
            <w:tcBorders>
              <w:top w:val="single" w:color="auto" w:sz="4" w:space="0"/>
              <w:left w:val="single" w:color="auto" w:sz="4" w:space="0"/>
              <w:bottom w:val="single" w:color="auto" w:sz="4" w:space="0"/>
              <w:right w:val="single" w:color="auto" w:sz="4" w:space="0"/>
            </w:tcBorders>
            <w:noWrap w:val="0"/>
            <w:vAlign w:val="top"/>
          </w:tcPr>
          <w:p w14:paraId="23528C40">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r>
              <w:rPr>
                <w:rFonts w:hint="eastAsia" w:ascii="楷体" w:hAnsi="楷体" w:eastAsia="楷体" w:cs="楷体"/>
                <w:color w:val="auto"/>
                <w:sz w:val="18"/>
                <w:szCs w:val="18"/>
              </w:rPr>
              <w:t>1、框架≥1.2MM(冷轧钢板)</w:t>
            </w:r>
          </w:p>
          <w:p w14:paraId="270BDBFC">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r>
              <w:rPr>
                <w:rFonts w:hint="eastAsia" w:ascii="楷体" w:hAnsi="楷体" w:eastAsia="楷体" w:cs="楷体"/>
                <w:color w:val="auto"/>
                <w:sz w:val="18"/>
                <w:szCs w:val="18"/>
              </w:rPr>
              <w:t>2、立柱≥1.5MM(冷轧钢板)</w:t>
            </w:r>
          </w:p>
          <w:p w14:paraId="1004D167">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r>
              <w:rPr>
                <w:rFonts w:hint="eastAsia" w:ascii="楷体" w:hAnsi="楷体" w:eastAsia="楷体" w:cs="楷体"/>
                <w:color w:val="auto"/>
                <w:sz w:val="18"/>
                <w:szCs w:val="18"/>
              </w:rPr>
              <w:t>3、桌面≥20MM(防火木面)</w:t>
            </w:r>
          </w:p>
          <w:p w14:paraId="1D0952F7">
            <w:pPr>
              <w:pStyle w:val="2"/>
              <w:keepNext w:val="0"/>
              <w:keepLines w:val="0"/>
              <w:pageBreakBefore w:val="0"/>
              <w:kinsoku/>
              <w:wordWrap/>
              <w:overflowPunct/>
              <w:topLinePunct w:val="0"/>
              <w:autoSpaceDE/>
              <w:autoSpaceDN/>
              <w:bidi w:val="0"/>
              <w:adjustRightInd/>
              <w:snapToGrid/>
              <w:spacing w:before="0" w:after="0"/>
              <w:ind w:left="0"/>
              <w:jc w:val="left"/>
              <w:rPr>
                <w:rFonts w:hint="eastAsia" w:ascii="楷体" w:hAnsi="楷体" w:eastAsia="楷体" w:cs="楷体"/>
                <w:color w:val="auto"/>
                <w:sz w:val="18"/>
                <w:szCs w:val="18"/>
              </w:rPr>
            </w:pPr>
            <w:bookmarkStart w:id="181" w:name="_Toc26221"/>
            <w:r>
              <w:rPr>
                <w:rFonts w:hint="eastAsia" w:ascii="楷体" w:hAnsi="楷体" w:eastAsia="楷体" w:cs="楷体"/>
                <w:color w:val="auto"/>
                <w:sz w:val="18"/>
                <w:szCs w:val="18"/>
              </w:rPr>
              <w:t>4、长度≥2400MM,宽度≥900MM,高度≥750MM</w:t>
            </w:r>
            <w:bookmarkEnd w:id="181"/>
          </w:p>
        </w:tc>
        <w:tc>
          <w:tcPr>
            <w:tcW w:w="433" w:type="pct"/>
            <w:tcBorders>
              <w:top w:val="single" w:color="000000" w:sz="4" w:space="0"/>
              <w:left w:val="single" w:color="auto" w:sz="4" w:space="0"/>
              <w:bottom w:val="single" w:color="000000" w:sz="4" w:space="0"/>
              <w:right w:val="single" w:color="000000" w:sz="4" w:space="0"/>
            </w:tcBorders>
            <w:noWrap w:val="0"/>
            <w:vAlign w:val="center"/>
          </w:tcPr>
          <w:p w14:paraId="6910EA0E">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1</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578DD42C">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套</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5A6F65AA">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val="en-US" w:eastAsia="zh-CN" w:bidi="ar"/>
              </w:rPr>
            </w:pPr>
            <w:r>
              <w:rPr>
                <w:rFonts w:hint="eastAsia" w:ascii="楷体" w:hAnsi="楷体" w:eastAsia="楷体" w:cs="楷体"/>
                <w:color w:val="auto"/>
                <w:kern w:val="0"/>
                <w:sz w:val="18"/>
                <w:szCs w:val="18"/>
                <w:lang w:val="en-US" w:eastAsia="zh-CN" w:bidi="ar"/>
              </w:rPr>
              <w:t>750元</w:t>
            </w:r>
          </w:p>
        </w:tc>
      </w:tr>
      <w:tr w14:paraId="28DA2102">
        <w:tblPrEx>
          <w:tblCellMar>
            <w:top w:w="0" w:type="dxa"/>
            <w:left w:w="108" w:type="dxa"/>
            <w:bottom w:w="0" w:type="dxa"/>
            <w:right w:w="108" w:type="dxa"/>
          </w:tblCellMar>
        </w:tblPrEx>
        <w:trPr>
          <w:trHeight w:val="1134"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6861513B">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lang w:val="en-US" w:eastAsia="zh-CN"/>
              </w:rPr>
            </w:pPr>
            <w:r>
              <w:rPr>
                <w:rFonts w:hint="eastAsia" w:ascii="楷体" w:hAnsi="楷体" w:eastAsia="楷体" w:cs="楷体"/>
                <w:color w:val="auto"/>
                <w:kern w:val="0"/>
                <w:sz w:val="18"/>
                <w:szCs w:val="18"/>
                <w:lang w:val="en-US" w:eastAsia="zh-CN" w:bidi="ar"/>
              </w:rPr>
              <w:t>10</w:t>
            </w:r>
          </w:p>
        </w:tc>
        <w:tc>
          <w:tcPr>
            <w:tcW w:w="702" w:type="pct"/>
            <w:tcBorders>
              <w:top w:val="single" w:color="000000" w:sz="4" w:space="0"/>
              <w:left w:val="single" w:color="000000" w:sz="4" w:space="0"/>
              <w:bottom w:val="single" w:color="000000" w:sz="4" w:space="0"/>
              <w:right w:val="single" w:color="auto" w:sz="4" w:space="0"/>
            </w:tcBorders>
            <w:noWrap/>
            <w:vAlign w:val="center"/>
          </w:tcPr>
          <w:p w14:paraId="13993331">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多功能作战背心</w:t>
            </w:r>
          </w:p>
        </w:tc>
        <w:tc>
          <w:tcPr>
            <w:tcW w:w="2961" w:type="pct"/>
            <w:tcBorders>
              <w:top w:val="single" w:color="auto" w:sz="4" w:space="0"/>
              <w:left w:val="single" w:color="auto" w:sz="4" w:space="0"/>
              <w:bottom w:val="single" w:color="auto" w:sz="4" w:space="0"/>
              <w:right w:val="single" w:color="auto" w:sz="4" w:space="0"/>
            </w:tcBorders>
            <w:noWrap w:val="0"/>
            <w:vAlign w:val="top"/>
          </w:tcPr>
          <w:p w14:paraId="31FCDB69">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lang w:eastAsia="zh-CN"/>
              </w:rPr>
            </w:pPr>
            <w:r>
              <w:rPr>
                <w:rFonts w:hint="eastAsia" w:ascii="楷体" w:hAnsi="楷体" w:eastAsia="楷体" w:cs="楷体"/>
                <w:color w:val="auto"/>
                <w:sz w:val="18"/>
                <w:szCs w:val="18"/>
              </w:rPr>
              <w:t>一、概述</w:t>
            </w:r>
          </w:p>
          <w:p w14:paraId="2FED02D0">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lang w:eastAsia="zh-CN"/>
              </w:rPr>
            </w:pPr>
            <w:r>
              <w:rPr>
                <w:rFonts w:hint="eastAsia" w:ascii="楷体" w:hAnsi="楷体" w:eastAsia="楷体" w:cs="楷体"/>
                <w:color w:val="auto"/>
                <w:sz w:val="18"/>
                <w:szCs w:val="18"/>
              </w:rPr>
              <w:t>作战背心采用快拆结构，穿着轻便，便于训练及执行任务中做各种战术动作，可根据任务的不同来挂载不同的装备附包。持久耐用，采用适合战术使用的牛津布材料，前胸、后背可插防护胸插板，具有耐压、耐撕裂、抗腐蚀和高拉力、有超强的耐磨性能；缝合线结实；使用寿命长。有灵活的组合能力，可根据任务携装的不同的挂载、不同的装备附袋等。</w:t>
            </w:r>
          </w:p>
          <w:p w14:paraId="57390E57">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lang w:eastAsia="zh-CN"/>
              </w:rPr>
            </w:pPr>
            <w:r>
              <w:rPr>
                <w:rFonts w:hint="eastAsia" w:ascii="楷体" w:hAnsi="楷体" w:eastAsia="楷体" w:cs="楷体"/>
                <w:color w:val="auto"/>
                <w:sz w:val="18"/>
                <w:szCs w:val="18"/>
              </w:rPr>
              <w:t>二、参数</w:t>
            </w:r>
          </w:p>
          <w:p w14:paraId="41FA354E">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lang w:eastAsia="zh-CN"/>
              </w:rPr>
            </w:pPr>
            <w:r>
              <w:rPr>
                <w:rFonts w:hint="eastAsia" w:ascii="楷体" w:hAnsi="楷体" w:eastAsia="楷体" w:cs="楷体"/>
                <w:color w:val="auto"/>
                <w:sz w:val="18"/>
                <w:szCs w:val="18"/>
              </w:rPr>
              <w:t>1.外观：面料、里料、机织带等主辅材料表面无残次。缝纫部位缝制牢固、规整。平展、直顺，不得有开线断线、跳针漏针、错位等缺陷</w:t>
            </w:r>
          </w:p>
          <w:p w14:paraId="176CBAE2">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lang w:eastAsia="zh-CN"/>
              </w:rPr>
            </w:pPr>
            <w:r>
              <w:rPr>
                <w:rFonts w:hint="eastAsia" w:ascii="楷体" w:hAnsi="楷体" w:eastAsia="楷体" w:cs="楷体"/>
                <w:color w:val="auto"/>
                <w:sz w:val="18"/>
                <w:szCs w:val="18"/>
              </w:rPr>
              <w:t>2.结构：马夹背心式，通过腰部、肩部插扣调节扣合, 前胸、后背可插防护胸插板。     </w:t>
            </w:r>
          </w:p>
          <w:p w14:paraId="7F57777B">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lang w:eastAsia="zh-CN"/>
              </w:rPr>
            </w:pPr>
            <w:r>
              <w:rPr>
                <w:rFonts w:hint="eastAsia" w:ascii="楷体" w:hAnsi="楷体" w:eastAsia="楷体" w:cs="楷体"/>
                <w:color w:val="auto"/>
                <w:sz w:val="18"/>
                <w:szCs w:val="18"/>
              </w:rPr>
              <w:t>3.材质：牛津布</w:t>
            </w:r>
          </w:p>
          <w:p w14:paraId="163CD52C">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lang w:eastAsia="zh-CN"/>
              </w:rPr>
            </w:pPr>
            <w:r>
              <w:rPr>
                <w:rFonts w:hint="eastAsia" w:ascii="楷体" w:hAnsi="楷体" w:eastAsia="楷体" w:cs="楷体"/>
                <w:color w:val="auto"/>
                <w:sz w:val="18"/>
                <w:szCs w:val="18"/>
              </w:rPr>
              <w:t>4.颜色：黑色</w:t>
            </w:r>
          </w:p>
          <w:p w14:paraId="78E2382C">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lang w:eastAsia="zh-CN"/>
              </w:rPr>
            </w:pPr>
            <w:r>
              <w:rPr>
                <w:rFonts w:hint="eastAsia" w:ascii="楷体" w:hAnsi="楷体" w:eastAsia="楷体" w:cs="楷体"/>
                <w:color w:val="auto"/>
                <w:sz w:val="18"/>
                <w:szCs w:val="18"/>
              </w:rPr>
              <w:t>5.缝纫：缝纫线迹顺直，针距均匀，松紧适宜，无连续跳线、开线、漏针、线头等缺陷。缝纫针密度  7针/30mm~11针/30mm。</w:t>
            </w:r>
          </w:p>
          <w:p w14:paraId="524527DD">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lang w:eastAsia="zh-CN"/>
              </w:rPr>
            </w:pPr>
            <w:r>
              <w:rPr>
                <w:rFonts w:hint="eastAsia" w:ascii="楷体" w:hAnsi="楷体" w:eastAsia="楷体" w:cs="楷体"/>
                <w:color w:val="auto"/>
                <w:sz w:val="18"/>
                <w:szCs w:val="18"/>
              </w:rPr>
              <w:t>6.尼龙搭扣带：扣合强度≥7.0N/㎝²，撕接强度≥1.3N/㎝；</w:t>
            </w:r>
          </w:p>
          <w:p w14:paraId="34CAA792">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lang w:eastAsia="zh-CN"/>
              </w:rPr>
            </w:pPr>
            <w:r>
              <w:rPr>
                <w:rFonts w:hint="eastAsia" w:ascii="楷体" w:hAnsi="楷体" w:eastAsia="楷体" w:cs="楷体"/>
                <w:color w:val="auto"/>
                <w:sz w:val="18"/>
                <w:szCs w:val="18"/>
              </w:rPr>
              <w:t>7.插扣扣合强力：≥300N；腰部插扣脱扣强力：≤80N</w:t>
            </w:r>
          </w:p>
          <w:p w14:paraId="617C7345">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r>
              <w:rPr>
                <w:rFonts w:hint="eastAsia" w:ascii="楷体" w:hAnsi="楷体" w:eastAsia="楷体" w:cs="楷体"/>
                <w:color w:val="auto"/>
                <w:sz w:val="18"/>
                <w:szCs w:val="18"/>
              </w:rPr>
              <w:t>8.面料：耐刷洗色牢度≥4级，耐汗渍色牢度≥3~4级，耐光色牢度≥4~5级。</w:t>
            </w:r>
          </w:p>
        </w:tc>
        <w:tc>
          <w:tcPr>
            <w:tcW w:w="433" w:type="pct"/>
            <w:tcBorders>
              <w:top w:val="single" w:color="000000" w:sz="4" w:space="0"/>
              <w:left w:val="single" w:color="auto" w:sz="4" w:space="0"/>
              <w:bottom w:val="single" w:color="000000" w:sz="4" w:space="0"/>
              <w:right w:val="single" w:color="000000" w:sz="4" w:space="0"/>
            </w:tcBorders>
            <w:noWrap w:val="0"/>
            <w:vAlign w:val="center"/>
          </w:tcPr>
          <w:p w14:paraId="5B43D150">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30</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35867B4E">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件</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5306DB1D">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val="en-US" w:eastAsia="zh-CN" w:bidi="ar"/>
              </w:rPr>
            </w:pPr>
            <w:r>
              <w:rPr>
                <w:rFonts w:hint="eastAsia" w:ascii="楷体" w:hAnsi="楷体" w:eastAsia="楷体" w:cs="楷体"/>
                <w:color w:val="auto"/>
                <w:kern w:val="0"/>
                <w:sz w:val="18"/>
                <w:szCs w:val="18"/>
                <w:lang w:val="en-US" w:eastAsia="zh-CN" w:bidi="ar"/>
              </w:rPr>
              <w:t>650元</w:t>
            </w:r>
          </w:p>
        </w:tc>
      </w:tr>
      <w:tr w14:paraId="5F12F34A">
        <w:tblPrEx>
          <w:tblCellMar>
            <w:top w:w="0" w:type="dxa"/>
            <w:left w:w="108" w:type="dxa"/>
            <w:bottom w:w="0" w:type="dxa"/>
            <w:right w:w="108" w:type="dxa"/>
          </w:tblCellMar>
        </w:tblPrEx>
        <w:trPr>
          <w:trHeight w:val="3855"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142E2B2E">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lang w:val="en-US" w:eastAsia="zh-CN"/>
              </w:rPr>
            </w:pPr>
            <w:r>
              <w:rPr>
                <w:rFonts w:hint="eastAsia" w:ascii="楷体" w:hAnsi="楷体" w:eastAsia="楷体" w:cs="楷体"/>
                <w:color w:val="auto"/>
                <w:kern w:val="0"/>
                <w:sz w:val="18"/>
                <w:szCs w:val="18"/>
                <w:lang w:val="en-US" w:eastAsia="zh-CN" w:bidi="ar"/>
              </w:rPr>
              <w:t>11</w:t>
            </w:r>
          </w:p>
        </w:tc>
        <w:tc>
          <w:tcPr>
            <w:tcW w:w="702" w:type="pct"/>
            <w:tcBorders>
              <w:top w:val="single" w:color="000000" w:sz="4" w:space="0"/>
              <w:left w:val="single" w:color="000000" w:sz="4" w:space="0"/>
              <w:bottom w:val="single" w:color="000000" w:sz="4" w:space="0"/>
              <w:right w:val="single" w:color="auto" w:sz="4" w:space="0"/>
            </w:tcBorders>
            <w:noWrap/>
            <w:vAlign w:val="center"/>
          </w:tcPr>
          <w:p w14:paraId="46F9D5A6">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战术头盔</w:t>
            </w:r>
          </w:p>
        </w:tc>
        <w:tc>
          <w:tcPr>
            <w:tcW w:w="2961" w:type="pct"/>
            <w:tcBorders>
              <w:top w:val="single" w:color="auto" w:sz="4" w:space="0"/>
              <w:left w:val="single" w:color="auto" w:sz="4" w:space="0"/>
              <w:bottom w:val="single" w:color="auto" w:sz="4" w:space="0"/>
              <w:right w:val="single" w:color="auto" w:sz="4" w:space="0"/>
            </w:tcBorders>
            <w:noWrap w:val="0"/>
            <w:vAlign w:val="top"/>
          </w:tcPr>
          <w:p w14:paraId="696ECBBE">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1.产品符合</w:t>
            </w:r>
            <w:r>
              <w:rPr>
                <w:rFonts w:hint="eastAsia" w:ascii="楷体" w:hAnsi="楷体" w:eastAsia="楷体" w:cs="楷体"/>
                <w:color w:val="auto"/>
                <w:sz w:val="18"/>
                <w:szCs w:val="18"/>
                <w:lang w:val="en-US" w:eastAsia="zh-CN"/>
              </w:rPr>
              <w:fldChar w:fldCharType="begin"/>
            </w:r>
            <w:r>
              <w:rPr>
                <w:rFonts w:hint="eastAsia" w:ascii="楷体" w:hAnsi="楷体" w:eastAsia="楷体" w:cs="楷体"/>
                <w:color w:val="auto"/>
                <w:sz w:val="18"/>
                <w:szCs w:val="18"/>
                <w:lang w:val="en-US" w:eastAsia="zh-CN"/>
              </w:rPr>
              <w:instrText xml:space="preserve"> HYPERLINK "http://www.baidu.com/link?url=A4RzDngLzZnJqZW11rYqHMgWHMH90OypspJkQ62rSithYKYMtkDI4t52u6SUJUzxKx_nHssPg2aMoQD5BUmPuq" \t "_blank" </w:instrText>
            </w:r>
            <w:r>
              <w:rPr>
                <w:rFonts w:hint="eastAsia" w:ascii="楷体" w:hAnsi="楷体" w:eastAsia="楷体" w:cs="楷体"/>
                <w:color w:val="auto"/>
                <w:sz w:val="18"/>
                <w:szCs w:val="18"/>
                <w:lang w:val="en-US" w:eastAsia="zh-CN"/>
              </w:rPr>
              <w:fldChar w:fldCharType="separate"/>
            </w:r>
            <w:r>
              <w:rPr>
                <w:rFonts w:hint="eastAsia" w:ascii="楷体" w:hAnsi="楷体" w:eastAsia="楷体" w:cs="楷体"/>
                <w:color w:val="auto"/>
                <w:sz w:val="18"/>
                <w:szCs w:val="18"/>
                <w:lang w:val="en-US" w:eastAsia="zh-CN"/>
              </w:rPr>
              <w:t>GA 296-2001《警用勤</w:t>
            </w:r>
            <w:r>
              <w:rPr>
                <w:rFonts w:hint="eastAsia" w:ascii="楷体" w:hAnsi="楷体" w:eastAsia="楷体" w:cs="楷体"/>
                <w:color w:val="auto"/>
                <w:sz w:val="18"/>
                <w:szCs w:val="18"/>
                <w:lang w:val="en-US" w:eastAsia="zh-CN"/>
              </w:rPr>
              <w:fldChar w:fldCharType="end"/>
            </w:r>
            <w:r>
              <w:rPr>
                <w:rFonts w:hint="eastAsia" w:ascii="楷体" w:hAnsi="楷体" w:eastAsia="楷体" w:cs="楷体"/>
                <w:color w:val="auto"/>
                <w:sz w:val="18"/>
                <w:szCs w:val="18"/>
                <w:lang w:val="en-US" w:eastAsia="zh-CN"/>
              </w:rPr>
              <w:t>务头盔》相关标准；</w:t>
            </w:r>
          </w:p>
          <w:p w14:paraId="084F5BBA">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2.颜色：黑色；</w:t>
            </w:r>
          </w:p>
          <w:p w14:paraId="09BEC675">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3.结构：由壳体、佩戴装置等组成；</w:t>
            </w:r>
          </w:p>
          <w:p w14:paraId="2B18C171">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4.规格尺寸：大（L）</w:t>
            </w:r>
          </w:p>
          <w:p w14:paraId="14B7D198">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5.质量：≤0.83kg；</w:t>
            </w:r>
          </w:p>
          <w:p w14:paraId="3C74AF57">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6.佩戴装置性能：系带宽度为19.8mm±0.1mm，头盔系带未出现伸长量≥25mm或系带撕裂撕断、连接件脱落及搭扣松脱现象；</w:t>
            </w:r>
          </w:p>
          <w:p w14:paraId="6D1D6CA9">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7.吸收碰撞能量性能：满足要求加速度峰值≤400g，超过150g的作用时间＜4m/s；</w:t>
            </w:r>
          </w:p>
          <w:p w14:paraId="0FE95EF5">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8.耐穿透性能：在钢锥质量3kg，落高1000mm情况下，钢锥不穿透头盔与头型产生接触；</w:t>
            </w:r>
          </w:p>
          <w:p w14:paraId="30AE6E2F">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9.温度适应性：-10℃~+55℃；</w:t>
            </w:r>
          </w:p>
          <w:p w14:paraId="10E7BD28">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10.雨淋：常温条件雨淋处理（喷水量15L/min）持续1h，5min后头盔吸收碰撞能量性能完好；</w:t>
            </w:r>
          </w:p>
          <w:p w14:paraId="3C9D94DD">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11.提供产品责任保险，保险金额不低于1000万元，连续保险期限不低于5年并提供证明材料（复印件加盖公章）；</w:t>
            </w:r>
          </w:p>
          <w:p w14:paraId="1813ADB3">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r>
              <w:rPr>
                <w:rFonts w:hint="eastAsia" w:ascii="楷体" w:hAnsi="楷体" w:eastAsia="楷体" w:cs="楷体"/>
                <w:color w:val="auto"/>
                <w:sz w:val="18"/>
                <w:szCs w:val="18"/>
                <w:lang w:val="en-US" w:eastAsia="zh-CN"/>
              </w:rPr>
              <w:t>12.▲提供由“公安内部经国家认证认可监督管理委员会资质认可的检验机构”出具的所投产品的合格检验报告（复印件加盖供应商公章）。</w:t>
            </w:r>
          </w:p>
          <w:p w14:paraId="4B48BCDD">
            <w:pPr>
              <w:keepNext w:val="0"/>
              <w:keepLines w:val="0"/>
              <w:pageBreakBefore w:val="0"/>
              <w:kinsoku/>
              <w:wordWrap/>
              <w:overflowPunct/>
              <w:topLinePunct w:val="0"/>
              <w:autoSpaceDE/>
              <w:autoSpaceDN/>
              <w:bidi w:val="0"/>
              <w:adjustRightInd/>
              <w:snapToGrid/>
              <w:ind w:left="0"/>
              <w:jc w:val="left"/>
              <w:rPr>
                <w:rFonts w:hint="eastAsia" w:ascii="楷体" w:hAnsi="楷体" w:eastAsia="楷体" w:cs="楷体"/>
                <w:color w:val="auto"/>
                <w:sz w:val="18"/>
                <w:szCs w:val="18"/>
                <w:lang w:val="en-US" w:eastAsia="zh-CN"/>
              </w:rPr>
            </w:pPr>
          </w:p>
        </w:tc>
        <w:tc>
          <w:tcPr>
            <w:tcW w:w="433" w:type="pct"/>
            <w:tcBorders>
              <w:top w:val="single" w:color="000000" w:sz="4" w:space="0"/>
              <w:left w:val="single" w:color="auto" w:sz="4" w:space="0"/>
              <w:bottom w:val="single" w:color="000000" w:sz="4" w:space="0"/>
              <w:right w:val="single" w:color="000000" w:sz="4" w:space="0"/>
            </w:tcBorders>
            <w:noWrap w:val="0"/>
            <w:vAlign w:val="center"/>
          </w:tcPr>
          <w:p w14:paraId="01932127">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15</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5CA09922">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顶</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6B43BAA4">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val="en-US" w:eastAsia="zh-CN" w:bidi="ar"/>
              </w:rPr>
            </w:pPr>
            <w:r>
              <w:rPr>
                <w:rFonts w:hint="eastAsia" w:ascii="楷体" w:hAnsi="楷体" w:eastAsia="楷体" w:cs="楷体"/>
                <w:color w:val="auto"/>
                <w:kern w:val="0"/>
                <w:sz w:val="18"/>
                <w:szCs w:val="18"/>
                <w:lang w:val="en-US" w:eastAsia="zh-CN" w:bidi="ar"/>
              </w:rPr>
              <w:t>180元</w:t>
            </w:r>
          </w:p>
        </w:tc>
      </w:tr>
      <w:tr w14:paraId="42C1F972">
        <w:tblPrEx>
          <w:tblCellMar>
            <w:top w:w="0" w:type="dxa"/>
            <w:left w:w="108" w:type="dxa"/>
            <w:bottom w:w="0" w:type="dxa"/>
            <w:right w:w="108" w:type="dxa"/>
          </w:tblCellMar>
        </w:tblPrEx>
        <w:trPr>
          <w:trHeight w:val="4760"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242FEE55">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lang w:val="en-US" w:eastAsia="zh-CN"/>
              </w:rPr>
            </w:pPr>
            <w:r>
              <w:rPr>
                <w:rFonts w:hint="eastAsia" w:ascii="楷体" w:hAnsi="楷体" w:eastAsia="楷体" w:cs="楷体"/>
                <w:color w:val="auto"/>
                <w:kern w:val="0"/>
                <w:sz w:val="18"/>
                <w:szCs w:val="18"/>
                <w:lang w:val="en-US" w:eastAsia="zh-CN" w:bidi="ar"/>
              </w:rPr>
              <w:t>12</w:t>
            </w:r>
          </w:p>
        </w:tc>
        <w:tc>
          <w:tcPr>
            <w:tcW w:w="702" w:type="pct"/>
            <w:tcBorders>
              <w:top w:val="single" w:color="000000" w:sz="4" w:space="0"/>
              <w:left w:val="single" w:color="000000" w:sz="4" w:space="0"/>
              <w:bottom w:val="single" w:color="000000" w:sz="4" w:space="0"/>
              <w:right w:val="single" w:color="auto" w:sz="4" w:space="0"/>
            </w:tcBorders>
            <w:noWrap/>
            <w:vAlign w:val="center"/>
          </w:tcPr>
          <w:p w14:paraId="6C11C92C">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对讲机</w:t>
            </w:r>
          </w:p>
        </w:tc>
        <w:tc>
          <w:tcPr>
            <w:tcW w:w="2961" w:type="pct"/>
            <w:tcBorders>
              <w:top w:val="single" w:color="auto" w:sz="4" w:space="0"/>
              <w:left w:val="single" w:color="auto" w:sz="4" w:space="0"/>
              <w:bottom w:val="single" w:color="auto" w:sz="4" w:space="0"/>
              <w:right w:val="single" w:color="auto" w:sz="4" w:space="0"/>
            </w:tcBorders>
            <w:noWrap w:val="0"/>
            <w:vAlign w:val="top"/>
          </w:tcPr>
          <w:p w14:paraId="0A85AAD9">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尺寸 121x55.5x24mm(高*宽*厚)，重量 195g(含标配电池)，显示屏 2.0英寸彩屏，分辨率320*240，充电方式  MicroUSB充电，可选排充，电池使用时间 &gt;18小时(3100mAh,3.6V)</w:t>
            </w:r>
          </w:p>
          <w:p w14:paraId="42B477BF">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SIM卡  Micro SIM卡*1(12*15mm)，WLAN 2.4GHz,802.11 b/g/n，定位  GPS/北斗/Glonass，蓝牙  BT 4.1，外部接口  USB2.0、2.5mm音频附件接口、充电端口，音频/扬声器 额定功率1W</w:t>
            </w:r>
          </w:p>
          <w:p w14:paraId="422AFF42">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环境标准</w:t>
            </w:r>
          </w:p>
          <w:p w14:paraId="3FE57390">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工作温度范围  -20°℃~+60°℃</w:t>
            </w:r>
          </w:p>
          <w:p w14:paraId="02828744">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储存温度范围  -30°℃~+70℃</w:t>
            </w:r>
          </w:p>
          <w:p w14:paraId="394572E7">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 xml:space="preserve"> IEC 61000-4-2(level4)</w:t>
            </w:r>
          </w:p>
          <w:p w14:paraId="0B07177B">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 xml:space="preserve"> ESD(静电防护等级)</w:t>
            </w:r>
          </w:p>
          <w:p w14:paraId="20A916FF">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士8kV(接触放电)士12kV(空气放电)</w:t>
            </w:r>
          </w:p>
          <w:p w14:paraId="0BB56F91">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防湿和冲击和振动  MIL-STD-810G标准</w:t>
            </w:r>
          </w:p>
          <w:p w14:paraId="6E74E6FB">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防尘防水  IP54标准</w:t>
            </w:r>
          </w:p>
          <w:p w14:paraId="4444046E">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支持移动、联通、电信全网通，</w:t>
            </w:r>
          </w:p>
          <w:p w14:paraId="682A9F60">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包含LTE/WCDMA/CDMA/TD-SCDMA/GSM GSM:900/1800</w:t>
            </w:r>
          </w:p>
          <w:p w14:paraId="162012A7">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频段  TD-SCDMA:B34/B39 CDMA:BCO</w:t>
            </w:r>
          </w:p>
          <w:p w14:paraId="0DF74B60">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eastAsia="zh-CN" w:bidi="ar"/>
              </w:rPr>
            </w:pPr>
            <w:r>
              <w:rPr>
                <w:rStyle w:val="25"/>
                <w:rFonts w:hint="eastAsia" w:ascii="楷体" w:hAnsi="楷体" w:eastAsia="楷体" w:cs="楷体"/>
                <w:color w:val="auto"/>
                <w:lang w:bidi="ar"/>
              </w:rPr>
              <w:t xml:space="preserve"> WCDMA:A1/B8</w:t>
            </w:r>
          </w:p>
          <w:p w14:paraId="1C853F7C">
            <w:pPr>
              <w:keepNext w:val="0"/>
              <w:keepLines w:val="0"/>
              <w:pageBreakBefore w:val="0"/>
              <w:widowControl/>
              <w:kinsoku/>
              <w:wordWrap/>
              <w:overflowPunct/>
              <w:topLinePunct w:val="0"/>
              <w:autoSpaceDE/>
              <w:autoSpaceDN/>
              <w:bidi w:val="0"/>
              <w:adjustRightInd/>
              <w:snapToGrid/>
              <w:ind w:left="0"/>
              <w:jc w:val="left"/>
              <w:textAlignment w:val="top"/>
              <w:rPr>
                <w:rStyle w:val="25"/>
                <w:rFonts w:hint="eastAsia" w:ascii="楷体" w:hAnsi="楷体" w:eastAsia="楷体" w:cs="楷体"/>
                <w:color w:val="auto"/>
                <w:lang w:bidi="ar"/>
              </w:rPr>
            </w:pPr>
            <w:r>
              <w:rPr>
                <w:rStyle w:val="25"/>
                <w:rFonts w:hint="eastAsia" w:ascii="楷体" w:hAnsi="楷体" w:eastAsia="楷体" w:cs="楷体"/>
                <w:color w:val="auto"/>
                <w:lang w:bidi="ar"/>
              </w:rPr>
              <w:t xml:space="preserve"> TDD-LTE:B38/B39/B40/B41 FDD-LTE:B1/B3/B5/B8                                        </w:t>
            </w:r>
          </w:p>
          <w:p w14:paraId="66666B43">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r>
              <w:rPr>
                <w:rStyle w:val="26"/>
                <w:rFonts w:hint="eastAsia" w:ascii="楷体" w:hAnsi="楷体" w:eastAsia="楷体" w:cs="楷体"/>
                <w:color w:val="auto"/>
                <w:lang w:bidi="ar"/>
              </w:rPr>
              <w:t>*包含3年的使用流量</w:t>
            </w:r>
          </w:p>
        </w:tc>
        <w:tc>
          <w:tcPr>
            <w:tcW w:w="433" w:type="pct"/>
            <w:tcBorders>
              <w:top w:val="single" w:color="000000" w:sz="4" w:space="0"/>
              <w:left w:val="single" w:color="auto" w:sz="4" w:space="0"/>
              <w:bottom w:val="single" w:color="000000" w:sz="4" w:space="0"/>
              <w:right w:val="single" w:color="000000" w:sz="4" w:space="0"/>
            </w:tcBorders>
            <w:noWrap w:val="0"/>
            <w:vAlign w:val="center"/>
          </w:tcPr>
          <w:p w14:paraId="47485DBA">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40</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488F7C4D">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台</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45BBE807">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val="en-US" w:eastAsia="zh-CN" w:bidi="ar"/>
              </w:rPr>
            </w:pPr>
            <w:r>
              <w:rPr>
                <w:rFonts w:hint="eastAsia" w:ascii="楷体" w:hAnsi="楷体" w:eastAsia="楷体" w:cs="楷体"/>
                <w:color w:val="auto"/>
                <w:kern w:val="0"/>
                <w:sz w:val="18"/>
                <w:szCs w:val="18"/>
                <w:lang w:val="en-US" w:eastAsia="zh-CN" w:bidi="ar"/>
              </w:rPr>
              <w:t>680元</w:t>
            </w:r>
          </w:p>
        </w:tc>
      </w:tr>
      <w:tr w14:paraId="0B74F033">
        <w:tblPrEx>
          <w:tblCellMar>
            <w:top w:w="0" w:type="dxa"/>
            <w:left w:w="108" w:type="dxa"/>
            <w:bottom w:w="0" w:type="dxa"/>
            <w:right w:w="108" w:type="dxa"/>
          </w:tblCellMar>
        </w:tblPrEx>
        <w:trPr>
          <w:trHeight w:val="1134"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0251960C">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lang w:val="en-US" w:eastAsia="zh-CN"/>
              </w:rPr>
            </w:pPr>
            <w:r>
              <w:rPr>
                <w:rFonts w:hint="eastAsia" w:ascii="楷体" w:hAnsi="楷体" w:eastAsia="楷体" w:cs="楷体"/>
                <w:color w:val="auto"/>
                <w:kern w:val="0"/>
                <w:sz w:val="18"/>
                <w:szCs w:val="18"/>
                <w:lang w:val="en-US" w:eastAsia="zh-CN" w:bidi="ar"/>
              </w:rPr>
              <w:t>13</w:t>
            </w:r>
          </w:p>
        </w:tc>
        <w:tc>
          <w:tcPr>
            <w:tcW w:w="702" w:type="pct"/>
            <w:tcBorders>
              <w:top w:val="single" w:color="000000" w:sz="4" w:space="0"/>
              <w:left w:val="single" w:color="000000" w:sz="4" w:space="0"/>
              <w:bottom w:val="single" w:color="000000" w:sz="4" w:space="0"/>
              <w:right w:val="single" w:color="auto" w:sz="4" w:space="0"/>
            </w:tcBorders>
            <w:noWrap/>
            <w:vAlign w:val="center"/>
          </w:tcPr>
          <w:p w14:paraId="74CF03F5">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礼宾枪</w:t>
            </w:r>
          </w:p>
        </w:tc>
        <w:tc>
          <w:tcPr>
            <w:tcW w:w="2961" w:type="pct"/>
            <w:tcBorders>
              <w:top w:val="single" w:color="auto" w:sz="4" w:space="0"/>
              <w:left w:val="single" w:color="auto" w:sz="4" w:space="0"/>
              <w:bottom w:val="single" w:color="auto" w:sz="4" w:space="0"/>
              <w:right w:val="single" w:color="auto" w:sz="4" w:space="0"/>
            </w:tcBorders>
            <w:noWrap w:val="0"/>
            <w:vAlign w:val="top"/>
          </w:tcPr>
          <w:p w14:paraId="4DE14F5E">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r>
              <w:rPr>
                <w:rFonts w:hint="eastAsia" w:ascii="楷体" w:hAnsi="楷体" w:eastAsia="楷体" w:cs="楷体"/>
                <w:color w:val="auto"/>
                <w:sz w:val="18"/>
                <w:szCs w:val="18"/>
              </w:rPr>
              <w:t>1、产品规格：长≥102cm,宽≥ 17cm</w:t>
            </w:r>
          </w:p>
          <w:p w14:paraId="510B2888">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r>
              <w:rPr>
                <w:rFonts w:hint="eastAsia" w:ascii="楷体" w:hAnsi="楷体" w:eastAsia="楷体" w:cs="楷体"/>
                <w:color w:val="auto"/>
                <w:sz w:val="18"/>
                <w:szCs w:val="18"/>
              </w:rPr>
              <w:t>2、产品重量：≥4.3公斤</w:t>
            </w:r>
          </w:p>
          <w:p w14:paraId="4C8439DA">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r>
              <w:rPr>
                <w:rFonts w:hint="eastAsia" w:ascii="楷体" w:hAnsi="楷体" w:eastAsia="楷体" w:cs="楷体"/>
                <w:color w:val="auto"/>
                <w:sz w:val="18"/>
                <w:szCs w:val="18"/>
              </w:rPr>
              <w:t>3、产品材质：采用天然橡胶、内置钢铁、一次性压铸而成、外壳喷漆原木色</w:t>
            </w:r>
          </w:p>
          <w:p w14:paraId="09064726">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r>
              <w:rPr>
                <w:rFonts w:hint="eastAsia" w:ascii="楷体" w:hAnsi="楷体" w:eastAsia="楷体" w:cs="楷体"/>
                <w:color w:val="auto"/>
                <w:sz w:val="18"/>
                <w:szCs w:val="18"/>
              </w:rPr>
              <w:t>4、产品功能：扳机能扣动、刺刀可旋转收放</w:t>
            </w:r>
          </w:p>
          <w:p w14:paraId="47AA10FB">
            <w:pPr>
              <w:keepNext w:val="0"/>
              <w:keepLines w:val="0"/>
              <w:pageBreakBefore w:val="0"/>
              <w:widowControl/>
              <w:kinsoku/>
              <w:wordWrap/>
              <w:overflowPunct/>
              <w:topLinePunct w:val="0"/>
              <w:autoSpaceDE/>
              <w:autoSpaceDN/>
              <w:bidi w:val="0"/>
              <w:adjustRightInd/>
              <w:snapToGrid/>
              <w:ind w:left="0"/>
              <w:jc w:val="left"/>
              <w:textAlignment w:val="top"/>
              <w:rPr>
                <w:rFonts w:hint="eastAsia" w:ascii="楷体" w:hAnsi="楷体" w:eastAsia="楷体" w:cs="楷体"/>
                <w:color w:val="auto"/>
                <w:sz w:val="18"/>
                <w:szCs w:val="18"/>
              </w:rPr>
            </w:pPr>
          </w:p>
        </w:tc>
        <w:tc>
          <w:tcPr>
            <w:tcW w:w="433" w:type="pct"/>
            <w:tcBorders>
              <w:top w:val="single" w:color="000000" w:sz="4" w:space="0"/>
              <w:left w:val="single" w:color="auto" w:sz="4" w:space="0"/>
              <w:bottom w:val="single" w:color="000000" w:sz="4" w:space="0"/>
              <w:right w:val="single" w:color="000000" w:sz="4" w:space="0"/>
            </w:tcBorders>
            <w:noWrap w:val="0"/>
            <w:vAlign w:val="center"/>
          </w:tcPr>
          <w:p w14:paraId="3D4DEE6C">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20</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5F63227D">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sz w:val="18"/>
                <w:szCs w:val="18"/>
              </w:rPr>
            </w:pPr>
            <w:r>
              <w:rPr>
                <w:rFonts w:hint="eastAsia" w:ascii="楷体" w:hAnsi="楷体" w:eastAsia="楷体" w:cs="楷体"/>
                <w:color w:val="auto"/>
                <w:kern w:val="0"/>
                <w:sz w:val="18"/>
                <w:szCs w:val="18"/>
                <w:lang w:bidi="ar"/>
              </w:rPr>
              <w:t>把</w:t>
            </w:r>
          </w:p>
        </w:tc>
        <w:tc>
          <w:tcPr>
            <w:tcW w:w="302" w:type="pct"/>
            <w:tcBorders>
              <w:top w:val="single" w:color="000000" w:sz="4" w:space="0"/>
              <w:left w:val="single" w:color="000000" w:sz="4" w:space="0"/>
              <w:bottom w:val="single" w:color="000000" w:sz="4" w:space="0"/>
              <w:right w:val="single" w:color="000000" w:sz="4" w:space="0"/>
            </w:tcBorders>
            <w:noWrap/>
            <w:vAlign w:val="center"/>
          </w:tcPr>
          <w:p w14:paraId="1CEF3738">
            <w:pPr>
              <w:keepNext w:val="0"/>
              <w:keepLines w:val="0"/>
              <w:pageBreakBefore w:val="0"/>
              <w:widowControl/>
              <w:kinsoku/>
              <w:wordWrap/>
              <w:overflowPunct/>
              <w:topLinePunct w:val="0"/>
              <w:autoSpaceDE/>
              <w:autoSpaceDN/>
              <w:bidi w:val="0"/>
              <w:adjustRightInd/>
              <w:snapToGrid/>
              <w:ind w:left="0"/>
              <w:jc w:val="center"/>
              <w:textAlignment w:val="center"/>
              <w:rPr>
                <w:rFonts w:hint="eastAsia" w:ascii="楷体" w:hAnsi="楷体" w:eastAsia="楷体" w:cs="楷体"/>
                <w:color w:val="auto"/>
                <w:kern w:val="0"/>
                <w:sz w:val="18"/>
                <w:szCs w:val="18"/>
                <w:lang w:val="en-US" w:eastAsia="zh-CN" w:bidi="ar"/>
              </w:rPr>
            </w:pPr>
            <w:r>
              <w:rPr>
                <w:rFonts w:hint="eastAsia" w:ascii="楷体" w:hAnsi="楷体" w:eastAsia="楷体" w:cs="楷体"/>
                <w:color w:val="auto"/>
                <w:kern w:val="0"/>
                <w:sz w:val="18"/>
                <w:szCs w:val="18"/>
                <w:lang w:val="en-US" w:eastAsia="zh-CN" w:bidi="ar"/>
              </w:rPr>
              <w:t>550元</w:t>
            </w:r>
          </w:p>
        </w:tc>
      </w:tr>
    </w:tbl>
    <w:p w14:paraId="2BA79453">
      <w:pPr>
        <w:pStyle w:val="11"/>
        <w:shd w:val="clear"/>
        <w:spacing w:line="360" w:lineRule="auto"/>
        <w:ind w:firstLine="422" w:firstLineChars="200"/>
        <w:rPr>
          <w:rFonts w:hint="eastAsia" w:ascii="楷体" w:hAnsi="楷体" w:eastAsia="楷体" w:cs="楷体"/>
          <w:b/>
          <w:bCs/>
          <w:color w:val="auto"/>
          <w:kern w:val="2"/>
          <w:sz w:val="21"/>
          <w:szCs w:val="21"/>
          <w:highlight w:val="none"/>
          <w:lang w:val="en-US" w:eastAsia="zh-CN"/>
        </w:rPr>
      </w:pPr>
      <w:bookmarkStart w:id="182" w:name="_Hlk111479701"/>
      <w:r>
        <w:rPr>
          <w:rFonts w:hint="eastAsia" w:ascii="楷体" w:hAnsi="楷体" w:eastAsia="楷体" w:cs="楷体"/>
          <w:b/>
          <w:bCs/>
          <w:color w:val="auto"/>
          <w:kern w:val="2"/>
          <w:sz w:val="21"/>
          <w:szCs w:val="21"/>
          <w:highlight w:val="none"/>
          <w:lang w:val="en-US" w:eastAsia="zh-CN"/>
        </w:rPr>
        <w:t>备注：（1）具体数量以实际采购量为准，结算时以实际采购量进行结算，合同结算总价为。（2）本章各项技术参数规格和性能要求如出现引用某一特定的专利技术、商标、名称、设计、原产地或供应者等情况，则仅起参考作用。投标人可选用实质上“相当于”或“优于”该参考技术规格要求的产品投标。投标人本次报价不得出现不平衡报价或不得低于成本报价，若出现不平衡报价或低成本报价，投标人产生的风险须自行承担。</w:t>
      </w:r>
    </w:p>
    <w:p w14:paraId="3DC4126D">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2、质量要求</w:t>
      </w:r>
    </w:p>
    <w:p w14:paraId="31D35A49">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符合现行国家有关验收规范和标准，满足采购人要求。</w:t>
      </w:r>
    </w:p>
    <w:p w14:paraId="2B50FF9D">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3、交货要求及运输方式</w:t>
      </w:r>
    </w:p>
    <w:p w14:paraId="52A8F053">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（1）按协议要求的品种、规格、数量、时间和地点送货，中标供应商需固定配送车辆及驾驶人员。</w:t>
      </w:r>
    </w:p>
    <w:p w14:paraId="6729839B">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（2）中标供应商按甲方要求，按质按量供应。</w:t>
      </w:r>
    </w:p>
    <w:p w14:paraId="6D366060">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（3）中标供应商供应的物品质量、数量不符时，甲方可拒收，中标供应商应无条件换货，由此造成的损失，由中标供应商承担全部责任。</w:t>
      </w:r>
    </w:p>
    <w:p w14:paraId="32778F73">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（4）在供货过程中，若中标供应商以各种理由进行推诿造成供货不及时的，将扣除当次应供货金额的30%作为处罚；出现三次及以上，采购人有权终止合同。</w:t>
      </w:r>
    </w:p>
    <w:p w14:paraId="0BAE43F4">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（5）若供应周期内出现质检不合格或数量严重短缺的情况，采购人有权选择其他供应商进行补足配送，所产生的费用和损失由乙方负责。</w:t>
      </w:r>
    </w:p>
    <w:p w14:paraId="4473D68A">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4、安全责任方面的要求</w:t>
      </w:r>
    </w:p>
    <w:p w14:paraId="1661382C">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（1）投标人在配送货物过程中发生的所有安全事故，均由供货商负全部责任。</w:t>
      </w:r>
    </w:p>
    <w:p w14:paraId="64A3F7FA">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（2）中标供应商应依法为本项目提供服务的工作人员缴纳社会保险或购买相应的商业保险，如有工作人员遭受工伤、其他任何人身意外和突发疾病，采购人均不承担任何责任。</w:t>
      </w:r>
    </w:p>
    <w:p w14:paraId="1316A03F">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★（四）采购标的的数量、采购项目交付或者实施的时间和地点：</w:t>
      </w:r>
    </w:p>
    <w:p w14:paraId="5778F3F5">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1、采购标的数量：1批。</w:t>
      </w:r>
    </w:p>
    <w:p w14:paraId="289ABD4D">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2、供货期限：合同签订后20天内完成供货。</w:t>
      </w:r>
    </w:p>
    <w:p w14:paraId="1E92DE1D">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3、交货地点：昆明市官渡区人民法院（采购人指定地点）。</w:t>
      </w:r>
    </w:p>
    <w:p w14:paraId="6EE02729">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★（五）采购标的需满足的服务标准、期限、效率等要求：</w:t>
      </w:r>
    </w:p>
    <w:p w14:paraId="20C290C7">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1、采购标的需满足的服务标准：</w:t>
      </w:r>
    </w:p>
    <w:p w14:paraId="236E9204">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（1）采购单位按需求提供订单和供货时间，投标人按时按量完成供货。</w:t>
      </w:r>
    </w:p>
    <w:p w14:paraId="688545DD">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（2）供应商认真审查供货渠道和货源，确保所供货物质量安全、无不符合国家标准的原材料。</w:t>
      </w:r>
    </w:p>
    <w:p w14:paraId="1340BCCB">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2、采购标的需满足的服务效率：</w:t>
      </w:r>
    </w:p>
    <w:p w14:paraId="0B971D3F">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（1）交货时间：合同签订后20天内完成供货。若遇特殊情况（堵车、交通事故、配送员突发疾病等不可预见的突发因素），供应商需及时告知采购人，并及时采取应急预案及补救措施。</w:t>
      </w:r>
    </w:p>
    <w:p w14:paraId="2F125848">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（2）应急配送时间要求：如采购人有特殊需求临时要求配送的，必须在收到采购人配送菜单后1小时内送到。</w:t>
      </w:r>
    </w:p>
    <w:p w14:paraId="0CDC1C57">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（3）具有完整的配送及售后服务体系，接到采购方更换货物或临时增加供货需求通知，1小时以内予以解决。</w:t>
      </w:r>
    </w:p>
    <w:p w14:paraId="0E0A9AFE">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（4）中标供应商应建立定期与采购单位进行回访、沟通的机制。</w:t>
      </w:r>
    </w:p>
    <w:p w14:paraId="3E7D09A7">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★（六）采购标的的验收标准：</w:t>
      </w:r>
    </w:p>
    <w:p w14:paraId="79688ADB">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1、供应商每次送货至采购人指定地点后由采购人对货物品种、数量、质量进行验收，验收合格后须经双方签字确认。如验收不合格，属于质量问题的供应商应无条件更换合格产品，属于品种、数量问题的供应商应无条件更换补足，并且应当在30分钟内完成。</w:t>
      </w:r>
    </w:p>
    <w:p w14:paraId="308AB249">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2、验收标准根据合同、招标文件和投标文件。</w:t>
      </w:r>
    </w:p>
    <w:p w14:paraId="4C89EF02">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★（七）采购标的的其他技术、服务等要求：</w:t>
      </w:r>
    </w:p>
    <w:p w14:paraId="7A24E5D8">
      <w:pPr>
        <w:pStyle w:val="11"/>
        <w:shd w:val="clear"/>
        <w:spacing w:line="360" w:lineRule="auto"/>
        <w:ind w:firstLine="420" w:firstLineChars="200"/>
        <w:rPr>
          <w:rFonts w:hint="eastAsia" w:ascii="楷体" w:hAnsi="楷体" w:eastAsia="楷体" w:cs="楷体"/>
          <w:b w:val="0"/>
          <w:bCs w:val="0"/>
          <w:color w:val="auto"/>
          <w:kern w:val="2"/>
          <w:sz w:val="21"/>
          <w:szCs w:val="21"/>
          <w:highlight w:val="none"/>
          <w:lang w:val="en-US" w:eastAsia="zh-CN"/>
        </w:rPr>
      </w:pPr>
      <w:r>
        <w:rPr>
          <w:rFonts w:hint="eastAsia" w:ascii="楷体" w:hAnsi="楷体" w:eastAsia="楷体" w:cs="楷体"/>
          <w:b w:val="0"/>
          <w:bCs w:val="0"/>
          <w:color w:val="auto"/>
          <w:kern w:val="2"/>
          <w:sz w:val="21"/>
          <w:szCs w:val="21"/>
          <w:highlight w:val="none"/>
          <w:lang w:val="en-US" w:eastAsia="zh-CN"/>
        </w:rPr>
        <w:t>1.竞标要求：（1）采购人认为供应商的报价明显低于其他通过资格审查及符合性审查供应商的报价，有可能影响产品质量或者不能诚信履约的，应当要求其在合理的时间内提供书面说明，必要时提交相关证明材料。注：供应商不能证明其报价合理性的，评标委员会应当将其作为无效报价处理。</w:t>
      </w:r>
    </w:p>
    <w:p w14:paraId="086B6BDB">
      <w:pPr>
        <w:pStyle w:val="11"/>
        <w:shd w:val="clear"/>
        <w:spacing w:line="360" w:lineRule="auto"/>
        <w:ind w:firstLine="420" w:firstLineChars="200"/>
        <w:rPr>
          <w:rFonts w:hint="eastAsia" w:ascii="楷体" w:hAnsi="楷体" w:eastAsia="楷体" w:cs="楷体"/>
          <w:b w:val="0"/>
          <w:bCs w:val="0"/>
          <w:color w:val="auto"/>
          <w:kern w:val="2"/>
          <w:sz w:val="24"/>
          <w:szCs w:val="24"/>
          <w:highlight w:val="none"/>
          <w:lang w:val="en-US" w:eastAsia="zh-CN"/>
        </w:rPr>
      </w:pPr>
      <w:r>
        <w:rPr>
          <w:rFonts w:hint="eastAsia" w:ascii="楷体" w:hAnsi="楷体" w:eastAsia="楷体" w:cs="楷体"/>
          <w:b w:val="0"/>
          <w:bCs w:val="0"/>
          <w:color w:val="auto"/>
          <w:kern w:val="2"/>
          <w:sz w:val="21"/>
          <w:szCs w:val="21"/>
          <w:highlight w:val="none"/>
          <w:lang w:val="en-US" w:eastAsia="zh-CN"/>
        </w:rPr>
        <w:t>（2）投标报价以采购品目进行单价报价（所有单价报价不得超过第五章采购需求中给出的单价限价，超过单价限价的作废标处理），在价格评审时以单价报价的合价进行评审。供应商在填写分项报价表时根据自身情况（含税金等进行报价）不得出现恶意竞争的情况（如哄抬报价或低于市场报价或低于成本价的报价）在评审时评标委员会将对所有分项报价进行清标，对于有恶意的报价评标委员会将要求供应商在规定的时间内作出相关报价的情况说明，必要时提供相应证明材料，供应商不能按时作出相关报价说明的作无效报价按废标处理。</w:t>
      </w:r>
    </w:p>
    <w:p w14:paraId="15BB4DF1">
      <w:pPr>
        <w:shd w:val="clear"/>
        <w:rPr>
          <w:rFonts w:hint="eastAsia" w:ascii="楷体" w:hAnsi="楷体" w:eastAsia="楷体" w:cs="楷体"/>
          <w:b/>
          <w:bCs/>
          <w:color w:val="auto"/>
          <w:kern w:val="2"/>
          <w:sz w:val="24"/>
          <w:szCs w:val="24"/>
          <w:highlight w:val="none"/>
          <w:lang w:val="en-US" w:eastAsia="zh-CN"/>
        </w:rPr>
        <w:sectPr>
          <w:headerReference r:id="rId10" w:type="default"/>
          <w:footerReference r:id="rId11" w:type="default"/>
          <w:pgSz w:w="11906" w:h="16838"/>
          <w:pgMar w:top="1134" w:right="1134" w:bottom="1134" w:left="1134" w:header="680" w:footer="680" w:gutter="0"/>
          <w:pgNumType w:fmt="decimal"/>
          <w:cols w:space="0" w:num="1"/>
          <w:rtlGutter w:val="0"/>
          <w:docGrid w:linePitch="312" w:charSpace="0"/>
        </w:sectPr>
      </w:pPr>
      <w:r>
        <w:rPr>
          <w:rFonts w:hint="eastAsia" w:ascii="楷体" w:hAnsi="楷体" w:eastAsia="楷体" w:cs="楷体"/>
          <w:b/>
          <w:bCs/>
          <w:color w:val="auto"/>
          <w:kern w:val="2"/>
          <w:sz w:val="24"/>
          <w:szCs w:val="24"/>
          <w:highlight w:val="none"/>
          <w:lang w:val="en-US" w:eastAsia="zh-CN"/>
        </w:rPr>
        <w:br w:type="page"/>
      </w:r>
    </w:p>
    <w:p w14:paraId="6A051530">
      <w:pPr>
        <w:pStyle w:val="2"/>
        <w:keepNext w:val="0"/>
        <w:keepLines w:val="0"/>
        <w:pageBreakBefore w:val="0"/>
        <w:widowControl w:val="0"/>
        <w:shd w:val="clear"/>
        <w:kinsoku/>
        <w:wordWrap/>
        <w:overflowPunct/>
        <w:topLinePunct w:val="0"/>
        <w:autoSpaceDE/>
        <w:autoSpaceDN/>
        <w:bidi w:val="0"/>
        <w:adjustRightInd/>
        <w:snapToGrid/>
        <w:textAlignment w:val="auto"/>
        <w:outlineLvl w:val="9"/>
        <w:rPr>
          <w:rFonts w:hint="eastAsia" w:ascii="楷体" w:hAnsi="楷体" w:eastAsia="楷体" w:cs="楷体"/>
          <w:color w:val="auto"/>
          <w:highlight w:val="none"/>
          <w:lang w:val="en-US" w:eastAsia="zh-CN"/>
        </w:rPr>
      </w:pPr>
    </w:p>
    <w:bookmarkEnd w:id="182"/>
    <w:p w14:paraId="20843767">
      <w:pPr>
        <w:pStyle w:val="4"/>
        <w:numPr>
          <w:ilvl w:val="0"/>
          <w:numId w:val="0"/>
        </w:numPr>
        <w:shd w:val="clear"/>
        <w:spacing w:before="0" w:line="360" w:lineRule="auto"/>
        <w:jc w:val="center"/>
        <w:rPr>
          <w:rFonts w:hint="eastAsia" w:ascii="楷体" w:hAnsi="楷体" w:eastAsia="楷体" w:cs="楷体"/>
          <w:color w:val="auto"/>
          <w:sz w:val="36"/>
          <w:highlight w:val="none"/>
        </w:rPr>
      </w:pPr>
      <w:bookmarkStart w:id="183" w:name="_Toc8125"/>
      <w:bookmarkStart w:id="184" w:name="_Toc22506"/>
      <w:bookmarkStart w:id="185" w:name="_Toc250531122"/>
      <w:bookmarkStart w:id="186" w:name="_Toc7546"/>
      <w:bookmarkStart w:id="187" w:name="_Toc156"/>
      <w:bookmarkStart w:id="188" w:name="_Toc250531123"/>
      <w:r>
        <w:rPr>
          <w:rFonts w:hint="eastAsia" w:ascii="楷体" w:hAnsi="楷体" w:eastAsia="楷体" w:cs="楷体"/>
          <w:color w:val="auto"/>
          <w:sz w:val="36"/>
          <w:highlight w:val="none"/>
        </w:rPr>
        <w:t>第六章 评标方法（</w:t>
      </w:r>
      <w:r>
        <w:rPr>
          <w:rFonts w:hint="eastAsia" w:ascii="楷体" w:hAnsi="楷体" w:eastAsia="楷体" w:cs="楷体"/>
          <w:color w:val="auto"/>
          <w:sz w:val="36"/>
          <w:highlight w:val="none"/>
          <w:lang w:val="en-US" w:eastAsia="zh-CN"/>
        </w:rPr>
        <w:t>综合评分法</w:t>
      </w:r>
      <w:r>
        <w:rPr>
          <w:rFonts w:hint="eastAsia" w:ascii="楷体" w:hAnsi="楷体" w:eastAsia="楷体" w:cs="楷体"/>
          <w:color w:val="auto"/>
          <w:sz w:val="36"/>
          <w:highlight w:val="none"/>
        </w:rPr>
        <w:t>）</w:t>
      </w:r>
      <w:bookmarkEnd w:id="183"/>
      <w:bookmarkEnd w:id="184"/>
      <w:bookmarkEnd w:id="185"/>
      <w:bookmarkEnd w:id="186"/>
      <w:bookmarkEnd w:id="187"/>
    </w:p>
    <w:bookmarkEnd w:id="188"/>
    <w:p w14:paraId="35FB22C4">
      <w:pPr>
        <w:pStyle w:val="5"/>
        <w:numPr>
          <w:ilvl w:val="1"/>
          <w:numId w:val="0"/>
        </w:numPr>
        <w:shd w:val="clear"/>
        <w:spacing w:before="0" w:after="120" w:afterLines="50" w:line="360" w:lineRule="auto"/>
        <w:jc w:val="center"/>
        <w:rPr>
          <w:rFonts w:hint="eastAsia" w:ascii="楷体" w:hAnsi="楷体" w:eastAsia="楷体" w:cs="楷体"/>
          <w:b/>
          <w:bCs/>
          <w:color w:val="auto"/>
          <w:sz w:val="22"/>
          <w:szCs w:val="16"/>
          <w:highlight w:val="none"/>
        </w:rPr>
      </w:pPr>
      <w:bookmarkStart w:id="189" w:name="_Toc9657"/>
      <w:bookmarkStart w:id="190" w:name="_Toc6315"/>
      <w:bookmarkStart w:id="191" w:name="_Toc6862"/>
      <w:bookmarkStart w:id="192" w:name="_Toc12415"/>
      <w:bookmarkStart w:id="193" w:name="_Toc22813270"/>
      <w:bookmarkStart w:id="194" w:name="_Toc509407384"/>
      <w:r>
        <w:rPr>
          <w:rFonts w:hint="eastAsia" w:ascii="楷体" w:hAnsi="楷体" w:eastAsia="楷体" w:cs="楷体"/>
          <w:b/>
          <w:bCs/>
          <w:color w:val="auto"/>
          <w:sz w:val="24"/>
          <w:szCs w:val="24"/>
          <w:highlight w:val="none"/>
        </w:rPr>
        <w:t>评标办法前附表</w:t>
      </w:r>
      <w:bookmarkEnd w:id="189"/>
      <w:bookmarkEnd w:id="190"/>
      <w:bookmarkEnd w:id="191"/>
      <w:bookmarkEnd w:id="192"/>
      <w:bookmarkEnd w:id="193"/>
      <w:bookmarkEnd w:id="194"/>
    </w:p>
    <w:tbl>
      <w:tblPr>
        <w:tblStyle w:val="19"/>
        <w:tblW w:w="9545"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760"/>
        <w:gridCol w:w="657"/>
        <w:gridCol w:w="2181"/>
        <w:gridCol w:w="5947"/>
      </w:tblGrid>
      <w:tr w14:paraId="18AC126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91" w:hRule="atLeast"/>
          <w:tblHeader/>
          <w:jc w:val="center"/>
        </w:trPr>
        <w:tc>
          <w:tcPr>
            <w:tcW w:w="760" w:type="dxa"/>
            <w:vAlign w:val="center"/>
          </w:tcPr>
          <w:p w14:paraId="18C7F144">
            <w:pPr>
              <w:shd w:val="clear"/>
              <w:jc w:val="center"/>
              <w:rPr>
                <w:rFonts w:hint="eastAsia" w:ascii="楷体" w:hAnsi="楷体" w:eastAsia="楷体" w:cs="楷体"/>
                <w:b/>
                <w:color w:val="auto"/>
                <w:sz w:val="21"/>
                <w:szCs w:val="21"/>
                <w:highlight w:val="none"/>
              </w:rPr>
            </w:pPr>
            <w:r>
              <w:rPr>
                <w:rFonts w:hint="eastAsia" w:ascii="楷体" w:hAnsi="楷体" w:eastAsia="楷体" w:cs="楷体"/>
                <w:b/>
                <w:color w:val="auto"/>
                <w:sz w:val="21"/>
                <w:szCs w:val="21"/>
                <w:highlight w:val="none"/>
              </w:rPr>
              <w:t>条款号</w:t>
            </w:r>
          </w:p>
        </w:tc>
        <w:tc>
          <w:tcPr>
            <w:tcW w:w="2838" w:type="dxa"/>
            <w:gridSpan w:val="2"/>
            <w:vAlign w:val="center"/>
          </w:tcPr>
          <w:p w14:paraId="338EFE4E">
            <w:pPr>
              <w:shd w:val="clear"/>
              <w:jc w:val="center"/>
              <w:rPr>
                <w:rFonts w:hint="eastAsia" w:ascii="楷体" w:hAnsi="楷体" w:eastAsia="楷体" w:cs="楷体"/>
                <w:b/>
                <w:color w:val="auto"/>
                <w:sz w:val="21"/>
                <w:szCs w:val="21"/>
                <w:highlight w:val="none"/>
              </w:rPr>
            </w:pPr>
            <w:r>
              <w:rPr>
                <w:rFonts w:hint="eastAsia" w:ascii="楷体" w:hAnsi="楷体" w:eastAsia="楷体" w:cs="楷体"/>
                <w:b/>
                <w:color w:val="auto"/>
                <w:sz w:val="21"/>
                <w:szCs w:val="21"/>
                <w:highlight w:val="none"/>
              </w:rPr>
              <w:t>评 审 因 素</w:t>
            </w:r>
          </w:p>
        </w:tc>
        <w:tc>
          <w:tcPr>
            <w:tcW w:w="5947" w:type="dxa"/>
            <w:vAlign w:val="center"/>
          </w:tcPr>
          <w:p w14:paraId="77A701E6">
            <w:pPr>
              <w:shd w:val="clear"/>
              <w:jc w:val="center"/>
              <w:rPr>
                <w:rFonts w:hint="eastAsia" w:ascii="楷体" w:hAnsi="楷体" w:eastAsia="楷体" w:cs="楷体"/>
                <w:b/>
                <w:color w:val="auto"/>
                <w:sz w:val="21"/>
                <w:szCs w:val="21"/>
                <w:highlight w:val="none"/>
              </w:rPr>
            </w:pPr>
            <w:r>
              <w:rPr>
                <w:rFonts w:hint="eastAsia" w:ascii="楷体" w:hAnsi="楷体" w:eastAsia="楷体" w:cs="楷体"/>
                <w:b/>
                <w:color w:val="auto"/>
                <w:sz w:val="21"/>
                <w:szCs w:val="21"/>
                <w:highlight w:val="none"/>
              </w:rPr>
              <w:t>评 审 标 准</w:t>
            </w:r>
          </w:p>
        </w:tc>
      </w:tr>
      <w:tr w14:paraId="2D1122A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64" w:hRule="atLeast"/>
          <w:jc w:val="center"/>
        </w:trPr>
        <w:tc>
          <w:tcPr>
            <w:tcW w:w="760" w:type="dxa"/>
            <w:vMerge w:val="restart"/>
            <w:vAlign w:val="center"/>
          </w:tcPr>
          <w:p w14:paraId="2DB48279">
            <w:pPr>
              <w:shd w:val="clear"/>
              <w:jc w:val="center"/>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2.1.1</w:t>
            </w:r>
          </w:p>
        </w:tc>
        <w:tc>
          <w:tcPr>
            <w:tcW w:w="657" w:type="dxa"/>
            <w:vMerge w:val="restart"/>
            <w:vAlign w:val="center"/>
          </w:tcPr>
          <w:p w14:paraId="662CB2B9">
            <w:pPr>
              <w:shd w:val="clear"/>
              <w:jc w:val="center"/>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资格评审</w:t>
            </w:r>
          </w:p>
          <w:p w14:paraId="35D6F042">
            <w:pPr>
              <w:shd w:val="clear"/>
              <w:jc w:val="both"/>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标准</w:t>
            </w:r>
          </w:p>
        </w:tc>
        <w:tc>
          <w:tcPr>
            <w:tcW w:w="2181" w:type="dxa"/>
            <w:vAlign w:val="center"/>
          </w:tcPr>
          <w:p w14:paraId="05C1881C">
            <w:pPr>
              <w:shd w:val="clear"/>
              <w:jc w:val="lef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具有独立承担民事责任的能力</w:t>
            </w:r>
          </w:p>
        </w:tc>
        <w:tc>
          <w:tcPr>
            <w:tcW w:w="5947" w:type="dxa"/>
            <w:vAlign w:val="center"/>
          </w:tcPr>
          <w:p w14:paraId="75C483D7">
            <w:pPr>
              <w:shd w:val="clear"/>
              <w:spacing w:line="320" w:lineRule="exact"/>
              <w:jc w:val="left"/>
              <w:rPr>
                <w:rFonts w:hint="eastAsia" w:ascii="楷体" w:hAnsi="楷体" w:eastAsia="楷体" w:cs="楷体"/>
                <w:bCs/>
                <w:color w:val="auto"/>
                <w:sz w:val="21"/>
                <w:szCs w:val="21"/>
                <w:highlight w:val="none"/>
              </w:rPr>
            </w:pPr>
            <w:r>
              <w:rPr>
                <w:rFonts w:hint="eastAsia" w:ascii="楷体" w:hAnsi="楷体" w:eastAsia="楷体" w:cs="楷体"/>
                <w:bCs/>
                <w:color w:val="auto"/>
                <w:sz w:val="21"/>
                <w:szCs w:val="21"/>
                <w:highlight w:val="none"/>
              </w:rPr>
              <w:t>提供法人或者非法人组织的营业执照或其他法定凭证等证明文件</w:t>
            </w:r>
          </w:p>
        </w:tc>
      </w:tr>
      <w:tr w14:paraId="4DBBEBE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64" w:hRule="atLeast"/>
          <w:jc w:val="center"/>
        </w:trPr>
        <w:tc>
          <w:tcPr>
            <w:tcW w:w="760" w:type="dxa"/>
            <w:vMerge w:val="continue"/>
            <w:vAlign w:val="center"/>
          </w:tcPr>
          <w:p w14:paraId="775ED5E0">
            <w:pPr>
              <w:shd w:val="clear"/>
              <w:jc w:val="center"/>
              <w:rPr>
                <w:rFonts w:hint="eastAsia" w:ascii="楷体" w:hAnsi="楷体" w:eastAsia="楷体" w:cs="楷体"/>
                <w:color w:val="auto"/>
                <w:sz w:val="21"/>
                <w:szCs w:val="21"/>
                <w:highlight w:val="none"/>
              </w:rPr>
            </w:pPr>
          </w:p>
        </w:tc>
        <w:tc>
          <w:tcPr>
            <w:tcW w:w="657" w:type="dxa"/>
            <w:vMerge w:val="continue"/>
            <w:vAlign w:val="center"/>
          </w:tcPr>
          <w:p w14:paraId="65BF6422">
            <w:pPr>
              <w:shd w:val="clear"/>
              <w:jc w:val="center"/>
              <w:rPr>
                <w:rFonts w:hint="eastAsia" w:ascii="楷体" w:hAnsi="楷体" w:eastAsia="楷体" w:cs="楷体"/>
                <w:color w:val="auto"/>
                <w:sz w:val="21"/>
                <w:szCs w:val="21"/>
                <w:highlight w:val="none"/>
              </w:rPr>
            </w:pPr>
          </w:p>
        </w:tc>
        <w:tc>
          <w:tcPr>
            <w:tcW w:w="2181" w:type="dxa"/>
            <w:vAlign w:val="center"/>
          </w:tcPr>
          <w:p w14:paraId="7CD3CC70">
            <w:pPr>
              <w:shd w:val="clear"/>
              <w:jc w:val="lef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具有良好的商业信誉（提供声明书）和健全的财务会计制度</w:t>
            </w:r>
          </w:p>
        </w:tc>
        <w:tc>
          <w:tcPr>
            <w:tcW w:w="5947" w:type="dxa"/>
            <w:vAlign w:val="center"/>
          </w:tcPr>
          <w:p w14:paraId="3CAF32E9">
            <w:pPr>
              <w:shd w:val="clear"/>
              <w:jc w:val="lef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提供2022年的财务报告及报表（复印件加盖公章），供应商成立时间不足一年的，可提供自投标文件提交截止时间前三个月内开户银行出具的资信证明或资金存款证明（复印件加盖公章），新成立的公司可提供成立至今的开户银行出具的资信证明或资金存款证明（复印件加盖公章）。</w:t>
            </w:r>
          </w:p>
        </w:tc>
      </w:tr>
      <w:tr w14:paraId="533AF32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64" w:hRule="atLeast"/>
          <w:jc w:val="center"/>
        </w:trPr>
        <w:tc>
          <w:tcPr>
            <w:tcW w:w="760" w:type="dxa"/>
            <w:vMerge w:val="continue"/>
            <w:vAlign w:val="center"/>
          </w:tcPr>
          <w:p w14:paraId="3FB62F95">
            <w:pPr>
              <w:shd w:val="clear"/>
              <w:jc w:val="center"/>
              <w:rPr>
                <w:rFonts w:hint="eastAsia" w:ascii="楷体" w:hAnsi="楷体" w:eastAsia="楷体" w:cs="楷体"/>
                <w:color w:val="auto"/>
                <w:sz w:val="21"/>
                <w:szCs w:val="21"/>
                <w:highlight w:val="none"/>
              </w:rPr>
            </w:pPr>
          </w:p>
        </w:tc>
        <w:tc>
          <w:tcPr>
            <w:tcW w:w="657" w:type="dxa"/>
            <w:vMerge w:val="continue"/>
            <w:vAlign w:val="center"/>
          </w:tcPr>
          <w:p w14:paraId="219C6A21">
            <w:pPr>
              <w:shd w:val="clear"/>
              <w:jc w:val="center"/>
              <w:rPr>
                <w:rFonts w:hint="eastAsia" w:ascii="楷体" w:hAnsi="楷体" w:eastAsia="楷体" w:cs="楷体"/>
                <w:color w:val="auto"/>
                <w:sz w:val="21"/>
                <w:szCs w:val="21"/>
                <w:highlight w:val="none"/>
              </w:rPr>
            </w:pPr>
          </w:p>
        </w:tc>
        <w:tc>
          <w:tcPr>
            <w:tcW w:w="2181" w:type="dxa"/>
            <w:vAlign w:val="center"/>
          </w:tcPr>
          <w:p w14:paraId="11EC8EE3">
            <w:pPr>
              <w:shd w:val="clear"/>
              <w:jc w:val="lef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具有履行合同所必需的设备和专业技术能力</w:t>
            </w:r>
          </w:p>
        </w:tc>
        <w:tc>
          <w:tcPr>
            <w:tcW w:w="5947" w:type="dxa"/>
            <w:vAlign w:val="center"/>
          </w:tcPr>
          <w:p w14:paraId="776C1316">
            <w:pPr>
              <w:shd w:val="clear"/>
              <w:jc w:val="lef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提供书面声明</w:t>
            </w:r>
          </w:p>
        </w:tc>
      </w:tr>
      <w:tr w14:paraId="63AD81C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32" w:hRule="atLeast"/>
          <w:jc w:val="center"/>
        </w:trPr>
        <w:tc>
          <w:tcPr>
            <w:tcW w:w="760" w:type="dxa"/>
            <w:vMerge w:val="continue"/>
            <w:vAlign w:val="center"/>
          </w:tcPr>
          <w:p w14:paraId="1860FB70">
            <w:pPr>
              <w:shd w:val="clear"/>
              <w:jc w:val="center"/>
              <w:rPr>
                <w:rFonts w:hint="eastAsia" w:ascii="楷体" w:hAnsi="楷体" w:eastAsia="楷体" w:cs="楷体"/>
                <w:color w:val="auto"/>
                <w:sz w:val="21"/>
                <w:szCs w:val="21"/>
                <w:highlight w:val="none"/>
              </w:rPr>
            </w:pPr>
          </w:p>
        </w:tc>
        <w:tc>
          <w:tcPr>
            <w:tcW w:w="657" w:type="dxa"/>
            <w:vMerge w:val="continue"/>
            <w:vAlign w:val="center"/>
          </w:tcPr>
          <w:p w14:paraId="7C622895">
            <w:pPr>
              <w:shd w:val="clear"/>
              <w:jc w:val="center"/>
              <w:rPr>
                <w:rFonts w:hint="eastAsia" w:ascii="楷体" w:hAnsi="楷体" w:eastAsia="楷体" w:cs="楷体"/>
                <w:color w:val="auto"/>
                <w:sz w:val="21"/>
                <w:szCs w:val="21"/>
                <w:highlight w:val="none"/>
              </w:rPr>
            </w:pPr>
          </w:p>
        </w:tc>
        <w:tc>
          <w:tcPr>
            <w:tcW w:w="2181" w:type="dxa"/>
            <w:vAlign w:val="center"/>
          </w:tcPr>
          <w:p w14:paraId="06CB228A">
            <w:pPr>
              <w:shd w:val="clear"/>
              <w:jc w:val="lef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有依法缴纳税收和社会保障资金的良好记录</w:t>
            </w:r>
          </w:p>
        </w:tc>
        <w:tc>
          <w:tcPr>
            <w:tcW w:w="5947" w:type="dxa"/>
            <w:vAlign w:val="center"/>
          </w:tcPr>
          <w:p w14:paraId="1AB29FD2">
            <w:pPr>
              <w:shd w:val="clear"/>
              <w:jc w:val="lef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①提供缴税所属时间在2024年1月至本项目投标文件提交截止时间前任意3个月的税务局税收通用缴款书或银行电子缴税（费）凭证或税务局出具纳税情况的相关证明，依法免税的，应提供依法免税的相关证明文件；若为新成立的公司，提供情况说明。②提供缴费所属时间在2024年1月至本项目投标文件提交截止时间前任意3个月的社会保险费缴款书或银行电子缴税（费）凭证或社保管理部门出具的有效的缴款证明，依法免缴的，应提供依法免缴的相关证明文件）。若为新成立的公司，提供情况说明</w:t>
            </w:r>
          </w:p>
        </w:tc>
      </w:tr>
      <w:tr w14:paraId="649C99E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32" w:hRule="atLeast"/>
          <w:jc w:val="center"/>
        </w:trPr>
        <w:tc>
          <w:tcPr>
            <w:tcW w:w="760" w:type="dxa"/>
            <w:vMerge w:val="continue"/>
            <w:vAlign w:val="center"/>
          </w:tcPr>
          <w:p w14:paraId="50B11382">
            <w:pPr>
              <w:shd w:val="clear"/>
              <w:jc w:val="center"/>
              <w:rPr>
                <w:rFonts w:hint="eastAsia" w:ascii="楷体" w:hAnsi="楷体" w:eastAsia="楷体" w:cs="楷体"/>
                <w:color w:val="auto"/>
                <w:sz w:val="21"/>
                <w:szCs w:val="21"/>
                <w:highlight w:val="none"/>
              </w:rPr>
            </w:pPr>
          </w:p>
        </w:tc>
        <w:tc>
          <w:tcPr>
            <w:tcW w:w="657" w:type="dxa"/>
            <w:vMerge w:val="continue"/>
            <w:vAlign w:val="center"/>
          </w:tcPr>
          <w:p w14:paraId="4DB56DBC">
            <w:pPr>
              <w:shd w:val="clear"/>
              <w:jc w:val="center"/>
              <w:rPr>
                <w:rFonts w:hint="eastAsia" w:ascii="楷体" w:hAnsi="楷体" w:eastAsia="楷体" w:cs="楷体"/>
                <w:color w:val="auto"/>
                <w:sz w:val="21"/>
                <w:szCs w:val="21"/>
                <w:highlight w:val="none"/>
              </w:rPr>
            </w:pPr>
          </w:p>
        </w:tc>
        <w:tc>
          <w:tcPr>
            <w:tcW w:w="2181" w:type="dxa"/>
            <w:vAlign w:val="center"/>
          </w:tcPr>
          <w:p w14:paraId="390995D6">
            <w:pPr>
              <w:shd w:val="clear"/>
              <w:jc w:val="lef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参加政府采购活动前三年内，在经营活动中没有重大违法记录</w:t>
            </w:r>
          </w:p>
        </w:tc>
        <w:tc>
          <w:tcPr>
            <w:tcW w:w="5947" w:type="dxa"/>
            <w:vAlign w:val="center"/>
          </w:tcPr>
          <w:p w14:paraId="6F7197BB">
            <w:pPr>
              <w:shd w:val="clear"/>
              <w:jc w:val="lef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提供书面声明</w:t>
            </w:r>
          </w:p>
        </w:tc>
      </w:tr>
      <w:tr w14:paraId="5FDDCAA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32" w:hRule="atLeast"/>
          <w:jc w:val="center"/>
        </w:trPr>
        <w:tc>
          <w:tcPr>
            <w:tcW w:w="760" w:type="dxa"/>
            <w:vMerge w:val="continue"/>
            <w:vAlign w:val="center"/>
          </w:tcPr>
          <w:p w14:paraId="0A1F60C7">
            <w:pPr>
              <w:shd w:val="clear"/>
              <w:jc w:val="center"/>
              <w:rPr>
                <w:rFonts w:hint="eastAsia" w:ascii="楷体" w:hAnsi="楷体" w:eastAsia="楷体" w:cs="楷体"/>
                <w:color w:val="auto"/>
                <w:sz w:val="21"/>
                <w:szCs w:val="21"/>
                <w:highlight w:val="none"/>
              </w:rPr>
            </w:pPr>
          </w:p>
        </w:tc>
        <w:tc>
          <w:tcPr>
            <w:tcW w:w="657" w:type="dxa"/>
            <w:vMerge w:val="continue"/>
            <w:vAlign w:val="center"/>
          </w:tcPr>
          <w:p w14:paraId="0B5CD108">
            <w:pPr>
              <w:shd w:val="clear"/>
              <w:jc w:val="center"/>
              <w:rPr>
                <w:rFonts w:hint="eastAsia" w:ascii="楷体" w:hAnsi="楷体" w:eastAsia="楷体" w:cs="楷体"/>
                <w:color w:val="auto"/>
                <w:sz w:val="21"/>
                <w:szCs w:val="21"/>
                <w:highlight w:val="none"/>
              </w:rPr>
            </w:pPr>
          </w:p>
        </w:tc>
        <w:tc>
          <w:tcPr>
            <w:tcW w:w="2181" w:type="dxa"/>
            <w:vAlign w:val="center"/>
          </w:tcPr>
          <w:p w14:paraId="2767EBE7">
            <w:pPr>
              <w:shd w:val="clear"/>
              <w:jc w:val="left"/>
              <w:rPr>
                <w:rFonts w:hint="eastAsia" w:ascii="楷体" w:hAnsi="楷体" w:eastAsia="楷体" w:cs="楷体"/>
                <w:color w:val="auto"/>
                <w:sz w:val="21"/>
                <w:szCs w:val="21"/>
                <w:highlight w:val="none"/>
              </w:rPr>
            </w:pPr>
            <w:r>
              <w:rPr>
                <w:rFonts w:hint="eastAsia" w:ascii="楷体" w:hAnsi="楷体" w:eastAsia="楷体" w:cs="楷体"/>
                <w:color w:val="auto"/>
                <w:kern w:val="0"/>
                <w:sz w:val="21"/>
                <w:szCs w:val="21"/>
                <w:highlight w:val="none"/>
              </w:rPr>
              <w:t>法律、行政法规规定的其他条件</w:t>
            </w:r>
          </w:p>
        </w:tc>
        <w:tc>
          <w:tcPr>
            <w:tcW w:w="5947" w:type="dxa"/>
            <w:vAlign w:val="center"/>
          </w:tcPr>
          <w:p w14:paraId="6F7DB6C5">
            <w:pPr>
              <w:shd w:val="clear"/>
              <w:jc w:val="left"/>
              <w:rPr>
                <w:rFonts w:hint="eastAsia" w:ascii="楷体" w:hAnsi="楷体" w:eastAsia="楷体" w:cs="楷体"/>
                <w:color w:val="auto"/>
                <w:kern w:val="0"/>
                <w:sz w:val="21"/>
                <w:szCs w:val="21"/>
                <w:highlight w:val="none"/>
              </w:rPr>
            </w:pPr>
            <w:r>
              <w:rPr>
                <w:rFonts w:hint="eastAsia" w:ascii="楷体" w:hAnsi="楷体" w:eastAsia="楷体" w:cs="楷体"/>
                <w:color w:val="auto"/>
                <w:kern w:val="0"/>
                <w:sz w:val="21"/>
                <w:szCs w:val="21"/>
                <w:highlight w:val="none"/>
              </w:rPr>
              <w:t>按照《财政部关于在政府采购活动中查询及使用信用记录有关问题的通知》(财库〔2016〕125号)的相关要求，采购人或采购代理机构在投标文件递交截止时间后将通过“信用中国（网址：www.creditchina.gov.cn)”、“中国政府采购网（网址：www.ccgp.gov.cn）”、“国家企业信用信息公示系统（网址：http://www.gsxt.gov.cn/index.html）查询供应商信用记录，供应商如被列入“信用中国”失信被执行人（或失信惩戒人）或重大税收违法案件当事人名单的，或被列入“国家企业信用信息公示系统”严重违法失信企业名单（黑名单），或被列入“中国政府采购网”政府采购严重违法失信行为信息记录（被禁止在一定期限内参加政府采购活动，但期限届满的除外）名单的，不得参与本次政府采购活动</w:t>
            </w:r>
          </w:p>
        </w:tc>
      </w:tr>
      <w:tr w14:paraId="2CA4A9A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32" w:hRule="atLeast"/>
          <w:jc w:val="center"/>
        </w:trPr>
        <w:tc>
          <w:tcPr>
            <w:tcW w:w="760" w:type="dxa"/>
            <w:vAlign w:val="center"/>
          </w:tcPr>
          <w:p w14:paraId="5C0F221D">
            <w:pPr>
              <w:shd w:val="clear"/>
              <w:jc w:val="center"/>
              <w:rPr>
                <w:rFonts w:hint="eastAsia"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2.1.2</w:t>
            </w:r>
          </w:p>
        </w:tc>
        <w:tc>
          <w:tcPr>
            <w:tcW w:w="8785" w:type="dxa"/>
            <w:gridSpan w:val="3"/>
            <w:vAlign w:val="center"/>
          </w:tcPr>
          <w:p w14:paraId="779D46B1">
            <w:pPr>
              <w:shd w:val="clear"/>
              <w:jc w:val="left"/>
              <w:rPr>
                <w:rFonts w:hint="eastAsia" w:ascii="楷体" w:hAnsi="楷体" w:eastAsia="楷体" w:cs="楷体"/>
                <w:color w:val="auto"/>
                <w:kern w:val="0"/>
                <w:sz w:val="21"/>
                <w:szCs w:val="21"/>
                <w:highlight w:val="none"/>
                <w:lang w:eastAsia="zh-CN"/>
              </w:rPr>
            </w:pPr>
            <w:r>
              <w:rPr>
                <w:rFonts w:hint="eastAsia" w:ascii="楷体" w:hAnsi="楷体" w:eastAsia="楷体" w:cs="楷体"/>
                <w:color w:val="auto"/>
                <w:kern w:val="0"/>
                <w:sz w:val="21"/>
                <w:szCs w:val="21"/>
                <w:highlight w:val="none"/>
              </w:rPr>
              <w:t>落实政府采购政策需满足的资格要求</w:t>
            </w:r>
            <w:r>
              <w:rPr>
                <w:rFonts w:hint="eastAsia" w:ascii="楷体" w:hAnsi="楷体" w:eastAsia="楷体" w:cs="楷体"/>
                <w:color w:val="auto"/>
                <w:kern w:val="0"/>
                <w:sz w:val="21"/>
                <w:szCs w:val="21"/>
                <w:highlight w:val="none"/>
                <w:lang w:eastAsia="zh-CN"/>
              </w:rPr>
              <w:t>：</w:t>
            </w:r>
          </w:p>
          <w:p w14:paraId="52DE84A4">
            <w:pPr>
              <w:numPr>
                <w:ilvl w:val="0"/>
                <w:numId w:val="0"/>
              </w:numPr>
              <w:shd w:val="clear"/>
              <w:jc w:val="left"/>
              <w:rPr>
                <w:rFonts w:hint="eastAsia" w:ascii="楷体" w:hAnsi="楷体" w:eastAsia="楷体" w:cs="楷体"/>
                <w:color w:val="auto"/>
                <w:kern w:val="0"/>
                <w:sz w:val="21"/>
                <w:szCs w:val="21"/>
                <w:highlight w:val="none"/>
              </w:rPr>
            </w:pPr>
            <w:r>
              <w:rPr>
                <w:rFonts w:hint="eastAsia" w:ascii="楷体" w:hAnsi="楷体" w:eastAsia="楷体" w:cs="楷体"/>
                <w:color w:val="auto"/>
                <w:kern w:val="0"/>
                <w:sz w:val="21"/>
                <w:szCs w:val="21"/>
                <w:highlight w:val="none"/>
                <w:lang w:eastAsia="zh-CN"/>
              </w:rPr>
              <w:t>（</w:t>
            </w:r>
            <w:r>
              <w:rPr>
                <w:rFonts w:hint="eastAsia" w:ascii="楷体" w:hAnsi="楷体" w:eastAsia="楷体" w:cs="楷体"/>
                <w:color w:val="auto"/>
                <w:kern w:val="0"/>
                <w:sz w:val="21"/>
                <w:szCs w:val="21"/>
                <w:highlight w:val="none"/>
                <w:lang w:val="en-US" w:eastAsia="zh-CN"/>
              </w:rPr>
              <w:t>1</w:t>
            </w:r>
            <w:r>
              <w:rPr>
                <w:rFonts w:hint="eastAsia" w:ascii="楷体" w:hAnsi="楷体" w:eastAsia="楷体" w:cs="楷体"/>
                <w:color w:val="auto"/>
                <w:kern w:val="0"/>
                <w:sz w:val="21"/>
                <w:szCs w:val="21"/>
                <w:highlight w:val="none"/>
                <w:lang w:eastAsia="zh-CN"/>
              </w:rPr>
              <w:t>）</w:t>
            </w:r>
            <w:r>
              <w:rPr>
                <w:rFonts w:hint="eastAsia" w:ascii="楷体" w:hAnsi="楷体" w:eastAsia="楷体" w:cs="楷体"/>
                <w:color w:val="auto"/>
                <w:kern w:val="0"/>
                <w:sz w:val="21"/>
                <w:szCs w:val="21"/>
                <w:highlight w:val="none"/>
              </w:rPr>
              <w:t>本项目非专门面向中小微企业采购；</w:t>
            </w:r>
          </w:p>
          <w:p w14:paraId="7301A203">
            <w:pPr>
              <w:numPr>
                <w:ilvl w:val="0"/>
                <w:numId w:val="0"/>
              </w:numPr>
              <w:shd w:val="clear"/>
              <w:jc w:val="left"/>
              <w:rPr>
                <w:rFonts w:hint="eastAsia" w:ascii="楷体" w:hAnsi="楷体" w:eastAsia="楷体" w:cs="楷体"/>
                <w:color w:val="auto"/>
                <w:kern w:val="0"/>
                <w:sz w:val="21"/>
                <w:szCs w:val="21"/>
                <w:highlight w:val="none"/>
              </w:rPr>
            </w:pPr>
            <w:r>
              <w:rPr>
                <w:rFonts w:hint="eastAsia" w:ascii="楷体" w:hAnsi="楷体" w:eastAsia="楷体" w:cs="楷体"/>
                <w:color w:val="auto"/>
                <w:kern w:val="0"/>
                <w:sz w:val="21"/>
                <w:szCs w:val="21"/>
                <w:highlight w:val="none"/>
              </w:rPr>
              <w:t>（2）本项目执行《关于进一步加大政府采购支持中小企业力度的通知（财库〔2022〕19号</w:t>
            </w:r>
            <w:r>
              <w:rPr>
                <w:rFonts w:hint="eastAsia" w:ascii="楷体" w:hAnsi="楷体" w:eastAsia="楷体" w:cs="楷体"/>
                <w:color w:val="auto"/>
                <w:kern w:val="0"/>
                <w:sz w:val="21"/>
                <w:szCs w:val="21"/>
                <w:highlight w:val="none"/>
                <w:lang w:eastAsia="zh-CN"/>
              </w:rPr>
              <w:t>）</w:t>
            </w:r>
            <w:r>
              <w:rPr>
                <w:rFonts w:hint="eastAsia" w:ascii="楷体" w:hAnsi="楷体" w:eastAsia="楷体" w:cs="楷体"/>
                <w:color w:val="auto"/>
                <w:kern w:val="0"/>
                <w:sz w:val="21"/>
                <w:szCs w:val="21"/>
                <w:highlight w:val="none"/>
              </w:rPr>
              <w:t>》、《三部门联合发布关于促进残疾人就业政府采购政策的通知（财库〔2017〕141号）》、《关于政府采购支持监狱企业发展有关问题的通知（财库〔2014〕68号）》，以及国家或行业现行法律、法规、规范。</w:t>
            </w:r>
            <w:r>
              <w:rPr>
                <w:rFonts w:hint="eastAsia" w:ascii="楷体" w:hAnsi="楷体" w:eastAsia="楷体" w:cs="楷体"/>
                <w:color w:val="auto"/>
                <w:kern w:val="0"/>
                <w:sz w:val="21"/>
                <w:szCs w:val="21"/>
                <w:highlight w:val="none"/>
                <w:lang w:eastAsia="zh-CN"/>
              </w:rPr>
              <w:t>（</w:t>
            </w:r>
            <w:r>
              <w:rPr>
                <w:rFonts w:hint="eastAsia" w:ascii="楷体" w:hAnsi="楷体" w:eastAsia="楷体" w:cs="楷体"/>
                <w:color w:val="auto"/>
                <w:kern w:val="0"/>
                <w:sz w:val="21"/>
                <w:szCs w:val="21"/>
                <w:highlight w:val="none"/>
                <w:lang w:val="en-US" w:eastAsia="zh-CN"/>
              </w:rPr>
              <w:t>3</w:t>
            </w:r>
            <w:r>
              <w:rPr>
                <w:rFonts w:hint="eastAsia" w:ascii="楷体" w:hAnsi="楷体" w:eastAsia="楷体" w:cs="楷体"/>
                <w:color w:val="auto"/>
                <w:kern w:val="0"/>
                <w:sz w:val="21"/>
                <w:szCs w:val="21"/>
                <w:highlight w:val="none"/>
                <w:lang w:eastAsia="zh-CN"/>
              </w:rPr>
              <w:t>）供应商属于</w:t>
            </w:r>
            <w:r>
              <w:rPr>
                <w:rFonts w:hint="eastAsia" w:ascii="楷体" w:hAnsi="楷体" w:eastAsia="楷体" w:cs="楷体"/>
                <w:color w:val="auto"/>
                <w:kern w:val="0"/>
                <w:sz w:val="21"/>
                <w:szCs w:val="21"/>
                <w:highlight w:val="none"/>
                <w:lang w:val="en-US" w:eastAsia="zh-CN"/>
              </w:rPr>
              <w:t>中</w:t>
            </w:r>
            <w:r>
              <w:rPr>
                <w:rFonts w:hint="eastAsia" w:ascii="楷体" w:hAnsi="楷体" w:eastAsia="楷体" w:cs="楷体"/>
                <w:color w:val="auto"/>
                <w:kern w:val="0"/>
                <w:sz w:val="21"/>
                <w:szCs w:val="21"/>
                <w:highlight w:val="none"/>
                <w:lang w:eastAsia="zh-CN"/>
              </w:rPr>
              <w:t>小微企业并提供</w:t>
            </w:r>
            <w:r>
              <w:rPr>
                <w:rFonts w:hint="eastAsia" w:ascii="楷体" w:hAnsi="楷体" w:eastAsia="楷体" w:cs="楷体"/>
                <w:color w:val="auto"/>
                <w:kern w:val="0"/>
                <w:sz w:val="21"/>
                <w:szCs w:val="21"/>
                <w:highlight w:val="none"/>
                <w:lang w:val="en-US" w:eastAsia="zh-CN"/>
              </w:rPr>
              <w:t>声明函的</w:t>
            </w:r>
            <w:r>
              <w:rPr>
                <w:rFonts w:hint="eastAsia" w:ascii="楷体" w:hAnsi="楷体" w:eastAsia="楷体" w:cs="楷体"/>
                <w:color w:val="auto"/>
                <w:kern w:val="0"/>
                <w:sz w:val="21"/>
                <w:szCs w:val="21"/>
                <w:highlight w:val="none"/>
                <w:lang w:eastAsia="zh-CN"/>
              </w:rPr>
              <w:t>，符合国家法律法规规定，在评审时按照国家相关规定报价给予</w:t>
            </w:r>
            <w:r>
              <w:rPr>
                <w:rFonts w:hint="eastAsia" w:ascii="楷体" w:hAnsi="楷体" w:eastAsia="楷体" w:cs="楷体"/>
                <w:color w:val="auto"/>
                <w:kern w:val="0"/>
                <w:sz w:val="21"/>
                <w:szCs w:val="21"/>
                <w:highlight w:val="none"/>
                <w:lang w:val="en-US" w:eastAsia="zh-CN"/>
              </w:rPr>
              <w:t>10%</w:t>
            </w:r>
            <w:r>
              <w:rPr>
                <w:rFonts w:hint="eastAsia" w:ascii="楷体" w:hAnsi="楷体" w:eastAsia="楷体" w:cs="楷体"/>
                <w:color w:val="auto"/>
                <w:kern w:val="0"/>
                <w:sz w:val="21"/>
                <w:szCs w:val="21"/>
                <w:highlight w:val="none"/>
                <w:lang w:eastAsia="zh-CN"/>
              </w:rPr>
              <w:t>的价格折扣，</w:t>
            </w:r>
            <w:r>
              <w:rPr>
                <w:rFonts w:hint="eastAsia" w:ascii="楷体" w:hAnsi="楷体" w:eastAsia="楷体" w:cs="楷体"/>
                <w:color w:val="auto"/>
                <w:kern w:val="0"/>
                <w:sz w:val="21"/>
                <w:szCs w:val="21"/>
                <w:highlight w:val="none"/>
                <w:lang w:val="en-US" w:eastAsia="zh-CN"/>
              </w:rPr>
              <w:t>用扣除后的价格参与评审，监狱企业及残疾人福利单位视同于中小微企业，不再另行减免</w:t>
            </w:r>
          </w:p>
        </w:tc>
      </w:tr>
      <w:tr w14:paraId="0D90174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32" w:hRule="atLeast"/>
          <w:jc w:val="center"/>
        </w:trPr>
        <w:tc>
          <w:tcPr>
            <w:tcW w:w="760" w:type="dxa"/>
            <w:vAlign w:val="center"/>
          </w:tcPr>
          <w:p w14:paraId="1526B638">
            <w:pPr>
              <w:shd w:val="clear"/>
              <w:jc w:val="center"/>
              <w:rPr>
                <w:rFonts w:hint="eastAsia"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2.1.3</w:t>
            </w:r>
          </w:p>
        </w:tc>
        <w:tc>
          <w:tcPr>
            <w:tcW w:w="8785" w:type="dxa"/>
            <w:gridSpan w:val="3"/>
            <w:vAlign w:val="center"/>
          </w:tcPr>
          <w:p w14:paraId="577F1C4E">
            <w:pPr>
              <w:shd w:val="clear"/>
              <w:jc w:val="left"/>
              <w:rPr>
                <w:rFonts w:hint="eastAsia" w:ascii="楷体" w:hAnsi="楷体" w:eastAsia="楷体" w:cs="楷体"/>
                <w:color w:val="auto"/>
                <w:kern w:val="0"/>
                <w:sz w:val="21"/>
                <w:szCs w:val="21"/>
                <w:highlight w:val="none"/>
              </w:rPr>
            </w:pPr>
            <w:r>
              <w:rPr>
                <w:rFonts w:hint="eastAsia" w:ascii="楷体" w:hAnsi="楷体" w:eastAsia="楷体" w:cs="楷体"/>
                <w:color w:val="auto"/>
                <w:kern w:val="0"/>
                <w:sz w:val="21"/>
                <w:szCs w:val="21"/>
                <w:highlight w:val="none"/>
              </w:rPr>
              <w:t>本项目的特定资格要求</w:t>
            </w:r>
            <w:r>
              <w:rPr>
                <w:rFonts w:hint="eastAsia" w:ascii="楷体" w:hAnsi="楷体" w:eastAsia="楷体" w:cs="楷体"/>
                <w:color w:val="auto"/>
                <w:kern w:val="0"/>
                <w:sz w:val="21"/>
                <w:szCs w:val="21"/>
                <w:highlight w:val="none"/>
                <w:lang w:eastAsia="zh-CN"/>
              </w:rPr>
              <w:t>：</w:t>
            </w:r>
            <w:r>
              <w:rPr>
                <w:rFonts w:hint="eastAsia" w:ascii="楷体" w:hAnsi="楷体" w:eastAsia="楷体" w:cs="楷体"/>
                <w:color w:val="auto"/>
                <w:kern w:val="0"/>
                <w:sz w:val="21"/>
                <w:szCs w:val="21"/>
                <w:highlight w:val="none"/>
              </w:rPr>
              <w:t>单位负责人为同一人或者存在直接控股、管理关系的不同供应商，不得参加同一合同项下的政府采购活动。</w:t>
            </w:r>
          </w:p>
        </w:tc>
      </w:tr>
      <w:tr w14:paraId="13DD8C2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4" w:hRule="atLeast"/>
          <w:jc w:val="center"/>
        </w:trPr>
        <w:tc>
          <w:tcPr>
            <w:tcW w:w="760" w:type="dxa"/>
            <w:vMerge w:val="restart"/>
            <w:vAlign w:val="center"/>
          </w:tcPr>
          <w:p w14:paraId="1266F835">
            <w:pPr>
              <w:shd w:val="clear"/>
              <w:jc w:val="center"/>
              <w:rPr>
                <w:rFonts w:hint="eastAsia"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2.2.1</w:t>
            </w:r>
          </w:p>
        </w:tc>
        <w:tc>
          <w:tcPr>
            <w:tcW w:w="657" w:type="dxa"/>
            <w:vMerge w:val="restart"/>
            <w:vAlign w:val="center"/>
          </w:tcPr>
          <w:p w14:paraId="2193A35E">
            <w:pPr>
              <w:shd w:val="clear"/>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符合性评审标准</w:t>
            </w:r>
          </w:p>
        </w:tc>
        <w:tc>
          <w:tcPr>
            <w:tcW w:w="2181" w:type="dxa"/>
            <w:vAlign w:val="center"/>
          </w:tcPr>
          <w:p w14:paraId="0F572931">
            <w:pPr>
              <w:shd w:val="clear"/>
              <w:snapToGrid w:val="0"/>
              <w:spacing w:line="400" w:lineRule="exact"/>
              <w:jc w:val="lef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法定代表人身份证明书及法定代表人授权委托书</w:t>
            </w:r>
          </w:p>
        </w:tc>
        <w:tc>
          <w:tcPr>
            <w:tcW w:w="5947" w:type="dxa"/>
            <w:vAlign w:val="center"/>
          </w:tcPr>
          <w:p w14:paraId="56658637">
            <w:pPr>
              <w:shd w:val="clear"/>
              <w:snapToGrid w:val="0"/>
              <w:spacing w:before="100" w:beforeAutospacing="1" w:after="100" w:afterAutospacing="1" w:line="400" w:lineRule="exact"/>
              <w:jc w:val="lef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符合招标文件给定格式及内容,且有企业、法定代表人</w:t>
            </w:r>
            <w:r>
              <w:rPr>
                <w:rFonts w:hint="eastAsia" w:ascii="楷体" w:hAnsi="楷体" w:eastAsia="楷体" w:cs="楷体"/>
                <w:color w:val="auto"/>
                <w:sz w:val="21"/>
                <w:szCs w:val="21"/>
                <w:highlight w:val="none"/>
                <w:lang w:eastAsia="zh-CN"/>
              </w:rPr>
              <w:t>签章或电子签章。</w:t>
            </w:r>
          </w:p>
        </w:tc>
      </w:tr>
      <w:tr w14:paraId="21CDD94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4" w:hRule="atLeast"/>
          <w:jc w:val="center"/>
        </w:trPr>
        <w:tc>
          <w:tcPr>
            <w:tcW w:w="760" w:type="dxa"/>
            <w:vMerge w:val="continue"/>
            <w:vAlign w:val="center"/>
          </w:tcPr>
          <w:p w14:paraId="5E92F583">
            <w:pPr>
              <w:shd w:val="clear"/>
              <w:rPr>
                <w:rFonts w:hint="eastAsia" w:ascii="楷体" w:hAnsi="楷体" w:eastAsia="楷体" w:cs="楷体"/>
                <w:color w:val="auto"/>
                <w:sz w:val="21"/>
                <w:szCs w:val="21"/>
                <w:highlight w:val="none"/>
              </w:rPr>
            </w:pPr>
          </w:p>
        </w:tc>
        <w:tc>
          <w:tcPr>
            <w:tcW w:w="657" w:type="dxa"/>
            <w:vMerge w:val="continue"/>
            <w:vAlign w:val="center"/>
          </w:tcPr>
          <w:p w14:paraId="29C05C8D">
            <w:pPr>
              <w:shd w:val="clear"/>
              <w:rPr>
                <w:rFonts w:hint="eastAsia" w:ascii="楷体" w:hAnsi="楷体" w:eastAsia="楷体" w:cs="楷体"/>
                <w:color w:val="auto"/>
                <w:sz w:val="21"/>
                <w:szCs w:val="21"/>
                <w:highlight w:val="none"/>
              </w:rPr>
            </w:pPr>
          </w:p>
        </w:tc>
        <w:tc>
          <w:tcPr>
            <w:tcW w:w="2181" w:type="dxa"/>
            <w:vAlign w:val="center"/>
          </w:tcPr>
          <w:p w14:paraId="55FF6BC1">
            <w:pPr>
              <w:shd w:val="clear"/>
              <w:snapToGrid w:val="0"/>
              <w:spacing w:line="400" w:lineRule="exact"/>
              <w:jc w:val="left"/>
              <w:rPr>
                <w:rFonts w:hint="eastAsia" w:ascii="楷体" w:hAnsi="楷体" w:eastAsia="楷体" w:cs="楷体"/>
                <w:color w:val="auto"/>
                <w:sz w:val="21"/>
                <w:szCs w:val="21"/>
                <w:highlight w:val="none"/>
                <w:lang w:eastAsia="zh-CN"/>
              </w:rPr>
            </w:pPr>
            <w:r>
              <w:rPr>
                <w:rFonts w:hint="eastAsia" w:ascii="楷体" w:hAnsi="楷体" w:eastAsia="楷体" w:cs="楷体"/>
                <w:color w:val="auto"/>
                <w:sz w:val="21"/>
                <w:szCs w:val="21"/>
                <w:highlight w:val="none"/>
              </w:rPr>
              <w:t>投标文件签署、</w:t>
            </w:r>
            <w:r>
              <w:rPr>
                <w:rFonts w:hint="eastAsia" w:ascii="楷体" w:hAnsi="楷体" w:eastAsia="楷体" w:cs="楷体"/>
                <w:color w:val="auto"/>
                <w:sz w:val="21"/>
                <w:szCs w:val="21"/>
                <w:highlight w:val="none"/>
                <w:lang w:eastAsia="zh-CN"/>
              </w:rPr>
              <w:t>电子签章</w:t>
            </w:r>
          </w:p>
        </w:tc>
        <w:tc>
          <w:tcPr>
            <w:tcW w:w="5947" w:type="dxa"/>
            <w:vAlign w:val="center"/>
          </w:tcPr>
          <w:p w14:paraId="60C0C2E4">
            <w:pPr>
              <w:shd w:val="clear"/>
              <w:snapToGrid w:val="0"/>
              <w:spacing w:line="400" w:lineRule="exact"/>
              <w:jc w:val="left"/>
              <w:rPr>
                <w:rFonts w:hint="eastAsia" w:ascii="楷体" w:hAnsi="楷体" w:eastAsia="楷体" w:cs="楷体"/>
                <w:color w:val="auto"/>
                <w:sz w:val="21"/>
                <w:szCs w:val="21"/>
                <w:highlight w:val="none"/>
              </w:rPr>
            </w:pPr>
            <w:r>
              <w:rPr>
                <w:rFonts w:hint="eastAsia" w:ascii="楷体" w:hAnsi="楷体" w:eastAsia="楷体" w:cs="楷体"/>
                <w:color w:val="auto"/>
                <w:kern w:val="1"/>
                <w:sz w:val="21"/>
                <w:szCs w:val="21"/>
                <w:highlight w:val="none"/>
              </w:rPr>
              <w:t>投标文件未按招标文件要求签署、</w:t>
            </w:r>
            <w:r>
              <w:rPr>
                <w:rFonts w:hint="eastAsia" w:ascii="楷体" w:hAnsi="楷体" w:eastAsia="楷体" w:cs="楷体"/>
                <w:color w:val="auto"/>
                <w:kern w:val="1"/>
                <w:sz w:val="21"/>
                <w:szCs w:val="21"/>
                <w:highlight w:val="none"/>
                <w:lang w:eastAsia="zh-CN"/>
              </w:rPr>
              <w:t>电子签章</w:t>
            </w:r>
            <w:r>
              <w:rPr>
                <w:rFonts w:hint="eastAsia" w:ascii="楷体" w:hAnsi="楷体" w:eastAsia="楷体" w:cs="楷体"/>
                <w:color w:val="auto"/>
                <w:kern w:val="1"/>
                <w:sz w:val="21"/>
                <w:szCs w:val="21"/>
                <w:highlight w:val="none"/>
              </w:rPr>
              <w:t>的</w:t>
            </w:r>
            <w:r>
              <w:rPr>
                <w:rFonts w:hint="eastAsia" w:ascii="楷体" w:hAnsi="楷体" w:eastAsia="楷体" w:cs="楷体"/>
                <w:color w:val="auto"/>
                <w:kern w:val="1"/>
                <w:sz w:val="21"/>
                <w:szCs w:val="21"/>
                <w:highlight w:val="none"/>
                <w:lang w:eastAsia="zh-CN"/>
              </w:rPr>
              <w:t>。</w:t>
            </w:r>
          </w:p>
        </w:tc>
      </w:tr>
      <w:tr w14:paraId="76C72FB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4" w:hRule="atLeast"/>
          <w:jc w:val="center"/>
        </w:trPr>
        <w:tc>
          <w:tcPr>
            <w:tcW w:w="760" w:type="dxa"/>
            <w:vMerge w:val="continue"/>
            <w:vAlign w:val="center"/>
          </w:tcPr>
          <w:p w14:paraId="5266C9F8">
            <w:pPr>
              <w:shd w:val="clear"/>
              <w:rPr>
                <w:rFonts w:hint="eastAsia" w:ascii="楷体" w:hAnsi="楷体" w:eastAsia="楷体" w:cs="楷体"/>
                <w:color w:val="auto"/>
                <w:sz w:val="21"/>
                <w:szCs w:val="21"/>
                <w:highlight w:val="none"/>
              </w:rPr>
            </w:pPr>
          </w:p>
        </w:tc>
        <w:tc>
          <w:tcPr>
            <w:tcW w:w="657" w:type="dxa"/>
            <w:vMerge w:val="continue"/>
            <w:vAlign w:val="center"/>
          </w:tcPr>
          <w:p w14:paraId="5EFB16BE">
            <w:pPr>
              <w:shd w:val="clear"/>
              <w:rPr>
                <w:rFonts w:hint="eastAsia" w:ascii="楷体" w:hAnsi="楷体" w:eastAsia="楷体" w:cs="楷体"/>
                <w:color w:val="auto"/>
                <w:sz w:val="21"/>
                <w:szCs w:val="21"/>
                <w:highlight w:val="none"/>
              </w:rPr>
            </w:pPr>
          </w:p>
        </w:tc>
        <w:tc>
          <w:tcPr>
            <w:tcW w:w="2181" w:type="dxa"/>
            <w:vAlign w:val="center"/>
          </w:tcPr>
          <w:p w14:paraId="685B6A30">
            <w:pPr>
              <w:shd w:val="clear"/>
              <w:snapToGrid w:val="0"/>
              <w:spacing w:line="400" w:lineRule="exact"/>
              <w:jc w:val="lef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投标有效期</w:t>
            </w:r>
          </w:p>
        </w:tc>
        <w:tc>
          <w:tcPr>
            <w:tcW w:w="5947" w:type="dxa"/>
            <w:vAlign w:val="center"/>
          </w:tcPr>
          <w:p w14:paraId="2294E810">
            <w:pPr>
              <w:shd w:val="clear"/>
              <w:snapToGrid w:val="0"/>
              <w:spacing w:line="400" w:lineRule="exact"/>
              <w:jc w:val="left"/>
              <w:rPr>
                <w:rFonts w:hint="eastAsia" w:ascii="楷体" w:hAnsi="楷体" w:eastAsia="楷体" w:cs="楷体"/>
                <w:color w:val="auto"/>
                <w:sz w:val="21"/>
                <w:szCs w:val="21"/>
                <w:highlight w:val="none"/>
              </w:rPr>
            </w:pPr>
            <w:r>
              <w:rPr>
                <w:rFonts w:hint="eastAsia" w:ascii="楷体" w:hAnsi="楷体" w:eastAsia="楷体" w:cs="楷体"/>
                <w:color w:val="auto"/>
                <w:kern w:val="1"/>
                <w:sz w:val="21"/>
                <w:szCs w:val="21"/>
                <w:highlight w:val="none"/>
              </w:rPr>
              <w:t>符合第二章“</w:t>
            </w:r>
            <w:r>
              <w:rPr>
                <w:rFonts w:hint="eastAsia" w:ascii="楷体" w:hAnsi="楷体" w:eastAsia="楷体" w:cs="楷体"/>
                <w:color w:val="auto"/>
                <w:kern w:val="1"/>
                <w:sz w:val="21"/>
                <w:szCs w:val="21"/>
                <w:highlight w:val="none"/>
                <w:lang w:eastAsia="zh-CN"/>
              </w:rPr>
              <w:t>供应商</w:t>
            </w:r>
            <w:r>
              <w:rPr>
                <w:rFonts w:hint="eastAsia" w:ascii="楷体" w:hAnsi="楷体" w:eastAsia="楷体" w:cs="楷体"/>
                <w:color w:val="auto"/>
                <w:kern w:val="1"/>
                <w:sz w:val="21"/>
                <w:szCs w:val="21"/>
                <w:highlight w:val="none"/>
              </w:rPr>
              <w:t>须知前附表”第1</w:t>
            </w:r>
            <w:r>
              <w:rPr>
                <w:rFonts w:hint="eastAsia" w:ascii="楷体" w:hAnsi="楷体" w:eastAsia="楷体" w:cs="楷体"/>
                <w:color w:val="auto"/>
                <w:kern w:val="1"/>
                <w:sz w:val="21"/>
                <w:szCs w:val="21"/>
                <w:highlight w:val="none"/>
                <w:lang w:val="en-US" w:eastAsia="zh-CN"/>
              </w:rPr>
              <w:t>7</w:t>
            </w:r>
            <w:r>
              <w:rPr>
                <w:rFonts w:hint="eastAsia" w:ascii="楷体" w:hAnsi="楷体" w:eastAsia="楷体" w:cs="楷体"/>
                <w:color w:val="auto"/>
                <w:kern w:val="1"/>
                <w:sz w:val="21"/>
                <w:szCs w:val="21"/>
                <w:highlight w:val="none"/>
              </w:rPr>
              <w:t>.1款规定</w:t>
            </w:r>
          </w:p>
        </w:tc>
      </w:tr>
      <w:tr w14:paraId="5AB04CA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0" w:hRule="atLeast"/>
          <w:jc w:val="center"/>
        </w:trPr>
        <w:tc>
          <w:tcPr>
            <w:tcW w:w="760" w:type="dxa"/>
            <w:vMerge w:val="continue"/>
            <w:vAlign w:val="center"/>
          </w:tcPr>
          <w:p w14:paraId="1B354631">
            <w:pPr>
              <w:shd w:val="clear"/>
              <w:rPr>
                <w:rFonts w:hint="eastAsia" w:ascii="楷体" w:hAnsi="楷体" w:eastAsia="楷体" w:cs="楷体"/>
                <w:color w:val="auto"/>
                <w:sz w:val="21"/>
                <w:szCs w:val="21"/>
                <w:highlight w:val="none"/>
              </w:rPr>
            </w:pPr>
          </w:p>
        </w:tc>
        <w:tc>
          <w:tcPr>
            <w:tcW w:w="657" w:type="dxa"/>
            <w:vMerge w:val="continue"/>
            <w:vAlign w:val="center"/>
          </w:tcPr>
          <w:p w14:paraId="3CC87670">
            <w:pPr>
              <w:shd w:val="clear"/>
              <w:rPr>
                <w:rFonts w:hint="eastAsia" w:ascii="楷体" w:hAnsi="楷体" w:eastAsia="楷体" w:cs="楷体"/>
                <w:color w:val="auto"/>
                <w:sz w:val="21"/>
                <w:szCs w:val="21"/>
                <w:highlight w:val="none"/>
              </w:rPr>
            </w:pPr>
          </w:p>
        </w:tc>
        <w:tc>
          <w:tcPr>
            <w:tcW w:w="2181" w:type="dxa"/>
            <w:vAlign w:val="center"/>
          </w:tcPr>
          <w:p w14:paraId="085B5EC6">
            <w:pPr>
              <w:shd w:val="clear"/>
              <w:snapToGrid w:val="0"/>
              <w:spacing w:line="400" w:lineRule="exact"/>
              <w:jc w:val="lef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投标文件格式</w:t>
            </w:r>
          </w:p>
        </w:tc>
        <w:tc>
          <w:tcPr>
            <w:tcW w:w="5947" w:type="dxa"/>
            <w:vAlign w:val="center"/>
          </w:tcPr>
          <w:p w14:paraId="466C2C30">
            <w:pPr>
              <w:shd w:val="clear"/>
              <w:snapToGrid w:val="0"/>
              <w:spacing w:line="400" w:lineRule="exact"/>
              <w:jc w:val="lef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投标文件出现格式填写或内容不全、关键内容字迹模糊、无法辨认的</w:t>
            </w:r>
            <w:r>
              <w:rPr>
                <w:rFonts w:hint="eastAsia" w:ascii="楷体" w:hAnsi="楷体" w:eastAsia="楷体" w:cs="楷体"/>
                <w:color w:val="auto"/>
                <w:sz w:val="21"/>
                <w:szCs w:val="21"/>
                <w:highlight w:val="none"/>
                <w:lang w:eastAsia="zh-CN"/>
              </w:rPr>
              <w:t>。</w:t>
            </w:r>
          </w:p>
        </w:tc>
      </w:tr>
      <w:tr w14:paraId="1C15E13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4" w:hRule="atLeast"/>
          <w:jc w:val="center"/>
        </w:trPr>
        <w:tc>
          <w:tcPr>
            <w:tcW w:w="760" w:type="dxa"/>
            <w:vMerge w:val="continue"/>
            <w:vAlign w:val="center"/>
          </w:tcPr>
          <w:p w14:paraId="1E2661B7">
            <w:pPr>
              <w:shd w:val="clear"/>
              <w:rPr>
                <w:rFonts w:hint="eastAsia" w:ascii="楷体" w:hAnsi="楷体" w:eastAsia="楷体" w:cs="楷体"/>
                <w:color w:val="auto"/>
                <w:sz w:val="21"/>
                <w:szCs w:val="21"/>
                <w:highlight w:val="none"/>
              </w:rPr>
            </w:pPr>
          </w:p>
        </w:tc>
        <w:tc>
          <w:tcPr>
            <w:tcW w:w="657" w:type="dxa"/>
            <w:vMerge w:val="continue"/>
            <w:vAlign w:val="center"/>
          </w:tcPr>
          <w:p w14:paraId="43AD527C">
            <w:pPr>
              <w:shd w:val="clear"/>
              <w:rPr>
                <w:rFonts w:hint="eastAsia" w:ascii="楷体" w:hAnsi="楷体" w:eastAsia="楷体" w:cs="楷体"/>
                <w:color w:val="auto"/>
                <w:sz w:val="21"/>
                <w:szCs w:val="21"/>
                <w:highlight w:val="none"/>
              </w:rPr>
            </w:pPr>
          </w:p>
        </w:tc>
        <w:tc>
          <w:tcPr>
            <w:tcW w:w="2181" w:type="dxa"/>
            <w:vAlign w:val="center"/>
          </w:tcPr>
          <w:p w14:paraId="79173903">
            <w:pPr>
              <w:shd w:val="clear"/>
              <w:snapToGrid w:val="0"/>
              <w:spacing w:line="400" w:lineRule="exact"/>
              <w:jc w:val="lef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投标内容</w:t>
            </w:r>
          </w:p>
        </w:tc>
        <w:tc>
          <w:tcPr>
            <w:tcW w:w="5947" w:type="dxa"/>
            <w:vAlign w:val="center"/>
          </w:tcPr>
          <w:p w14:paraId="2C5B27FD">
            <w:pPr>
              <w:shd w:val="clear"/>
              <w:snapToGrid w:val="0"/>
              <w:spacing w:line="400" w:lineRule="exact"/>
              <w:jc w:val="lef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lang w:eastAsia="zh-CN"/>
              </w:rPr>
              <w:t>供应商</w:t>
            </w:r>
            <w:r>
              <w:rPr>
                <w:rFonts w:hint="eastAsia" w:ascii="楷体" w:hAnsi="楷体" w:eastAsia="楷体" w:cs="楷体"/>
                <w:color w:val="auto"/>
                <w:sz w:val="21"/>
                <w:szCs w:val="21"/>
                <w:highlight w:val="none"/>
              </w:rPr>
              <w:t>提供的货物无实质性遗漏</w:t>
            </w:r>
            <w:r>
              <w:rPr>
                <w:rFonts w:hint="eastAsia" w:ascii="楷体" w:hAnsi="楷体" w:eastAsia="楷体" w:cs="楷体"/>
                <w:color w:val="auto"/>
                <w:sz w:val="21"/>
                <w:szCs w:val="21"/>
                <w:highlight w:val="none"/>
                <w:lang w:eastAsia="zh-CN"/>
              </w:rPr>
              <w:t>。</w:t>
            </w:r>
          </w:p>
        </w:tc>
      </w:tr>
      <w:tr w14:paraId="43888AA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4" w:hRule="atLeast"/>
          <w:jc w:val="center"/>
        </w:trPr>
        <w:tc>
          <w:tcPr>
            <w:tcW w:w="760" w:type="dxa"/>
            <w:vMerge w:val="continue"/>
            <w:vAlign w:val="center"/>
          </w:tcPr>
          <w:p w14:paraId="4277912B">
            <w:pPr>
              <w:shd w:val="clear"/>
              <w:rPr>
                <w:rFonts w:hint="eastAsia" w:ascii="楷体" w:hAnsi="楷体" w:eastAsia="楷体" w:cs="楷体"/>
                <w:color w:val="auto"/>
                <w:sz w:val="21"/>
                <w:szCs w:val="21"/>
                <w:highlight w:val="none"/>
              </w:rPr>
            </w:pPr>
          </w:p>
        </w:tc>
        <w:tc>
          <w:tcPr>
            <w:tcW w:w="657" w:type="dxa"/>
            <w:vMerge w:val="continue"/>
            <w:vAlign w:val="center"/>
          </w:tcPr>
          <w:p w14:paraId="6E0BA5B0">
            <w:pPr>
              <w:shd w:val="clear"/>
              <w:rPr>
                <w:rFonts w:hint="eastAsia" w:ascii="楷体" w:hAnsi="楷体" w:eastAsia="楷体" w:cs="楷体"/>
                <w:color w:val="auto"/>
                <w:sz w:val="21"/>
                <w:szCs w:val="21"/>
                <w:highlight w:val="none"/>
              </w:rPr>
            </w:pPr>
          </w:p>
        </w:tc>
        <w:tc>
          <w:tcPr>
            <w:tcW w:w="2181" w:type="dxa"/>
            <w:vAlign w:val="center"/>
          </w:tcPr>
          <w:p w14:paraId="3FAD25C9">
            <w:pPr>
              <w:shd w:val="clear"/>
              <w:snapToGrid w:val="0"/>
              <w:spacing w:line="400" w:lineRule="exact"/>
              <w:jc w:val="lef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投标报价</w:t>
            </w:r>
          </w:p>
        </w:tc>
        <w:tc>
          <w:tcPr>
            <w:tcW w:w="5947" w:type="dxa"/>
            <w:vAlign w:val="center"/>
          </w:tcPr>
          <w:p w14:paraId="521F54E1">
            <w:pPr>
              <w:shd w:val="clear"/>
              <w:snapToGrid w:val="0"/>
              <w:spacing w:line="400" w:lineRule="exac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投标文件没有投标报价的；投标文件中，</w:t>
            </w:r>
            <w:r>
              <w:rPr>
                <w:rFonts w:hint="eastAsia" w:ascii="楷体" w:hAnsi="楷体" w:eastAsia="楷体" w:cs="楷体"/>
                <w:color w:val="auto"/>
                <w:sz w:val="21"/>
                <w:szCs w:val="21"/>
                <w:highlight w:val="none"/>
                <w:lang w:eastAsia="zh-CN"/>
              </w:rPr>
              <w:t>供应商</w:t>
            </w:r>
            <w:r>
              <w:rPr>
                <w:rFonts w:hint="eastAsia" w:ascii="楷体" w:hAnsi="楷体" w:eastAsia="楷体" w:cs="楷体"/>
                <w:color w:val="auto"/>
                <w:sz w:val="21"/>
                <w:szCs w:val="21"/>
                <w:highlight w:val="none"/>
              </w:rPr>
              <w:t>投报两个或多个报价未声明哪个有效的；报价超过最高限价的</w:t>
            </w:r>
            <w:r>
              <w:rPr>
                <w:rFonts w:hint="eastAsia" w:ascii="楷体" w:hAnsi="楷体" w:eastAsia="楷体" w:cs="楷体"/>
                <w:color w:val="auto"/>
                <w:sz w:val="21"/>
                <w:szCs w:val="21"/>
                <w:highlight w:val="none"/>
                <w:lang w:eastAsia="zh-CN"/>
              </w:rPr>
              <w:t>。</w:t>
            </w:r>
          </w:p>
        </w:tc>
      </w:tr>
      <w:tr w14:paraId="3598C13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4" w:hRule="atLeast"/>
          <w:jc w:val="center"/>
        </w:trPr>
        <w:tc>
          <w:tcPr>
            <w:tcW w:w="760" w:type="dxa"/>
            <w:vMerge w:val="continue"/>
            <w:vAlign w:val="center"/>
          </w:tcPr>
          <w:p w14:paraId="7325B8DC">
            <w:pPr>
              <w:shd w:val="clear"/>
              <w:rPr>
                <w:rFonts w:hint="eastAsia" w:ascii="楷体" w:hAnsi="楷体" w:eastAsia="楷体" w:cs="楷体"/>
                <w:color w:val="auto"/>
                <w:sz w:val="21"/>
                <w:szCs w:val="21"/>
                <w:highlight w:val="none"/>
              </w:rPr>
            </w:pPr>
          </w:p>
        </w:tc>
        <w:tc>
          <w:tcPr>
            <w:tcW w:w="657" w:type="dxa"/>
            <w:vMerge w:val="continue"/>
            <w:vAlign w:val="center"/>
          </w:tcPr>
          <w:p w14:paraId="44BEF590">
            <w:pPr>
              <w:shd w:val="clear"/>
              <w:rPr>
                <w:rFonts w:hint="eastAsia" w:ascii="楷体" w:hAnsi="楷体" w:eastAsia="楷体" w:cs="楷体"/>
                <w:color w:val="auto"/>
                <w:sz w:val="21"/>
                <w:szCs w:val="21"/>
                <w:highlight w:val="none"/>
              </w:rPr>
            </w:pPr>
          </w:p>
        </w:tc>
        <w:tc>
          <w:tcPr>
            <w:tcW w:w="2181" w:type="dxa"/>
            <w:vAlign w:val="center"/>
          </w:tcPr>
          <w:p w14:paraId="5F20C8CB">
            <w:pPr>
              <w:shd w:val="clear"/>
              <w:snapToGrid w:val="0"/>
              <w:spacing w:line="400" w:lineRule="exact"/>
              <w:jc w:val="lef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采购人不能接受的附加条件</w:t>
            </w:r>
          </w:p>
        </w:tc>
        <w:tc>
          <w:tcPr>
            <w:tcW w:w="5947" w:type="dxa"/>
            <w:vAlign w:val="center"/>
          </w:tcPr>
          <w:p w14:paraId="1530D2D7">
            <w:pPr>
              <w:shd w:val="clear"/>
              <w:snapToGrid w:val="0"/>
              <w:spacing w:line="400" w:lineRule="exac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投标文件含有采购人不能接受的附加条件的</w:t>
            </w:r>
            <w:r>
              <w:rPr>
                <w:rFonts w:hint="eastAsia" w:ascii="楷体" w:hAnsi="楷体" w:eastAsia="楷体" w:cs="楷体"/>
                <w:color w:val="auto"/>
                <w:sz w:val="21"/>
                <w:szCs w:val="21"/>
                <w:highlight w:val="none"/>
                <w:lang w:eastAsia="zh-CN"/>
              </w:rPr>
              <w:t>。</w:t>
            </w:r>
          </w:p>
        </w:tc>
      </w:tr>
      <w:tr w14:paraId="470CE27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4" w:hRule="atLeast"/>
          <w:jc w:val="center"/>
        </w:trPr>
        <w:tc>
          <w:tcPr>
            <w:tcW w:w="760" w:type="dxa"/>
            <w:vMerge w:val="continue"/>
            <w:vAlign w:val="center"/>
          </w:tcPr>
          <w:p w14:paraId="4F5AB5D8">
            <w:pPr>
              <w:shd w:val="clear"/>
              <w:rPr>
                <w:rFonts w:hint="eastAsia" w:ascii="楷体" w:hAnsi="楷体" w:eastAsia="楷体" w:cs="楷体"/>
                <w:color w:val="auto"/>
                <w:sz w:val="21"/>
                <w:szCs w:val="21"/>
                <w:highlight w:val="none"/>
              </w:rPr>
            </w:pPr>
          </w:p>
        </w:tc>
        <w:tc>
          <w:tcPr>
            <w:tcW w:w="657" w:type="dxa"/>
            <w:vMerge w:val="continue"/>
            <w:vAlign w:val="center"/>
          </w:tcPr>
          <w:p w14:paraId="6E50521D">
            <w:pPr>
              <w:shd w:val="clear"/>
              <w:rPr>
                <w:rFonts w:hint="eastAsia" w:ascii="楷体" w:hAnsi="楷体" w:eastAsia="楷体" w:cs="楷体"/>
                <w:color w:val="auto"/>
                <w:sz w:val="21"/>
                <w:szCs w:val="21"/>
                <w:highlight w:val="none"/>
              </w:rPr>
            </w:pPr>
          </w:p>
        </w:tc>
        <w:tc>
          <w:tcPr>
            <w:tcW w:w="2181" w:type="dxa"/>
            <w:vAlign w:val="center"/>
          </w:tcPr>
          <w:p w14:paraId="0EBB5AD7">
            <w:pPr>
              <w:shd w:val="clear"/>
              <w:snapToGrid w:val="0"/>
              <w:spacing w:line="400" w:lineRule="exact"/>
              <w:jc w:val="lef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其他无效情形</w:t>
            </w:r>
          </w:p>
        </w:tc>
        <w:tc>
          <w:tcPr>
            <w:tcW w:w="5947" w:type="dxa"/>
            <w:vAlign w:val="center"/>
          </w:tcPr>
          <w:p w14:paraId="7FAEF914">
            <w:pPr>
              <w:shd w:val="clear"/>
              <w:snapToGrid w:val="0"/>
              <w:spacing w:line="400" w:lineRule="exact"/>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法律、法规和招标文件规定的其他无效情形</w:t>
            </w:r>
            <w:r>
              <w:rPr>
                <w:rFonts w:hint="eastAsia" w:ascii="楷体" w:hAnsi="楷体" w:eastAsia="楷体" w:cs="楷体"/>
                <w:color w:val="auto"/>
                <w:sz w:val="21"/>
                <w:szCs w:val="21"/>
                <w:highlight w:val="none"/>
                <w:lang w:eastAsia="zh-CN"/>
              </w:rPr>
              <w:t>。</w:t>
            </w:r>
          </w:p>
        </w:tc>
      </w:tr>
    </w:tbl>
    <w:p w14:paraId="496FF2E2">
      <w:pPr>
        <w:shd w:val="clear"/>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br w:type="page"/>
      </w:r>
    </w:p>
    <w:tbl>
      <w:tblPr>
        <w:tblStyle w:val="19"/>
        <w:tblW w:w="97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652"/>
        <w:gridCol w:w="2003"/>
        <w:gridCol w:w="6472"/>
      </w:tblGrid>
      <w:tr w14:paraId="2A792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4" w:type="dxa"/>
            <w:vMerge w:val="restart"/>
            <w:noWrap w:val="0"/>
            <w:vAlign w:val="center"/>
          </w:tcPr>
          <w:p w14:paraId="7D1525D9">
            <w:pPr>
              <w:jc w:val="center"/>
              <w:rPr>
                <w:rFonts w:hint="eastAsia" w:ascii="楷体" w:hAnsi="楷体" w:eastAsia="楷体" w:cs="楷体"/>
                <w:color w:val="auto"/>
                <w:szCs w:val="21"/>
              </w:rPr>
            </w:pPr>
            <w:r>
              <w:rPr>
                <w:rFonts w:hint="eastAsia" w:ascii="楷体" w:hAnsi="楷体" w:eastAsia="楷体" w:cs="楷体"/>
                <w:color w:val="auto"/>
                <w:szCs w:val="21"/>
              </w:rPr>
              <w:t>2.2</w:t>
            </w:r>
          </w:p>
        </w:tc>
        <w:tc>
          <w:tcPr>
            <w:tcW w:w="652" w:type="dxa"/>
            <w:vMerge w:val="restart"/>
            <w:noWrap w:val="0"/>
            <w:vAlign w:val="center"/>
          </w:tcPr>
          <w:p w14:paraId="6386ADCA">
            <w:pPr>
              <w:jc w:val="center"/>
              <w:rPr>
                <w:rFonts w:hint="eastAsia" w:ascii="楷体" w:hAnsi="楷体" w:eastAsia="楷体" w:cs="楷体"/>
                <w:color w:val="auto"/>
                <w:szCs w:val="21"/>
              </w:rPr>
            </w:pPr>
            <w:r>
              <w:rPr>
                <w:rFonts w:hint="eastAsia" w:ascii="楷体" w:hAnsi="楷体" w:eastAsia="楷体" w:cs="楷体"/>
                <w:color w:val="auto"/>
                <w:szCs w:val="21"/>
              </w:rPr>
              <w:t>评标方法和标准</w:t>
            </w:r>
          </w:p>
        </w:tc>
        <w:tc>
          <w:tcPr>
            <w:tcW w:w="2003" w:type="dxa"/>
            <w:noWrap w:val="0"/>
            <w:vAlign w:val="center"/>
          </w:tcPr>
          <w:p w14:paraId="0E323783">
            <w:pPr>
              <w:jc w:val="center"/>
              <w:rPr>
                <w:rFonts w:hint="eastAsia" w:ascii="楷体" w:hAnsi="楷体" w:eastAsia="楷体" w:cs="楷体"/>
                <w:color w:val="auto"/>
                <w:szCs w:val="21"/>
              </w:rPr>
            </w:pPr>
            <w:r>
              <w:rPr>
                <w:rFonts w:hint="eastAsia" w:ascii="楷体" w:hAnsi="楷体" w:eastAsia="楷体" w:cs="楷体"/>
                <w:color w:val="auto"/>
                <w:szCs w:val="21"/>
              </w:rPr>
              <w:t>1）评标总得分计算公式</w:t>
            </w:r>
          </w:p>
        </w:tc>
        <w:tc>
          <w:tcPr>
            <w:tcW w:w="6472" w:type="dxa"/>
            <w:noWrap w:val="0"/>
            <w:vAlign w:val="center"/>
          </w:tcPr>
          <w:p w14:paraId="4246471B">
            <w:pPr>
              <w:spacing w:line="360" w:lineRule="exact"/>
              <w:rPr>
                <w:rFonts w:hint="eastAsia" w:ascii="楷体" w:hAnsi="楷体" w:eastAsia="楷体" w:cs="楷体"/>
                <w:color w:val="auto"/>
                <w:szCs w:val="21"/>
              </w:rPr>
            </w:pPr>
            <w:r>
              <w:rPr>
                <w:rFonts w:hint="eastAsia" w:ascii="楷体" w:hAnsi="楷体" w:eastAsia="楷体" w:cs="楷体"/>
                <w:color w:val="auto"/>
                <w:szCs w:val="21"/>
              </w:rPr>
              <w:t>投标人的评标总得分＝F1＋F2＋F3</w:t>
            </w:r>
          </w:p>
          <w:p w14:paraId="4313B72E">
            <w:pPr>
              <w:spacing w:line="360" w:lineRule="exact"/>
              <w:rPr>
                <w:rFonts w:hint="eastAsia" w:ascii="楷体" w:hAnsi="楷体" w:eastAsia="楷体" w:cs="楷体"/>
                <w:color w:val="auto"/>
                <w:szCs w:val="21"/>
              </w:rPr>
            </w:pPr>
            <w:r>
              <w:rPr>
                <w:rFonts w:hint="eastAsia" w:ascii="楷体" w:hAnsi="楷体" w:eastAsia="楷体" w:cs="楷体"/>
                <w:color w:val="auto"/>
                <w:szCs w:val="21"/>
              </w:rPr>
              <w:t>其中：F1、F2、F3分别为投标报价、技术部分、商务部分3项评分因素的汇总得分；</w:t>
            </w:r>
          </w:p>
        </w:tc>
      </w:tr>
      <w:tr w14:paraId="32926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4" w:type="dxa"/>
            <w:vMerge w:val="continue"/>
            <w:noWrap w:val="0"/>
            <w:vAlign w:val="center"/>
          </w:tcPr>
          <w:p w14:paraId="3DEA21F9">
            <w:pPr>
              <w:rPr>
                <w:rFonts w:hint="eastAsia" w:ascii="楷体" w:hAnsi="楷体" w:eastAsia="楷体" w:cs="楷体"/>
                <w:color w:val="auto"/>
                <w:szCs w:val="21"/>
              </w:rPr>
            </w:pPr>
          </w:p>
        </w:tc>
        <w:tc>
          <w:tcPr>
            <w:tcW w:w="652" w:type="dxa"/>
            <w:vMerge w:val="continue"/>
            <w:noWrap w:val="0"/>
            <w:vAlign w:val="center"/>
          </w:tcPr>
          <w:p w14:paraId="72253892">
            <w:pPr>
              <w:jc w:val="center"/>
              <w:rPr>
                <w:rFonts w:hint="eastAsia" w:ascii="楷体" w:hAnsi="楷体" w:eastAsia="楷体" w:cs="楷体"/>
                <w:color w:val="auto"/>
                <w:szCs w:val="21"/>
              </w:rPr>
            </w:pPr>
          </w:p>
        </w:tc>
        <w:tc>
          <w:tcPr>
            <w:tcW w:w="2003" w:type="dxa"/>
            <w:noWrap w:val="0"/>
            <w:vAlign w:val="center"/>
          </w:tcPr>
          <w:p w14:paraId="7C7623BD">
            <w:pPr>
              <w:rPr>
                <w:rFonts w:hint="eastAsia" w:ascii="楷体" w:hAnsi="楷体" w:eastAsia="楷体" w:cs="楷体"/>
                <w:color w:val="auto"/>
                <w:szCs w:val="21"/>
              </w:rPr>
            </w:pPr>
            <w:r>
              <w:rPr>
                <w:rFonts w:hint="eastAsia" w:ascii="楷体" w:hAnsi="楷体" w:eastAsia="楷体" w:cs="楷体"/>
                <w:color w:val="auto"/>
                <w:szCs w:val="21"/>
              </w:rPr>
              <w:t>2）评分因素权重</w:t>
            </w:r>
          </w:p>
        </w:tc>
        <w:tc>
          <w:tcPr>
            <w:tcW w:w="6472" w:type="dxa"/>
            <w:noWrap w:val="0"/>
            <w:vAlign w:val="center"/>
          </w:tcPr>
          <w:p w14:paraId="3E3D7EEE">
            <w:pPr>
              <w:spacing w:line="360" w:lineRule="exact"/>
              <w:rPr>
                <w:rFonts w:hint="eastAsia" w:ascii="楷体" w:hAnsi="楷体" w:eastAsia="楷体" w:cs="楷体"/>
                <w:color w:val="auto"/>
                <w:szCs w:val="21"/>
              </w:rPr>
            </w:pPr>
            <w:r>
              <w:rPr>
                <w:rFonts w:hint="eastAsia" w:ascii="楷体" w:hAnsi="楷体" w:eastAsia="楷体" w:cs="楷体"/>
                <w:color w:val="auto"/>
                <w:szCs w:val="21"/>
              </w:rPr>
              <w:t>投标报价F1：30分。</w:t>
            </w:r>
          </w:p>
          <w:p w14:paraId="695144B8">
            <w:pPr>
              <w:spacing w:line="360" w:lineRule="exact"/>
              <w:rPr>
                <w:rFonts w:hint="eastAsia" w:ascii="楷体" w:hAnsi="楷体" w:eastAsia="楷体" w:cs="楷体"/>
                <w:color w:val="auto"/>
                <w:szCs w:val="21"/>
              </w:rPr>
            </w:pPr>
            <w:r>
              <w:rPr>
                <w:rFonts w:hint="eastAsia" w:ascii="楷体" w:hAnsi="楷体" w:eastAsia="楷体" w:cs="楷体"/>
                <w:color w:val="auto"/>
                <w:szCs w:val="21"/>
              </w:rPr>
              <w:t>技术部分F2：</w:t>
            </w:r>
            <w:r>
              <w:rPr>
                <w:rFonts w:hint="eastAsia" w:ascii="楷体" w:hAnsi="楷体" w:eastAsia="楷体" w:cs="楷体"/>
                <w:color w:val="auto"/>
                <w:szCs w:val="21"/>
                <w:lang w:val="en-US" w:eastAsia="zh-CN"/>
              </w:rPr>
              <w:t>30</w:t>
            </w:r>
            <w:r>
              <w:rPr>
                <w:rFonts w:hint="eastAsia" w:ascii="楷体" w:hAnsi="楷体" w:eastAsia="楷体" w:cs="楷体"/>
                <w:color w:val="auto"/>
                <w:szCs w:val="21"/>
              </w:rPr>
              <w:t>分。</w:t>
            </w:r>
          </w:p>
          <w:p w14:paraId="3C1B77D3">
            <w:pPr>
              <w:spacing w:line="360" w:lineRule="exact"/>
              <w:rPr>
                <w:rFonts w:hint="eastAsia" w:ascii="楷体" w:hAnsi="楷体" w:eastAsia="楷体" w:cs="楷体"/>
                <w:color w:val="auto"/>
                <w:szCs w:val="21"/>
              </w:rPr>
            </w:pPr>
            <w:r>
              <w:rPr>
                <w:rFonts w:hint="eastAsia" w:ascii="楷体" w:hAnsi="楷体" w:eastAsia="楷体" w:cs="楷体"/>
                <w:color w:val="auto"/>
                <w:szCs w:val="21"/>
              </w:rPr>
              <w:t>商务部分F3：</w:t>
            </w:r>
            <w:r>
              <w:rPr>
                <w:rFonts w:hint="eastAsia" w:ascii="楷体" w:hAnsi="楷体" w:eastAsia="楷体" w:cs="楷体"/>
                <w:color w:val="auto"/>
                <w:szCs w:val="21"/>
                <w:lang w:val="en-US" w:eastAsia="zh-CN"/>
              </w:rPr>
              <w:t>40</w:t>
            </w:r>
            <w:r>
              <w:rPr>
                <w:rFonts w:hint="eastAsia" w:ascii="楷体" w:hAnsi="楷体" w:eastAsia="楷体" w:cs="楷体"/>
                <w:color w:val="auto"/>
                <w:szCs w:val="21"/>
              </w:rPr>
              <w:t>分。</w:t>
            </w:r>
          </w:p>
        </w:tc>
      </w:tr>
      <w:tr w14:paraId="07581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594" w:type="dxa"/>
            <w:vMerge w:val="continue"/>
            <w:noWrap w:val="0"/>
            <w:vAlign w:val="center"/>
          </w:tcPr>
          <w:p w14:paraId="695295EF">
            <w:pPr>
              <w:rPr>
                <w:rFonts w:hint="eastAsia" w:ascii="楷体" w:hAnsi="楷体" w:eastAsia="楷体" w:cs="楷体"/>
                <w:color w:val="auto"/>
                <w:szCs w:val="21"/>
              </w:rPr>
            </w:pPr>
          </w:p>
        </w:tc>
        <w:tc>
          <w:tcPr>
            <w:tcW w:w="652" w:type="dxa"/>
            <w:vMerge w:val="continue"/>
            <w:noWrap w:val="0"/>
            <w:vAlign w:val="center"/>
          </w:tcPr>
          <w:p w14:paraId="43C94832">
            <w:pPr>
              <w:jc w:val="center"/>
              <w:rPr>
                <w:rFonts w:hint="eastAsia" w:ascii="楷体" w:hAnsi="楷体" w:eastAsia="楷体" w:cs="楷体"/>
                <w:color w:val="auto"/>
                <w:szCs w:val="21"/>
              </w:rPr>
            </w:pPr>
          </w:p>
        </w:tc>
        <w:tc>
          <w:tcPr>
            <w:tcW w:w="2003" w:type="dxa"/>
            <w:noWrap w:val="0"/>
            <w:vAlign w:val="center"/>
          </w:tcPr>
          <w:p w14:paraId="4ACAC6A8">
            <w:pPr>
              <w:rPr>
                <w:rFonts w:hint="eastAsia" w:ascii="楷体" w:hAnsi="楷体" w:eastAsia="楷体" w:cs="楷体"/>
                <w:color w:val="auto"/>
                <w:szCs w:val="21"/>
              </w:rPr>
            </w:pPr>
            <w:r>
              <w:rPr>
                <w:rFonts w:hint="eastAsia" w:ascii="楷体" w:hAnsi="楷体" w:eastAsia="楷体" w:cs="楷体"/>
                <w:color w:val="auto"/>
                <w:szCs w:val="21"/>
              </w:rPr>
              <w:t>3）投标报价得分F1（满分30分）</w:t>
            </w:r>
          </w:p>
        </w:tc>
        <w:tc>
          <w:tcPr>
            <w:tcW w:w="6472" w:type="dxa"/>
            <w:noWrap w:val="0"/>
            <w:vAlign w:val="top"/>
          </w:tcPr>
          <w:p w14:paraId="7421E2FA">
            <w:pPr>
              <w:adjustRightInd w:val="0"/>
              <w:spacing w:line="360" w:lineRule="exact"/>
              <w:rPr>
                <w:rFonts w:hint="eastAsia" w:ascii="楷体" w:hAnsi="楷体" w:eastAsia="楷体" w:cs="楷体"/>
                <w:color w:val="auto"/>
                <w:szCs w:val="21"/>
              </w:rPr>
            </w:pPr>
            <w:r>
              <w:rPr>
                <w:rFonts w:hint="eastAsia" w:ascii="楷体" w:hAnsi="楷体" w:eastAsia="楷体" w:cs="楷体"/>
                <w:color w:val="auto"/>
                <w:szCs w:val="21"/>
              </w:rPr>
              <w:t>投标报价计算公式= 评标基准价/投标报价×30</w:t>
            </w:r>
          </w:p>
          <w:p w14:paraId="59FA1632">
            <w:pPr>
              <w:adjustRightInd w:val="0"/>
              <w:spacing w:line="360" w:lineRule="exact"/>
              <w:rPr>
                <w:rFonts w:hint="eastAsia" w:ascii="楷体" w:hAnsi="楷体" w:eastAsia="楷体" w:cs="楷体"/>
                <w:color w:val="auto"/>
                <w:szCs w:val="21"/>
              </w:rPr>
            </w:pPr>
            <w:r>
              <w:rPr>
                <w:rFonts w:hint="eastAsia" w:ascii="楷体" w:hAnsi="楷体" w:eastAsia="楷体" w:cs="楷体"/>
                <w:color w:val="auto"/>
                <w:szCs w:val="21"/>
              </w:rPr>
              <w:t>即：F1=[C/（B1，B2，…，Bn）]×30</w:t>
            </w:r>
          </w:p>
          <w:p w14:paraId="693D92F2">
            <w:pPr>
              <w:spacing w:line="360" w:lineRule="exact"/>
              <w:rPr>
                <w:rFonts w:hint="eastAsia" w:ascii="楷体" w:hAnsi="楷体" w:eastAsia="楷体" w:cs="楷体"/>
                <w:color w:val="auto"/>
                <w:szCs w:val="21"/>
              </w:rPr>
            </w:pPr>
            <w:r>
              <w:rPr>
                <w:rFonts w:hint="eastAsia" w:ascii="楷体" w:hAnsi="楷体" w:eastAsia="楷体" w:cs="楷体"/>
                <w:color w:val="auto"/>
                <w:szCs w:val="21"/>
              </w:rPr>
              <w:t>注：C为评标基准价，即实质性要求审查合格且投标价格最低的有效投标报价；B1，B2，…，Bn为第n个经初步审查合格的有效投标报价。</w:t>
            </w:r>
          </w:p>
          <w:p w14:paraId="21B037C9">
            <w:pPr>
              <w:spacing w:line="360" w:lineRule="exact"/>
              <w:rPr>
                <w:rFonts w:hint="eastAsia" w:ascii="楷体" w:hAnsi="楷体" w:eastAsia="楷体" w:cs="楷体"/>
                <w:b/>
                <w:color w:val="auto"/>
                <w:szCs w:val="21"/>
              </w:rPr>
            </w:pPr>
            <w:r>
              <w:rPr>
                <w:rFonts w:hint="eastAsia" w:ascii="楷体" w:hAnsi="楷体" w:eastAsia="楷体" w:cs="楷体"/>
                <w:b/>
                <w:color w:val="auto"/>
                <w:szCs w:val="21"/>
              </w:rPr>
              <w:t>注：本项目针对小型和微型企业或残疾人福利性单位的价格给予</w:t>
            </w:r>
            <w:r>
              <w:rPr>
                <w:rFonts w:hint="eastAsia" w:ascii="楷体" w:hAnsi="楷体" w:eastAsia="楷体" w:cs="楷体"/>
                <w:b/>
                <w:color w:val="auto"/>
                <w:szCs w:val="21"/>
                <w:lang w:val="en-US" w:eastAsia="zh-CN"/>
              </w:rPr>
              <w:t>10</w:t>
            </w:r>
            <w:r>
              <w:rPr>
                <w:rFonts w:hint="eastAsia" w:ascii="楷体" w:hAnsi="楷体" w:eastAsia="楷体" w:cs="楷体"/>
                <w:b/>
                <w:color w:val="auto"/>
                <w:szCs w:val="21"/>
              </w:rPr>
              <w:t>%的扣除，用扣除后的价格参与评审，残疾人福利性单位属于</w:t>
            </w:r>
            <w:r>
              <w:rPr>
                <w:rFonts w:hint="eastAsia" w:ascii="楷体" w:hAnsi="楷体" w:eastAsia="楷体" w:cs="楷体"/>
                <w:b/>
                <w:color w:val="auto"/>
                <w:szCs w:val="21"/>
                <w:lang w:eastAsia="zh-CN"/>
              </w:rPr>
              <w:t>中</w:t>
            </w:r>
            <w:r>
              <w:rPr>
                <w:rFonts w:hint="eastAsia" w:ascii="楷体" w:hAnsi="楷体" w:eastAsia="楷体" w:cs="楷体"/>
                <w:b/>
                <w:color w:val="auto"/>
                <w:szCs w:val="21"/>
              </w:rPr>
              <w:t>小型、微型企业的，不重复享受政策。</w:t>
            </w:r>
          </w:p>
        </w:tc>
      </w:tr>
      <w:tr w14:paraId="134C5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1" w:hRule="atLeast"/>
          <w:jc w:val="center"/>
        </w:trPr>
        <w:tc>
          <w:tcPr>
            <w:tcW w:w="594" w:type="dxa"/>
            <w:vMerge w:val="continue"/>
            <w:noWrap w:val="0"/>
            <w:vAlign w:val="center"/>
          </w:tcPr>
          <w:p w14:paraId="6325518A">
            <w:pPr>
              <w:rPr>
                <w:rFonts w:hint="eastAsia" w:ascii="楷体" w:hAnsi="楷体" w:eastAsia="楷体" w:cs="楷体"/>
                <w:color w:val="auto"/>
                <w:szCs w:val="21"/>
              </w:rPr>
            </w:pPr>
          </w:p>
        </w:tc>
        <w:tc>
          <w:tcPr>
            <w:tcW w:w="652" w:type="dxa"/>
            <w:vMerge w:val="continue"/>
            <w:noWrap w:val="0"/>
            <w:vAlign w:val="center"/>
          </w:tcPr>
          <w:p w14:paraId="1D967463">
            <w:pPr>
              <w:rPr>
                <w:rFonts w:hint="eastAsia" w:ascii="楷体" w:hAnsi="楷体" w:eastAsia="楷体" w:cs="楷体"/>
                <w:color w:val="auto"/>
                <w:szCs w:val="21"/>
              </w:rPr>
            </w:pPr>
          </w:p>
        </w:tc>
        <w:tc>
          <w:tcPr>
            <w:tcW w:w="2003" w:type="dxa"/>
            <w:vMerge w:val="restart"/>
            <w:noWrap w:val="0"/>
            <w:vAlign w:val="center"/>
          </w:tcPr>
          <w:p w14:paraId="35DBF712">
            <w:pPr>
              <w:spacing w:line="300" w:lineRule="exact"/>
              <w:jc w:val="center"/>
              <w:rPr>
                <w:rFonts w:hint="eastAsia" w:ascii="楷体" w:hAnsi="楷体" w:eastAsia="楷体" w:cs="楷体"/>
                <w:color w:val="auto"/>
                <w:szCs w:val="21"/>
              </w:rPr>
            </w:pPr>
            <w:r>
              <w:rPr>
                <w:rFonts w:hint="eastAsia" w:ascii="楷体" w:hAnsi="楷体" w:eastAsia="楷体" w:cs="楷体"/>
                <w:color w:val="auto"/>
                <w:szCs w:val="21"/>
              </w:rPr>
              <w:t>4）技术部分得分F2（满分</w:t>
            </w:r>
            <w:r>
              <w:rPr>
                <w:rFonts w:hint="eastAsia" w:ascii="楷体" w:hAnsi="楷体" w:eastAsia="楷体" w:cs="楷体"/>
                <w:color w:val="auto"/>
                <w:szCs w:val="21"/>
                <w:lang w:val="en-US" w:eastAsia="zh-CN"/>
              </w:rPr>
              <w:t>30</w:t>
            </w:r>
            <w:r>
              <w:rPr>
                <w:rFonts w:hint="eastAsia" w:ascii="楷体" w:hAnsi="楷体" w:eastAsia="楷体" w:cs="楷体"/>
                <w:color w:val="auto"/>
                <w:szCs w:val="21"/>
              </w:rPr>
              <w:t>分）</w:t>
            </w:r>
          </w:p>
        </w:tc>
        <w:tc>
          <w:tcPr>
            <w:tcW w:w="6472" w:type="dxa"/>
            <w:noWrap w:val="0"/>
            <w:vAlign w:val="top"/>
          </w:tcPr>
          <w:p w14:paraId="6CC332B4">
            <w:pPr>
              <w:wordWrap w:val="0"/>
              <w:overflowPunct w:val="0"/>
              <w:spacing w:line="360" w:lineRule="auto"/>
              <w:rPr>
                <w:rFonts w:hint="eastAsia" w:ascii="楷体" w:hAnsi="楷体" w:eastAsia="楷体" w:cs="楷体"/>
                <w:b/>
                <w:bCs/>
                <w:color w:val="auto"/>
              </w:rPr>
            </w:pPr>
            <w:r>
              <w:rPr>
                <w:rFonts w:hint="eastAsia" w:ascii="楷体" w:hAnsi="楷体" w:eastAsia="楷体" w:cs="楷体"/>
                <w:b/>
                <w:bCs/>
                <w:color w:val="auto"/>
              </w:rPr>
              <w:t>1）技术指标响应评审评分（满分13分）</w:t>
            </w:r>
          </w:p>
          <w:p w14:paraId="2CAF8EE7">
            <w:pPr>
              <w:wordWrap w:val="0"/>
              <w:overflowPunct w:val="0"/>
              <w:spacing w:line="360" w:lineRule="auto"/>
              <w:rPr>
                <w:rFonts w:hint="eastAsia" w:ascii="楷体" w:hAnsi="楷体" w:eastAsia="楷体" w:cs="楷体"/>
                <w:color w:val="auto"/>
              </w:rPr>
            </w:pPr>
            <w:r>
              <w:rPr>
                <w:rFonts w:hint="eastAsia" w:ascii="楷体" w:hAnsi="楷体" w:eastAsia="楷体" w:cs="楷体"/>
                <w:color w:val="auto"/>
              </w:rPr>
              <w:t>第一个档次（</w:t>
            </w:r>
            <w:r>
              <w:rPr>
                <w:rFonts w:hint="eastAsia" w:ascii="楷体" w:hAnsi="楷体" w:eastAsia="楷体" w:cs="楷体"/>
                <w:color w:val="auto"/>
                <w:lang w:val="en-US" w:eastAsia="zh-CN"/>
              </w:rPr>
              <w:t>10-</w:t>
            </w:r>
            <w:r>
              <w:rPr>
                <w:rFonts w:hint="eastAsia" w:ascii="楷体" w:hAnsi="楷体" w:eastAsia="楷体" w:cs="楷体"/>
                <w:color w:val="auto"/>
              </w:rPr>
              <w:t>13分）：根据投标人投标产品的技术性能指标要求、对招标文件的响应程度好，完全满足采购人需求；</w:t>
            </w:r>
          </w:p>
          <w:p w14:paraId="2E001A80">
            <w:pPr>
              <w:wordWrap w:val="0"/>
              <w:overflowPunct w:val="0"/>
              <w:spacing w:line="360" w:lineRule="auto"/>
              <w:rPr>
                <w:rFonts w:hint="eastAsia" w:ascii="楷体" w:hAnsi="楷体" w:eastAsia="楷体" w:cs="楷体"/>
                <w:color w:val="auto"/>
              </w:rPr>
            </w:pPr>
            <w:r>
              <w:rPr>
                <w:rFonts w:hint="eastAsia" w:ascii="楷体" w:hAnsi="楷体" w:eastAsia="楷体" w:cs="楷体"/>
                <w:color w:val="auto"/>
              </w:rPr>
              <w:t>第二个档次（</w:t>
            </w:r>
            <w:r>
              <w:rPr>
                <w:rFonts w:hint="eastAsia" w:ascii="楷体" w:hAnsi="楷体" w:eastAsia="楷体" w:cs="楷体"/>
                <w:color w:val="auto"/>
                <w:lang w:val="en-US" w:eastAsia="zh-CN"/>
              </w:rPr>
              <w:t>6-</w:t>
            </w:r>
            <w:r>
              <w:rPr>
                <w:rFonts w:hint="eastAsia" w:ascii="楷体" w:hAnsi="楷体" w:eastAsia="楷体" w:cs="楷体"/>
                <w:color w:val="auto"/>
              </w:rPr>
              <w:t>9分）：根据投标人投标产品的技术性能指标要求、对招标文件的响应程度较好，满足采购人需求；</w:t>
            </w:r>
          </w:p>
          <w:p w14:paraId="67F02CCD">
            <w:pPr>
              <w:wordWrap w:val="0"/>
              <w:overflowPunct w:val="0"/>
              <w:spacing w:line="360" w:lineRule="auto"/>
              <w:rPr>
                <w:rFonts w:hint="eastAsia" w:ascii="楷体" w:hAnsi="楷体" w:eastAsia="楷体" w:cs="楷体"/>
                <w:color w:val="auto"/>
                <w:szCs w:val="22"/>
              </w:rPr>
            </w:pPr>
            <w:r>
              <w:rPr>
                <w:rFonts w:hint="eastAsia" w:ascii="楷体" w:hAnsi="楷体" w:eastAsia="楷体" w:cs="楷体"/>
                <w:color w:val="auto"/>
              </w:rPr>
              <w:t>第三个档次（</w:t>
            </w:r>
            <w:r>
              <w:rPr>
                <w:rFonts w:hint="eastAsia" w:ascii="楷体" w:hAnsi="楷体" w:eastAsia="楷体" w:cs="楷体"/>
                <w:color w:val="auto"/>
                <w:lang w:val="en-US" w:eastAsia="zh-CN"/>
              </w:rPr>
              <w:t>2-5</w:t>
            </w:r>
            <w:r>
              <w:rPr>
                <w:rFonts w:hint="eastAsia" w:ascii="楷体" w:hAnsi="楷体" w:eastAsia="楷体" w:cs="楷体"/>
                <w:color w:val="auto"/>
              </w:rPr>
              <w:t>分）：根据投标人投标产品的技术性能指标要求、对</w:t>
            </w:r>
            <w:r>
              <w:rPr>
                <w:rFonts w:hint="eastAsia" w:ascii="楷体" w:hAnsi="楷体" w:eastAsia="楷体" w:cs="楷体"/>
                <w:color w:val="auto"/>
                <w:szCs w:val="22"/>
              </w:rPr>
              <w:t>招标文件的响应程度一般，基本满足采购人需求。</w:t>
            </w:r>
          </w:p>
          <w:p w14:paraId="41A45875">
            <w:pPr>
              <w:wordWrap w:val="0"/>
              <w:overflowPunct w:val="0"/>
              <w:spacing w:line="360" w:lineRule="auto"/>
              <w:rPr>
                <w:rFonts w:hint="eastAsia" w:ascii="楷体" w:hAnsi="楷体" w:eastAsia="楷体" w:cs="楷体"/>
                <w:color w:val="auto"/>
                <w:szCs w:val="22"/>
              </w:rPr>
            </w:pPr>
            <w:r>
              <w:rPr>
                <w:rFonts w:hint="eastAsia" w:ascii="楷体" w:hAnsi="楷体" w:eastAsia="楷体" w:cs="楷体"/>
                <w:color w:val="auto"/>
                <w:szCs w:val="22"/>
              </w:rPr>
              <w:t>第四个档次（1分）：根据投标人投标产品的技术性能指标要求、对招标文件的响应程度差，难以满足采购人需求。</w:t>
            </w:r>
          </w:p>
          <w:p w14:paraId="20EB0938">
            <w:pPr>
              <w:wordWrap w:val="0"/>
              <w:overflowPunct w:val="0"/>
              <w:spacing w:line="360" w:lineRule="auto"/>
              <w:rPr>
                <w:rFonts w:hint="eastAsia" w:ascii="楷体" w:hAnsi="楷体" w:eastAsia="楷体" w:cs="楷体"/>
                <w:color w:val="auto"/>
              </w:rPr>
            </w:pPr>
            <w:r>
              <w:rPr>
                <w:rFonts w:hint="eastAsia" w:ascii="楷体" w:hAnsi="楷体" w:eastAsia="楷体" w:cs="楷体"/>
                <w:color w:val="auto"/>
                <w:szCs w:val="22"/>
              </w:rPr>
              <w:t>第四个档次（0分）：投标人未提供投标产品的技术性能指标。</w:t>
            </w:r>
          </w:p>
        </w:tc>
      </w:tr>
      <w:tr w14:paraId="73C69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0" w:hRule="atLeast"/>
          <w:jc w:val="center"/>
        </w:trPr>
        <w:tc>
          <w:tcPr>
            <w:tcW w:w="594" w:type="dxa"/>
            <w:vMerge w:val="continue"/>
            <w:noWrap w:val="0"/>
            <w:vAlign w:val="center"/>
          </w:tcPr>
          <w:p w14:paraId="3BCB79F2">
            <w:pPr>
              <w:rPr>
                <w:rFonts w:hint="eastAsia" w:ascii="楷体" w:hAnsi="楷体" w:eastAsia="楷体" w:cs="楷体"/>
                <w:color w:val="auto"/>
                <w:szCs w:val="21"/>
              </w:rPr>
            </w:pPr>
          </w:p>
        </w:tc>
        <w:tc>
          <w:tcPr>
            <w:tcW w:w="652" w:type="dxa"/>
            <w:vMerge w:val="continue"/>
            <w:noWrap w:val="0"/>
            <w:vAlign w:val="center"/>
          </w:tcPr>
          <w:p w14:paraId="74AEC627">
            <w:pPr>
              <w:rPr>
                <w:rFonts w:hint="eastAsia" w:ascii="楷体" w:hAnsi="楷体" w:eastAsia="楷体" w:cs="楷体"/>
                <w:color w:val="auto"/>
                <w:szCs w:val="21"/>
              </w:rPr>
            </w:pPr>
          </w:p>
        </w:tc>
        <w:tc>
          <w:tcPr>
            <w:tcW w:w="2003" w:type="dxa"/>
            <w:vMerge w:val="continue"/>
            <w:noWrap w:val="0"/>
            <w:vAlign w:val="center"/>
          </w:tcPr>
          <w:p w14:paraId="56D80942">
            <w:pPr>
              <w:spacing w:line="300" w:lineRule="exact"/>
              <w:jc w:val="center"/>
              <w:rPr>
                <w:rFonts w:hint="eastAsia" w:ascii="楷体" w:hAnsi="楷体" w:eastAsia="楷体" w:cs="楷体"/>
                <w:color w:val="auto"/>
                <w:szCs w:val="21"/>
              </w:rPr>
            </w:pPr>
          </w:p>
        </w:tc>
        <w:tc>
          <w:tcPr>
            <w:tcW w:w="6472" w:type="dxa"/>
            <w:noWrap w:val="0"/>
            <w:vAlign w:val="top"/>
          </w:tcPr>
          <w:p w14:paraId="1619709C">
            <w:pPr>
              <w:wordWrap w:val="0"/>
              <w:overflowPunct w:val="0"/>
              <w:spacing w:line="360" w:lineRule="auto"/>
              <w:rPr>
                <w:rFonts w:hint="eastAsia" w:ascii="楷体" w:hAnsi="楷体" w:eastAsia="楷体" w:cs="楷体"/>
                <w:bCs/>
                <w:color w:val="auto"/>
                <w:szCs w:val="21"/>
              </w:rPr>
            </w:pPr>
            <w:r>
              <w:rPr>
                <w:rFonts w:hint="eastAsia" w:ascii="楷体" w:hAnsi="楷体" w:eastAsia="楷体" w:cs="楷体"/>
                <w:b/>
                <w:color w:val="auto"/>
                <w:szCs w:val="21"/>
                <w:lang w:val="en-US" w:eastAsia="zh-CN"/>
              </w:rPr>
              <w:t>2</w:t>
            </w:r>
            <w:r>
              <w:rPr>
                <w:rFonts w:hint="eastAsia" w:ascii="楷体" w:hAnsi="楷体" w:eastAsia="楷体" w:cs="楷体"/>
                <w:b/>
                <w:color w:val="auto"/>
                <w:szCs w:val="21"/>
              </w:rPr>
              <w:t>）</w:t>
            </w:r>
            <w:r>
              <w:rPr>
                <w:rFonts w:hint="eastAsia" w:ascii="楷体" w:hAnsi="楷体" w:eastAsia="楷体" w:cs="楷体"/>
                <w:b/>
                <w:color w:val="auto"/>
                <w:szCs w:val="21"/>
                <w:lang w:eastAsia="zh-CN"/>
              </w:rPr>
              <w:t>物资</w:t>
            </w:r>
            <w:r>
              <w:rPr>
                <w:rFonts w:hint="eastAsia" w:ascii="楷体" w:hAnsi="楷体" w:eastAsia="楷体" w:cs="楷体"/>
                <w:b/>
                <w:color w:val="auto"/>
                <w:szCs w:val="21"/>
              </w:rPr>
              <w:t>采购渠道评审评分（满分</w:t>
            </w:r>
            <w:r>
              <w:rPr>
                <w:rFonts w:hint="eastAsia" w:ascii="楷体" w:hAnsi="楷体" w:eastAsia="楷体" w:cs="楷体"/>
                <w:b/>
                <w:color w:val="auto"/>
                <w:szCs w:val="21"/>
                <w:lang w:val="en-US" w:eastAsia="zh-CN"/>
              </w:rPr>
              <w:t>7</w:t>
            </w:r>
            <w:r>
              <w:rPr>
                <w:rFonts w:hint="eastAsia" w:ascii="楷体" w:hAnsi="楷体" w:eastAsia="楷体" w:cs="楷体"/>
                <w:b/>
                <w:color w:val="auto"/>
                <w:szCs w:val="21"/>
              </w:rPr>
              <w:t>分）</w:t>
            </w:r>
          </w:p>
          <w:p w14:paraId="77FA4991">
            <w:pPr>
              <w:wordWrap w:val="0"/>
              <w:overflowPunct w:val="0"/>
              <w:spacing w:line="360" w:lineRule="auto"/>
              <w:rPr>
                <w:rFonts w:hint="eastAsia" w:ascii="楷体" w:hAnsi="楷体" w:eastAsia="楷体" w:cs="楷体"/>
                <w:bCs/>
                <w:color w:val="auto"/>
                <w:szCs w:val="21"/>
              </w:rPr>
            </w:pPr>
            <w:r>
              <w:rPr>
                <w:rFonts w:hint="eastAsia" w:ascii="楷体" w:hAnsi="楷体" w:eastAsia="楷体" w:cs="楷体"/>
                <w:bCs/>
                <w:color w:val="auto"/>
                <w:szCs w:val="21"/>
              </w:rPr>
              <w:t>第一</w:t>
            </w:r>
            <w:r>
              <w:rPr>
                <w:rFonts w:hint="eastAsia" w:ascii="楷体" w:hAnsi="楷体" w:eastAsia="楷体" w:cs="楷体"/>
                <w:color w:val="auto"/>
              </w:rPr>
              <w:t>个</w:t>
            </w:r>
            <w:r>
              <w:rPr>
                <w:rFonts w:hint="eastAsia" w:ascii="楷体" w:hAnsi="楷体" w:eastAsia="楷体" w:cs="楷体"/>
                <w:bCs/>
                <w:color w:val="auto"/>
                <w:szCs w:val="21"/>
              </w:rPr>
              <w:t>档次（</w:t>
            </w:r>
            <w:r>
              <w:rPr>
                <w:rFonts w:hint="eastAsia" w:ascii="楷体" w:hAnsi="楷体" w:eastAsia="楷体" w:cs="楷体"/>
                <w:bCs/>
                <w:color w:val="auto"/>
                <w:szCs w:val="21"/>
                <w:lang w:val="en-US" w:eastAsia="zh-CN"/>
              </w:rPr>
              <w:t>5-</w:t>
            </w:r>
            <w:r>
              <w:rPr>
                <w:rFonts w:hint="eastAsia" w:ascii="楷体" w:hAnsi="楷体" w:eastAsia="楷体" w:cs="楷体"/>
                <w:bCs/>
                <w:color w:val="auto"/>
                <w:szCs w:val="21"/>
              </w:rPr>
              <w:t>7分）：投标人针对本项目提出的物资采购渠道（包含但不限于原料采购、运输、查验）内容完整详细、合理，针对性强，可行性强，</w:t>
            </w:r>
            <w:r>
              <w:rPr>
                <w:rFonts w:hint="eastAsia" w:ascii="楷体" w:hAnsi="楷体" w:eastAsia="楷体" w:cs="楷体"/>
                <w:color w:val="auto"/>
                <w:szCs w:val="21"/>
              </w:rPr>
              <w:t>物资具有可追溯性</w:t>
            </w:r>
            <w:r>
              <w:rPr>
                <w:rFonts w:hint="eastAsia" w:ascii="楷体" w:hAnsi="楷体" w:eastAsia="楷体" w:cs="楷体"/>
                <w:bCs/>
                <w:color w:val="auto"/>
                <w:szCs w:val="21"/>
              </w:rPr>
              <w:t>；</w:t>
            </w:r>
          </w:p>
          <w:p w14:paraId="4A65870A">
            <w:pPr>
              <w:wordWrap w:val="0"/>
              <w:overflowPunct w:val="0"/>
              <w:spacing w:line="360" w:lineRule="auto"/>
              <w:rPr>
                <w:rFonts w:hint="eastAsia" w:ascii="楷体" w:hAnsi="楷体" w:eastAsia="楷体" w:cs="楷体"/>
                <w:bCs/>
                <w:color w:val="auto"/>
                <w:szCs w:val="21"/>
              </w:rPr>
            </w:pPr>
            <w:r>
              <w:rPr>
                <w:rFonts w:hint="eastAsia" w:ascii="楷体" w:hAnsi="楷体" w:eastAsia="楷体" w:cs="楷体"/>
                <w:bCs/>
                <w:color w:val="auto"/>
                <w:szCs w:val="21"/>
              </w:rPr>
              <w:t>第二</w:t>
            </w:r>
            <w:r>
              <w:rPr>
                <w:rFonts w:hint="eastAsia" w:ascii="楷体" w:hAnsi="楷体" w:eastAsia="楷体" w:cs="楷体"/>
                <w:color w:val="auto"/>
              </w:rPr>
              <w:t>个</w:t>
            </w:r>
            <w:r>
              <w:rPr>
                <w:rFonts w:hint="eastAsia" w:ascii="楷体" w:hAnsi="楷体" w:eastAsia="楷体" w:cs="楷体"/>
                <w:bCs/>
                <w:color w:val="auto"/>
                <w:szCs w:val="21"/>
              </w:rPr>
              <w:t>档次（</w:t>
            </w:r>
            <w:r>
              <w:rPr>
                <w:rFonts w:hint="eastAsia" w:ascii="楷体" w:hAnsi="楷体" w:eastAsia="楷体" w:cs="楷体"/>
                <w:bCs/>
                <w:color w:val="auto"/>
                <w:szCs w:val="21"/>
                <w:lang w:val="en-US" w:eastAsia="zh-CN"/>
              </w:rPr>
              <w:t>2-4</w:t>
            </w:r>
            <w:r>
              <w:rPr>
                <w:rFonts w:hint="eastAsia" w:ascii="楷体" w:hAnsi="楷体" w:eastAsia="楷体" w:cs="楷体"/>
                <w:bCs/>
                <w:color w:val="auto"/>
                <w:szCs w:val="21"/>
              </w:rPr>
              <w:t>分）：投标人针对本项目提出的物资采购渠道（包含但不限于原料采购、运输、查验）内容基本完整，有一定针对性，有一定可行性，</w:t>
            </w:r>
            <w:r>
              <w:rPr>
                <w:rFonts w:hint="eastAsia" w:ascii="楷体" w:hAnsi="楷体" w:eastAsia="楷体" w:cs="楷体"/>
                <w:color w:val="auto"/>
                <w:szCs w:val="21"/>
              </w:rPr>
              <w:t>物资具有可追溯性</w:t>
            </w:r>
            <w:r>
              <w:rPr>
                <w:rFonts w:hint="eastAsia" w:ascii="楷体" w:hAnsi="楷体" w:eastAsia="楷体" w:cs="楷体"/>
                <w:bCs/>
                <w:color w:val="auto"/>
                <w:szCs w:val="21"/>
              </w:rPr>
              <w:t>；</w:t>
            </w:r>
          </w:p>
          <w:p w14:paraId="2309CDD5">
            <w:pPr>
              <w:wordWrap w:val="0"/>
              <w:overflowPunct w:val="0"/>
              <w:spacing w:line="360" w:lineRule="auto"/>
              <w:rPr>
                <w:rFonts w:hint="eastAsia" w:ascii="楷体" w:hAnsi="楷体" w:eastAsia="楷体" w:cs="楷体"/>
                <w:bCs/>
                <w:color w:val="auto"/>
                <w:szCs w:val="21"/>
              </w:rPr>
            </w:pPr>
            <w:r>
              <w:rPr>
                <w:rFonts w:hint="eastAsia" w:ascii="楷体" w:hAnsi="楷体" w:eastAsia="楷体" w:cs="楷体"/>
                <w:bCs/>
                <w:color w:val="auto"/>
                <w:szCs w:val="21"/>
              </w:rPr>
              <w:t>第三</w:t>
            </w:r>
            <w:r>
              <w:rPr>
                <w:rFonts w:hint="eastAsia" w:ascii="楷体" w:hAnsi="楷体" w:eastAsia="楷体" w:cs="楷体"/>
                <w:color w:val="auto"/>
              </w:rPr>
              <w:t>个</w:t>
            </w:r>
            <w:r>
              <w:rPr>
                <w:rFonts w:hint="eastAsia" w:ascii="楷体" w:hAnsi="楷体" w:eastAsia="楷体" w:cs="楷体"/>
                <w:bCs/>
                <w:color w:val="auto"/>
                <w:szCs w:val="21"/>
              </w:rPr>
              <w:t>档次（1分）：投标人针对本项目提出的物资采购渠道（包含但不限于原料采购、运输、查验）内容缺漏，针对性一般，可行性一般，</w:t>
            </w:r>
            <w:r>
              <w:rPr>
                <w:rFonts w:hint="eastAsia" w:ascii="楷体" w:hAnsi="楷体" w:eastAsia="楷体" w:cs="楷体"/>
                <w:color w:val="auto"/>
                <w:szCs w:val="21"/>
              </w:rPr>
              <w:t>物资具有可追溯性</w:t>
            </w:r>
            <w:r>
              <w:rPr>
                <w:rFonts w:hint="eastAsia" w:ascii="楷体" w:hAnsi="楷体" w:eastAsia="楷体" w:cs="楷体"/>
                <w:bCs/>
                <w:color w:val="auto"/>
                <w:szCs w:val="21"/>
              </w:rPr>
              <w:t>；</w:t>
            </w:r>
          </w:p>
          <w:p w14:paraId="68EB77E1">
            <w:pPr>
              <w:wordWrap w:val="0"/>
              <w:overflowPunct w:val="0"/>
              <w:spacing w:line="360" w:lineRule="auto"/>
              <w:rPr>
                <w:rFonts w:hint="eastAsia" w:ascii="楷体" w:hAnsi="楷体" w:eastAsia="楷体" w:cs="楷体"/>
                <w:bCs/>
                <w:color w:val="auto"/>
                <w:szCs w:val="21"/>
              </w:rPr>
            </w:pPr>
            <w:r>
              <w:rPr>
                <w:rFonts w:hint="eastAsia" w:ascii="楷体" w:hAnsi="楷体" w:eastAsia="楷体" w:cs="楷体"/>
                <w:bCs/>
                <w:color w:val="auto"/>
                <w:szCs w:val="21"/>
              </w:rPr>
              <w:t>第四</w:t>
            </w:r>
            <w:r>
              <w:rPr>
                <w:rFonts w:hint="eastAsia" w:ascii="楷体" w:hAnsi="楷体" w:eastAsia="楷体" w:cs="楷体"/>
                <w:color w:val="auto"/>
              </w:rPr>
              <w:t>个</w:t>
            </w:r>
            <w:r>
              <w:rPr>
                <w:rFonts w:hint="eastAsia" w:ascii="楷体" w:hAnsi="楷体" w:eastAsia="楷体" w:cs="楷体"/>
                <w:bCs/>
                <w:color w:val="auto"/>
                <w:szCs w:val="21"/>
              </w:rPr>
              <w:t>档次（0分）：投标人未提供物资采购渠道或</w:t>
            </w:r>
            <w:r>
              <w:rPr>
                <w:rFonts w:hint="eastAsia" w:ascii="楷体" w:hAnsi="楷体" w:eastAsia="楷体" w:cs="楷体"/>
                <w:color w:val="auto"/>
                <w:szCs w:val="21"/>
              </w:rPr>
              <w:t>物资不具有可追溯性的</w:t>
            </w:r>
            <w:r>
              <w:rPr>
                <w:rFonts w:hint="eastAsia" w:ascii="楷体" w:hAnsi="楷体" w:eastAsia="楷体" w:cs="楷体"/>
                <w:bCs/>
                <w:color w:val="auto"/>
                <w:szCs w:val="21"/>
              </w:rPr>
              <w:t>；</w:t>
            </w:r>
          </w:p>
        </w:tc>
      </w:tr>
      <w:tr w14:paraId="0004B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0" w:hRule="atLeast"/>
          <w:jc w:val="center"/>
        </w:trPr>
        <w:tc>
          <w:tcPr>
            <w:tcW w:w="594" w:type="dxa"/>
            <w:vMerge w:val="continue"/>
            <w:noWrap w:val="0"/>
            <w:vAlign w:val="center"/>
          </w:tcPr>
          <w:p w14:paraId="62EDB63A">
            <w:pPr>
              <w:rPr>
                <w:rFonts w:hint="eastAsia" w:ascii="楷体" w:hAnsi="楷体" w:eastAsia="楷体" w:cs="楷体"/>
                <w:color w:val="auto"/>
                <w:szCs w:val="21"/>
              </w:rPr>
            </w:pPr>
          </w:p>
        </w:tc>
        <w:tc>
          <w:tcPr>
            <w:tcW w:w="652" w:type="dxa"/>
            <w:vMerge w:val="continue"/>
            <w:noWrap w:val="0"/>
            <w:vAlign w:val="center"/>
          </w:tcPr>
          <w:p w14:paraId="750132F6">
            <w:pPr>
              <w:rPr>
                <w:rFonts w:hint="eastAsia" w:ascii="楷体" w:hAnsi="楷体" w:eastAsia="楷体" w:cs="楷体"/>
                <w:color w:val="auto"/>
                <w:szCs w:val="21"/>
              </w:rPr>
            </w:pPr>
          </w:p>
        </w:tc>
        <w:tc>
          <w:tcPr>
            <w:tcW w:w="2003" w:type="dxa"/>
            <w:vMerge w:val="continue"/>
            <w:noWrap w:val="0"/>
            <w:vAlign w:val="center"/>
          </w:tcPr>
          <w:p w14:paraId="63E545B3">
            <w:pPr>
              <w:spacing w:line="300" w:lineRule="exact"/>
              <w:jc w:val="center"/>
              <w:rPr>
                <w:rFonts w:hint="eastAsia" w:ascii="楷体" w:hAnsi="楷体" w:eastAsia="楷体" w:cs="楷体"/>
                <w:color w:val="auto"/>
                <w:szCs w:val="21"/>
              </w:rPr>
            </w:pPr>
          </w:p>
        </w:tc>
        <w:tc>
          <w:tcPr>
            <w:tcW w:w="6472" w:type="dxa"/>
            <w:noWrap w:val="0"/>
            <w:vAlign w:val="top"/>
          </w:tcPr>
          <w:p w14:paraId="6B495C6B">
            <w:pPr>
              <w:numPr>
                <w:ilvl w:val="0"/>
                <w:numId w:val="0"/>
              </w:numPr>
              <w:wordWrap w:val="0"/>
              <w:overflowPunct w:val="0"/>
              <w:spacing w:line="360" w:lineRule="auto"/>
              <w:rPr>
                <w:rFonts w:hint="eastAsia" w:ascii="楷体" w:hAnsi="楷体" w:eastAsia="楷体" w:cs="楷体"/>
                <w:b/>
                <w:bCs/>
                <w:color w:val="auto"/>
                <w:lang w:val="en-US" w:eastAsia="zh-CN"/>
              </w:rPr>
            </w:pPr>
            <w:r>
              <w:rPr>
                <w:rFonts w:hint="eastAsia" w:ascii="楷体" w:hAnsi="楷体" w:eastAsia="楷体" w:cs="楷体"/>
                <w:b/>
                <w:bCs/>
                <w:color w:val="auto"/>
                <w:lang w:val="en-US" w:eastAsia="zh-CN"/>
              </w:rPr>
              <w:t>3）项目拟投入人员情况（满分 10分）</w:t>
            </w:r>
          </w:p>
          <w:p w14:paraId="3A749DE8">
            <w:pPr>
              <w:pStyle w:val="28"/>
              <w:kinsoku w:val="0"/>
              <w:overflowPunct w:val="0"/>
              <w:autoSpaceDE w:val="0"/>
              <w:autoSpaceDN w:val="0"/>
              <w:spacing w:line="360" w:lineRule="auto"/>
              <w:rPr>
                <w:rFonts w:hint="eastAsia" w:ascii="楷体" w:hAnsi="楷体" w:eastAsia="楷体" w:cs="楷体"/>
                <w:color w:val="auto"/>
                <w:szCs w:val="21"/>
              </w:rPr>
            </w:pPr>
            <w:r>
              <w:rPr>
                <w:rFonts w:hint="eastAsia" w:ascii="楷体" w:hAnsi="楷体" w:eastAsia="楷体" w:cs="楷体"/>
                <w:color w:val="auto"/>
                <w:szCs w:val="21"/>
              </w:rPr>
              <w:t>第一档次（</w:t>
            </w:r>
            <w:r>
              <w:rPr>
                <w:rFonts w:hint="eastAsia" w:ascii="楷体" w:hAnsi="楷体" w:eastAsia="楷体" w:cs="楷体"/>
                <w:color w:val="auto"/>
                <w:szCs w:val="21"/>
                <w:lang w:val="en-US" w:eastAsia="zh-CN"/>
              </w:rPr>
              <w:t>7-</w:t>
            </w:r>
            <w:r>
              <w:rPr>
                <w:rFonts w:hint="eastAsia" w:ascii="楷体" w:hAnsi="楷体" w:eastAsia="楷体" w:cs="楷体"/>
                <w:color w:val="auto"/>
                <w:szCs w:val="21"/>
              </w:rPr>
              <w:t>10分）：投标人投入完成本项目提供的项目拟投入人员和车辆，完全满足项目实际情况，项目服务团队配置科学合理且具有针对性的；</w:t>
            </w:r>
          </w:p>
          <w:p w14:paraId="15CAF0DF">
            <w:pPr>
              <w:pStyle w:val="28"/>
              <w:kinsoku w:val="0"/>
              <w:overflowPunct w:val="0"/>
              <w:autoSpaceDE w:val="0"/>
              <w:autoSpaceDN w:val="0"/>
              <w:spacing w:line="360" w:lineRule="auto"/>
              <w:rPr>
                <w:rFonts w:hint="eastAsia" w:ascii="楷体" w:hAnsi="楷体" w:eastAsia="楷体" w:cs="楷体"/>
                <w:color w:val="auto"/>
                <w:szCs w:val="21"/>
              </w:rPr>
            </w:pPr>
            <w:r>
              <w:rPr>
                <w:rFonts w:hint="eastAsia" w:ascii="楷体" w:hAnsi="楷体" w:eastAsia="楷体" w:cs="楷体"/>
                <w:color w:val="auto"/>
                <w:szCs w:val="21"/>
              </w:rPr>
              <w:t>第二档次（</w:t>
            </w:r>
            <w:r>
              <w:rPr>
                <w:rFonts w:hint="eastAsia" w:ascii="楷体" w:hAnsi="楷体" w:eastAsia="楷体" w:cs="楷体"/>
                <w:color w:val="auto"/>
                <w:szCs w:val="21"/>
                <w:lang w:val="en-US" w:eastAsia="zh-CN"/>
              </w:rPr>
              <w:t>3-</w:t>
            </w:r>
            <w:r>
              <w:rPr>
                <w:rFonts w:hint="eastAsia" w:ascii="楷体" w:hAnsi="楷体" w:eastAsia="楷体" w:cs="楷体"/>
                <w:color w:val="auto"/>
                <w:szCs w:val="21"/>
              </w:rPr>
              <w:t>6分）：投标人投入完成本项目提供的项目拟投入人员基本满足项目实际情况，项目服务团队配置基本科学合理且有一定的针对性；</w:t>
            </w:r>
          </w:p>
          <w:p w14:paraId="7452521A">
            <w:pPr>
              <w:pStyle w:val="28"/>
              <w:kinsoku w:val="0"/>
              <w:overflowPunct w:val="0"/>
              <w:autoSpaceDE w:val="0"/>
              <w:autoSpaceDN w:val="0"/>
              <w:spacing w:line="360" w:lineRule="auto"/>
              <w:rPr>
                <w:rFonts w:hint="eastAsia" w:ascii="楷体" w:hAnsi="楷体" w:eastAsia="楷体" w:cs="楷体"/>
                <w:color w:val="auto"/>
                <w:szCs w:val="21"/>
              </w:rPr>
            </w:pPr>
            <w:r>
              <w:rPr>
                <w:rFonts w:hint="eastAsia" w:ascii="楷体" w:hAnsi="楷体" w:eastAsia="楷体" w:cs="楷体"/>
                <w:color w:val="auto"/>
                <w:szCs w:val="21"/>
              </w:rPr>
              <w:t>第三档次（</w:t>
            </w:r>
            <w:r>
              <w:rPr>
                <w:rFonts w:hint="eastAsia" w:ascii="楷体" w:hAnsi="楷体" w:eastAsia="楷体" w:cs="楷体"/>
                <w:color w:val="auto"/>
                <w:szCs w:val="21"/>
                <w:lang w:val="en-US" w:eastAsia="zh-CN"/>
              </w:rPr>
              <w:t>1-</w:t>
            </w:r>
            <w:r>
              <w:rPr>
                <w:rFonts w:hint="eastAsia" w:ascii="楷体" w:hAnsi="楷体" w:eastAsia="楷体" w:cs="楷体"/>
                <w:color w:val="auto"/>
                <w:szCs w:val="21"/>
              </w:rPr>
              <w:t>2分）：投标人投入完成本项目提供的项目拟投入人员不齐全，项目服务团队配置一般且无针对性的；</w:t>
            </w:r>
          </w:p>
          <w:p w14:paraId="22EF9668">
            <w:pPr>
              <w:pStyle w:val="28"/>
              <w:kinsoku w:val="0"/>
              <w:overflowPunct w:val="0"/>
              <w:autoSpaceDE w:val="0"/>
              <w:autoSpaceDN w:val="0"/>
              <w:spacing w:line="360" w:lineRule="auto"/>
              <w:rPr>
                <w:rFonts w:hint="eastAsia" w:ascii="楷体" w:hAnsi="楷体" w:eastAsia="楷体" w:cs="楷体"/>
                <w:color w:val="auto"/>
                <w:szCs w:val="21"/>
              </w:rPr>
            </w:pPr>
            <w:r>
              <w:rPr>
                <w:rFonts w:hint="eastAsia" w:ascii="楷体" w:hAnsi="楷体" w:eastAsia="楷体" w:cs="楷体"/>
                <w:color w:val="auto"/>
                <w:szCs w:val="21"/>
              </w:rPr>
              <w:t>第四档次（0分）：无人员及设备投入的得 0 分。</w:t>
            </w:r>
          </w:p>
          <w:p w14:paraId="1623E222">
            <w:pPr>
              <w:pStyle w:val="28"/>
              <w:kinsoku w:val="0"/>
              <w:overflowPunct w:val="0"/>
              <w:autoSpaceDE w:val="0"/>
              <w:autoSpaceDN w:val="0"/>
              <w:spacing w:line="360" w:lineRule="auto"/>
              <w:rPr>
                <w:rFonts w:hint="eastAsia" w:ascii="楷体" w:hAnsi="楷体" w:eastAsia="楷体" w:cs="楷体"/>
                <w:color w:val="auto"/>
                <w:kern w:val="2"/>
                <w:sz w:val="21"/>
                <w:szCs w:val="21"/>
                <w:lang w:val="en-US" w:eastAsia="zh-CN" w:bidi="ar-SA"/>
              </w:rPr>
            </w:pPr>
            <w:r>
              <w:rPr>
                <w:rFonts w:hint="eastAsia" w:ascii="楷体" w:hAnsi="楷体" w:eastAsia="楷体" w:cs="楷体"/>
                <w:color w:val="auto"/>
                <w:szCs w:val="21"/>
              </w:rPr>
              <w:t>注：投标人需提供拟投入人员的身份证、劳动合同等其他证明材料原件的扫描件加盖公章作为评审依据，未提供或提供不全的将不得作为评审的依据。</w:t>
            </w:r>
          </w:p>
        </w:tc>
      </w:tr>
      <w:tr w14:paraId="28A82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1" w:hRule="atLeast"/>
          <w:jc w:val="center"/>
        </w:trPr>
        <w:tc>
          <w:tcPr>
            <w:tcW w:w="594" w:type="dxa"/>
            <w:vMerge w:val="continue"/>
            <w:noWrap w:val="0"/>
            <w:vAlign w:val="center"/>
          </w:tcPr>
          <w:p w14:paraId="76D1121F">
            <w:pPr>
              <w:rPr>
                <w:rFonts w:hint="eastAsia" w:ascii="楷体" w:hAnsi="楷体" w:eastAsia="楷体" w:cs="楷体"/>
                <w:color w:val="auto"/>
                <w:szCs w:val="21"/>
              </w:rPr>
            </w:pPr>
          </w:p>
        </w:tc>
        <w:tc>
          <w:tcPr>
            <w:tcW w:w="652" w:type="dxa"/>
            <w:vMerge w:val="continue"/>
            <w:noWrap w:val="0"/>
            <w:vAlign w:val="center"/>
          </w:tcPr>
          <w:p w14:paraId="163DC751">
            <w:pPr>
              <w:rPr>
                <w:rFonts w:hint="eastAsia" w:ascii="楷体" w:hAnsi="楷体" w:eastAsia="楷体" w:cs="楷体"/>
                <w:color w:val="auto"/>
                <w:szCs w:val="21"/>
              </w:rPr>
            </w:pPr>
          </w:p>
        </w:tc>
        <w:tc>
          <w:tcPr>
            <w:tcW w:w="2003" w:type="dxa"/>
            <w:vMerge w:val="restart"/>
            <w:noWrap w:val="0"/>
            <w:vAlign w:val="center"/>
          </w:tcPr>
          <w:p w14:paraId="78DB1328">
            <w:pPr>
              <w:spacing w:line="320" w:lineRule="exact"/>
              <w:jc w:val="center"/>
              <w:rPr>
                <w:rFonts w:hint="eastAsia" w:ascii="楷体" w:hAnsi="楷体" w:eastAsia="楷体" w:cs="楷体"/>
                <w:color w:val="auto"/>
                <w:szCs w:val="21"/>
              </w:rPr>
            </w:pPr>
            <w:r>
              <w:rPr>
                <w:rFonts w:hint="eastAsia" w:ascii="楷体" w:hAnsi="楷体" w:eastAsia="楷体" w:cs="楷体"/>
                <w:color w:val="auto"/>
                <w:szCs w:val="21"/>
              </w:rPr>
              <w:t>5）商务部分得分F3（满分</w:t>
            </w:r>
            <w:r>
              <w:rPr>
                <w:rFonts w:hint="eastAsia" w:ascii="楷体" w:hAnsi="楷体" w:eastAsia="楷体" w:cs="楷体"/>
                <w:color w:val="auto"/>
                <w:szCs w:val="21"/>
                <w:lang w:val="en-US" w:eastAsia="zh-CN"/>
              </w:rPr>
              <w:t>40</w:t>
            </w:r>
            <w:r>
              <w:rPr>
                <w:rFonts w:hint="eastAsia" w:ascii="楷体" w:hAnsi="楷体" w:eastAsia="楷体" w:cs="楷体"/>
                <w:color w:val="auto"/>
                <w:szCs w:val="21"/>
              </w:rPr>
              <w:t>分）</w:t>
            </w:r>
          </w:p>
        </w:tc>
        <w:tc>
          <w:tcPr>
            <w:tcW w:w="6472" w:type="dxa"/>
            <w:noWrap w:val="0"/>
            <w:vAlign w:val="center"/>
          </w:tcPr>
          <w:p w14:paraId="0A45B95F">
            <w:pPr>
              <w:spacing w:line="360" w:lineRule="auto"/>
              <w:rPr>
                <w:rFonts w:hint="eastAsia" w:ascii="楷体" w:hAnsi="楷体" w:eastAsia="楷体" w:cs="楷体"/>
                <w:b/>
                <w:bCs/>
                <w:color w:val="auto"/>
              </w:rPr>
            </w:pPr>
            <w:r>
              <w:rPr>
                <w:rFonts w:hint="eastAsia" w:ascii="楷体" w:hAnsi="楷体" w:eastAsia="楷体" w:cs="楷体"/>
                <w:b/>
                <w:bCs/>
                <w:color w:val="auto"/>
              </w:rPr>
              <w:t>1）</w:t>
            </w:r>
            <w:r>
              <w:rPr>
                <w:rFonts w:hint="eastAsia" w:ascii="楷体" w:hAnsi="楷体" w:eastAsia="楷体" w:cs="楷体"/>
                <w:b/>
                <w:bCs/>
                <w:color w:val="auto"/>
                <w:lang w:eastAsia="zh-CN"/>
              </w:rPr>
              <w:t>投标人信用</w:t>
            </w:r>
            <w:r>
              <w:rPr>
                <w:rFonts w:hint="eastAsia" w:ascii="楷体" w:hAnsi="楷体" w:eastAsia="楷体" w:cs="楷体"/>
                <w:b/>
                <w:bCs/>
                <w:color w:val="auto"/>
              </w:rPr>
              <w:t>评审评分（满分</w:t>
            </w:r>
            <w:r>
              <w:rPr>
                <w:rFonts w:hint="eastAsia" w:ascii="楷体" w:hAnsi="楷体" w:eastAsia="楷体" w:cs="楷体"/>
                <w:b/>
                <w:bCs/>
                <w:color w:val="auto"/>
                <w:lang w:val="en-US" w:eastAsia="zh-CN"/>
              </w:rPr>
              <w:t>15</w:t>
            </w:r>
            <w:r>
              <w:rPr>
                <w:rFonts w:hint="eastAsia" w:ascii="楷体" w:hAnsi="楷体" w:eastAsia="楷体" w:cs="楷体"/>
                <w:b/>
                <w:bCs/>
                <w:color w:val="auto"/>
              </w:rPr>
              <w:t>分）</w:t>
            </w:r>
          </w:p>
          <w:p w14:paraId="734D0AC8">
            <w:pPr>
              <w:spacing w:line="360" w:lineRule="auto"/>
              <w:rPr>
                <w:rFonts w:hint="eastAsia" w:ascii="楷体" w:hAnsi="楷体" w:eastAsia="楷体" w:cs="楷体"/>
                <w:color w:val="auto"/>
              </w:rPr>
            </w:pPr>
            <w:r>
              <w:rPr>
                <w:rFonts w:hint="eastAsia" w:ascii="楷体" w:hAnsi="楷体" w:eastAsia="楷体" w:cs="楷体"/>
                <w:color w:val="auto"/>
              </w:rPr>
              <w:t>第一个档次（15分）：投标人获得AAA级信用等级证书；</w:t>
            </w:r>
          </w:p>
          <w:p w14:paraId="076BBDCA">
            <w:pPr>
              <w:spacing w:line="360" w:lineRule="auto"/>
              <w:rPr>
                <w:rFonts w:hint="eastAsia" w:ascii="楷体" w:hAnsi="楷体" w:eastAsia="楷体" w:cs="楷体"/>
                <w:color w:val="auto"/>
              </w:rPr>
            </w:pPr>
            <w:r>
              <w:rPr>
                <w:rFonts w:hint="eastAsia" w:ascii="楷体" w:hAnsi="楷体" w:eastAsia="楷体" w:cs="楷体"/>
                <w:color w:val="auto"/>
              </w:rPr>
              <w:t>第二个档次（10分）：投标人获得AA级信用等级证书；</w:t>
            </w:r>
          </w:p>
          <w:p w14:paraId="678768BD">
            <w:pPr>
              <w:spacing w:line="360" w:lineRule="auto"/>
              <w:rPr>
                <w:rFonts w:hint="eastAsia" w:ascii="楷体" w:hAnsi="楷体" w:eastAsia="楷体" w:cs="楷体"/>
                <w:color w:val="auto"/>
              </w:rPr>
            </w:pPr>
            <w:r>
              <w:rPr>
                <w:rFonts w:hint="eastAsia" w:ascii="楷体" w:hAnsi="楷体" w:eastAsia="楷体" w:cs="楷体"/>
                <w:color w:val="auto"/>
              </w:rPr>
              <w:t>第三个档次（6分）：投标人获得A级信用等级证书；</w:t>
            </w:r>
          </w:p>
          <w:p w14:paraId="320EB612">
            <w:pPr>
              <w:spacing w:line="360" w:lineRule="auto"/>
              <w:rPr>
                <w:rFonts w:hint="eastAsia" w:ascii="楷体" w:hAnsi="楷体" w:eastAsia="楷体" w:cs="楷体"/>
                <w:color w:val="auto"/>
              </w:rPr>
            </w:pPr>
            <w:r>
              <w:rPr>
                <w:rFonts w:hint="eastAsia" w:ascii="楷体" w:hAnsi="楷体" w:eastAsia="楷体" w:cs="楷体"/>
                <w:color w:val="auto"/>
              </w:rPr>
              <w:t>第四个档次（4分）：投标人获得BBB级信用等级证书；</w:t>
            </w:r>
          </w:p>
          <w:p w14:paraId="54C8E994">
            <w:pPr>
              <w:spacing w:line="360" w:lineRule="auto"/>
              <w:rPr>
                <w:rFonts w:hint="eastAsia" w:ascii="楷体" w:hAnsi="楷体" w:eastAsia="楷体" w:cs="楷体"/>
                <w:color w:val="auto"/>
              </w:rPr>
            </w:pPr>
            <w:r>
              <w:rPr>
                <w:rFonts w:hint="eastAsia" w:ascii="楷体" w:hAnsi="楷体" w:eastAsia="楷体" w:cs="楷体"/>
                <w:color w:val="auto"/>
              </w:rPr>
              <w:t>第五个档次（2分）：投标人获得BB级信用等级证书；</w:t>
            </w:r>
          </w:p>
          <w:p w14:paraId="6D4393FD">
            <w:pPr>
              <w:spacing w:line="360" w:lineRule="auto"/>
              <w:rPr>
                <w:rFonts w:hint="eastAsia" w:ascii="楷体" w:hAnsi="楷体" w:eastAsia="楷体" w:cs="楷体"/>
                <w:color w:val="auto"/>
              </w:rPr>
            </w:pPr>
            <w:r>
              <w:rPr>
                <w:rFonts w:hint="eastAsia" w:ascii="楷体" w:hAnsi="楷体" w:eastAsia="楷体" w:cs="楷体"/>
                <w:color w:val="auto"/>
              </w:rPr>
              <w:t>第六个档次（1分）：投标人获得B级信用等级证书；</w:t>
            </w:r>
          </w:p>
          <w:p w14:paraId="1D6BF8E2">
            <w:pPr>
              <w:spacing w:line="360" w:lineRule="auto"/>
              <w:rPr>
                <w:rFonts w:hint="eastAsia" w:ascii="楷体" w:hAnsi="楷体" w:eastAsia="楷体" w:cs="楷体"/>
                <w:color w:val="auto"/>
              </w:rPr>
            </w:pPr>
            <w:r>
              <w:rPr>
                <w:rFonts w:hint="eastAsia" w:ascii="楷体" w:hAnsi="楷体" w:eastAsia="楷体" w:cs="楷体"/>
                <w:color w:val="auto"/>
              </w:rPr>
              <w:t>第七个档次（0分）：投标人未获得信用等级证书；</w:t>
            </w:r>
          </w:p>
        </w:tc>
      </w:tr>
      <w:tr w14:paraId="46AEE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4" w:type="dxa"/>
            <w:vMerge w:val="continue"/>
            <w:noWrap w:val="0"/>
            <w:vAlign w:val="center"/>
          </w:tcPr>
          <w:p w14:paraId="3EBBAB1F">
            <w:pPr>
              <w:rPr>
                <w:rFonts w:hint="eastAsia" w:ascii="楷体" w:hAnsi="楷体" w:eastAsia="楷体" w:cs="楷体"/>
                <w:color w:val="auto"/>
                <w:szCs w:val="21"/>
              </w:rPr>
            </w:pPr>
          </w:p>
        </w:tc>
        <w:tc>
          <w:tcPr>
            <w:tcW w:w="652" w:type="dxa"/>
            <w:vMerge w:val="continue"/>
            <w:noWrap w:val="0"/>
            <w:vAlign w:val="center"/>
          </w:tcPr>
          <w:p w14:paraId="706BBE71">
            <w:pPr>
              <w:rPr>
                <w:rFonts w:hint="eastAsia" w:ascii="楷体" w:hAnsi="楷体" w:eastAsia="楷体" w:cs="楷体"/>
                <w:color w:val="auto"/>
                <w:szCs w:val="21"/>
              </w:rPr>
            </w:pPr>
          </w:p>
        </w:tc>
        <w:tc>
          <w:tcPr>
            <w:tcW w:w="2003" w:type="dxa"/>
            <w:vMerge w:val="continue"/>
            <w:noWrap w:val="0"/>
            <w:vAlign w:val="center"/>
          </w:tcPr>
          <w:p w14:paraId="21A962F4">
            <w:pPr>
              <w:spacing w:line="320" w:lineRule="exact"/>
              <w:jc w:val="center"/>
              <w:rPr>
                <w:rFonts w:hint="eastAsia" w:ascii="楷体" w:hAnsi="楷体" w:eastAsia="楷体" w:cs="楷体"/>
                <w:color w:val="auto"/>
                <w:szCs w:val="21"/>
              </w:rPr>
            </w:pPr>
          </w:p>
        </w:tc>
        <w:tc>
          <w:tcPr>
            <w:tcW w:w="6472" w:type="dxa"/>
            <w:noWrap w:val="0"/>
            <w:vAlign w:val="center"/>
          </w:tcPr>
          <w:p w14:paraId="692BC74E">
            <w:pPr>
              <w:widowControl/>
              <w:numPr>
                <w:ilvl w:val="0"/>
                <w:numId w:val="5"/>
              </w:numPr>
              <w:spacing w:line="360" w:lineRule="auto"/>
              <w:rPr>
                <w:rFonts w:hint="eastAsia" w:ascii="楷体" w:hAnsi="楷体" w:eastAsia="楷体" w:cs="楷体"/>
                <w:b/>
                <w:bCs/>
                <w:color w:val="auto"/>
                <w:lang w:val="en-US" w:eastAsia="zh-CN"/>
              </w:rPr>
            </w:pPr>
            <w:r>
              <w:rPr>
                <w:rFonts w:hint="eastAsia" w:ascii="楷体" w:hAnsi="楷体" w:eastAsia="楷体" w:cs="楷体"/>
                <w:b/>
                <w:bCs/>
                <w:color w:val="auto"/>
                <w:lang w:val="en-US" w:eastAsia="zh-CN"/>
              </w:rPr>
              <w:t>类似业绩评审（5分）</w:t>
            </w:r>
          </w:p>
          <w:p w14:paraId="066E71D8">
            <w:pPr>
              <w:widowControl/>
              <w:spacing w:line="360"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供应商自2021年1月1日至今完成过一个类似业绩得2.5分，每增加1个业绩加2.5分，最高得5分</w:t>
            </w:r>
            <w:r>
              <w:rPr>
                <w:rFonts w:hint="eastAsia" w:ascii="楷体" w:hAnsi="楷体" w:eastAsia="楷体" w:cs="楷体"/>
                <w:color w:val="auto"/>
              </w:rPr>
              <w:t>。</w:t>
            </w:r>
            <w:r>
              <w:rPr>
                <w:rFonts w:hint="eastAsia" w:ascii="楷体" w:hAnsi="楷体" w:eastAsia="楷体" w:cs="楷体"/>
                <w:b/>
                <w:bCs/>
                <w:color w:val="auto"/>
              </w:rPr>
              <w:t>（注：需提供类似业绩</w:t>
            </w:r>
            <w:r>
              <w:rPr>
                <w:rFonts w:hint="eastAsia" w:ascii="楷体" w:hAnsi="楷体" w:eastAsia="楷体" w:cs="楷体"/>
                <w:b/>
                <w:bCs/>
                <w:color w:val="auto"/>
                <w:lang w:val="en-US" w:eastAsia="zh-CN"/>
              </w:rPr>
              <w:t>证明材料</w:t>
            </w:r>
            <w:r>
              <w:rPr>
                <w:rFonts w:hint="eastAsia" w:ascii="楷体" w:hAnsi="楷体" w:eastAsia="楷体" w:cs="楷体"/>
                <w:b/>
                <w:bCs/>
                <w:color w:val="auto"/>
              </w:rPr>
              <w:t>）</w:t>
            </w:r>
          </w:p>
        </w:tc>
      </w:tr>
      <w:tr w14:paraId="030C4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7" w:hRule="atLeast"/>
          <w:jc w:val="center"/>
        </w:trPr>
        <w:tc>
          <w:tcPr>
            <w:tcW w:w="594" w:type="dxa"/>
            <w:vMerge w:val="continue"/>
            <w:noWrap w:val="0"/>
            <w:vAlign w:val="center"/>
          </w:tcPr>
          <w:p w14:paraId="690D53CF">
            <w:pPr>
              <w:rPr>
                <w:rFonts w:hint="eastAsia" w:ascii="楷体" w:hAnsi="楷体" w:eastAsia="楷体" w:cs="楷体"/>
                <w:color w:val="auto"/>
                <w:szCs w:val="21"/>
              </w:rPr>
            </w:pPr>
          </w:p>
        </w:tc>
        <w:tc>
          <w:tcPr>
            <w:tcW w:w="652" w:type="dxa"/>
            <w:vMerge w:val="continue"/>
            <w:noWrap w:val="0"/>
            <w:vAlign w:val="center"/>
          </w:tcPr>
          <w:p w14:paraId="2869FFE2">
            <w:pPr>
              <w:rPr>
                <w:rFonts w:hint="eastAsia" w:ascii="楷体" w:hAnsi="楷体" w:eastAsia="楷体" w:cs="楷体"/>
                <w:color w:val="auto"/>
                <w:szCs w:val="21"/>
              </w:rPr>
            </w:pPr>
          </w:p>
        </w:tc>
        <w:tc>
          <w:tcPr>
            <w:tcW w:w="2003" w:type="dxa"/>
            <w:vMerge w:val="continue"/>
            <w:noWrap w:val="0"/>
            <w:vAlign w:val="center"/>
          </w:tcPr>
          <w:p w14:paraId="48607BC5">
            <w:pPr>
              <w:spacing w:line="320" w:lineRule="exact"/>
              <w:jc w:val="center"/>
              <w:rPr>
                <w:rFonts w:hint="eastAsia" w:ascii="楷体" w:hAnsi="楷体" w:eastAsia="楷体" w:cs="楷体"/>
                <w:color w:val="auto"/>
                <w:szCs w:val="21"/>
              </w:rPr>
            </w:pPr>
          </w:p>
        </w:tc>
        <w:tc>
          <w:tcPr>
            <w:tcW w:w="6472" w:type="dxa"/>
            <w:noWrap w:val="0"/>
            <w:vAlign w:val="center"/>
          </w:tcPr>
          <w:p w14:paraId="17727929">
            <w:pPr>
              <w:widowControl/>
              <w:spacing w:line="360" w:lineRule="auto"/>
              <w:rPr>
                <w:rFonts w:hint="eastAsia" w:ascii="楷体" w:hAnsi="楷体" w:eastAsia="楷体" w:cs="楷体"/>
                <w:b/>
                <w:bCs/>
                <w:color w:val="auto"/>
                <w:szCs w:val="21"/>
              </w:rPr>
            </w:pPr>
            <w:r>
              <w:rPr>
                <w:rFonts w:hint="eastAsia" w:ascii="楷体" w:hAnsi="楷体" w:eastAsia="楷体" w:cs="楷体"/>
                <w:b/>
                <w:bCs/>
                <w:color w:val="auto"/>
                <w:szCs w:val="21"/>
                <w:lang w:val="en-US" w:eastAsia="zh-CN"/>
              </w:rPr>
              <w:t>3</w:t>
            </w:r>
            <w:r>
              <w:rPr>
                <w:rFonts w:hint="eastAsia" w:ascii="楷体" w:hAnsi="楷体" w:eastAsia="楷体" w:cs="楷体"/>
                <w:b/>
                <w:bCs/>
                <w:color w:val="auto"/>
                <w:szCs w:val="21"/>
              </w:rPr>
              <w:t>）质量保证及承诺</w:t>
            </w:r>
            <w:r>
              <w:rPr>
                <w:rFonts w:hint="eastAsia" w:ascii="楷体" w:hAnsi="楷体" w:eastAsia="楷体" w:cs="楷体"/>
                <w:b/>
                <w:color w:val="auto"/>
                <w:kern w:val="0"/>
                <w:szCs w:val="21"/>
              </w:rPr>
              <w:t>评审评分（满分</w:t>
            </w:r>
            <w:r>
              <w:rPr>
                <w:rFonts w:hint="eastAsia" w:ascii="楷体" w:hAnsi="楷体" w:eastAsia="楷体" w:cs="楷体"/>
                <w:b/>
                <w:color w:val="auto"/>
                <w:kern w:val="0"/>
                <w:szCs w:val="21"/>
                <w:lang w:val="en-US" w:eastAsia="zh-CN"/>
              </w:rPr>
              <w:t>20</w:t>
            </w:r>
            <w:r>
              <w:rPr>
                <w:rFonts w:hint="eastAsia" w:ascii="楷体" w:hAnsi="楷体" w:eastAsia="楷体" w:cs="楷体"/>
                <w:b/>
                <w:color w:val="auto"/>
                <w:kern w:val="0"/>
                <w:szCs w:val="21"/>
              </w:rPr>
              <w:t>分）</w:t>
            </w:r>
          </w:p>
          <w:p w14:paraId="2382E86D">
            <w:pPr>
              <w:widowControl/>
              <w:spacing w:line="360" w:lineRule="auto"/>
              <w:rPr>
                <w:rFonts w:hint="eastAsia" w:ascii="楷体" w:hAnsi="楷体" w:eastAsia="楷体" w:cs="楷体"/>
                <w:b/>
                <w:color w:val="auto"/>
                <w:kern w:val="0"/>
                <w:szCs w:val="21"/>
              </w:rPr>
            </w:pPr>
            <w:r>
              <w:rPr>
                <w:rFonts w:hint="eastAsia" w:ascii="楷体" w:hAnsi="楷体" w:eastAsia="楷体" w:cs="楷体"/>
                <w:b/>
                <w:bCs/>
                <w:color w:val="auto"/>
                <w:szCs w:val="21"/>
                <w:lang w:eastAsia="zh-CN"/>
              </w:rPr>
              <w:t>①</w:t>
            </w:r>
            <w:r>
              <w:rPr>
                <w:rFonts w:hint="eastAsia" w:ascii="楷体" w:hAnsi="楷体" w:eastAsia="楷体" w:cs="楷体"/>
                <w:b/>
                <w:bCs/>
                <w:color w:val="auto"/>
                <w:szCs w:val="21"/>
              </w:rPr>
              <w:t>服务质量保证及承诺</w:t>
            </w:r>
            <w:r>
              <w:rPr>
                <w:rFonts w:hint="eastAsia" w:ascii="楷体" w:hAnsi="楷体" w:eastAsia="楷体" w:cs="楷体"/>
                <w:b/>
                <w:color w:val="auto"/>
                <w:kern w:val="0"/>
                <w:szCs w:val="21"/>
              </w:rPr>
              <w:t>评审评分（满分</w:t>
            </w:r>
            <w:r>
              <w:rPr>
                <w:rFonts w:hint="eastAsia" w:ascii="楷体" w:hAnsi="楷体" w:eastAsia="楷体" w:cs="楷体"/>
                <w:b/>
                <w:color w:val="auto"/>
                <w:kern w:val="0"/>
                <w:szCs w:val="21"/>
                <w:lang w:val="en-US" w:eastAsia="zh-CN"/>
              </w:rPr>
              <w:t>8</w:t>
            </w:r>
            <w:r>
              <w:rPr>
                <w:rFonts w:hint="eastAsia" w:ascii="楷体" w:hAnsi="楷体" w:eastAsia="楷体" w:cs="楷体"/>
                <w:b/>
                <w:color w:val="auto"/>
                <w:kern w:val="0"/>
                <w:szCs w:val="21"/>
              </w:rPr>
              <w:t>分）</w:t>
            </w:r>
          </w:p>
          <w:p w14:paraId="79283FD7">
            <w:pPr>
              <w:widowControl/>
              <w:spacing w:line="360" w:lineRule="auto"/>
              <w:rPr>
                <w:rFonts w:hint="eastAsia" w:ascii="楷体" w:hAnsi="楷体" w:eastAsia="楷体" w:cs="楷体"/>
                <w:color w:val="auto"/>
                <w:kern w:val="0"/>
                <w:szCs w:val="21"/>
              </w:rPr>
            </w:pPr>
            <w:r>
              <w:rPr>
                <w:rFonts w:hint="eastAsia" w:ascii="楷体" w:hAnsi="楷体" w:eastAsia="楷体" w:cs="楷体"/>
                <w:color w:val="auto"/>
                <w:kern w:val="0"/>
                <w:szCs w:val="21"/>
              </w:rPr>
              <w:t>第一个档次（</w:t>
            </w:r>
            <w:r>
              <w:rPr>
                <w:rFonts w:hint="eastAsia" w:ascii="楷体" w:hAnsi="楷体" w:eastAsia="楷体" w:cs="楷体"/>
                <w:color w:val="auto"/>
                <w:kern w:val="0"/>
                <w:szCs w:val="21"/>
                <w:lang w:val="en-US" w:eastAsia="zh-CN"/>
              </w:rPr>
              <w:t>6-</w:t>
            </w:r>
            <w:r>
              <w:rPr>
                <w:rFonts w:hint="eastAsia" w:ascii="楷体" w:hAnsi="楷体" w:eastAsia="楷体" w:cs="楷体"/>
                <w:color w:val="auto"/>
                <w:kern w:val="0"/>
                <w:szCs w:val="21"/>
              </w:rPr>
              <w:t>8分）：服务质量保证内容完整、详细，承诺响应及时、措施完善、针对性强，完全满足采购人实际需求；</w:t>
            </w:r>
          </w:p>
          <w:p w14:paraId="2EF4615E">
            <w:pPr>
              <w:widowControl/>
              <w:spacing w:line="360" w:lineRule="auto"/>
              <w:rPr>
                <w:rFonts w:hint="eastAsia" w:ascii="楷体" w:hAnsi="楷体" w:eastAsia="楷体" w:cs="楷体"/>
                <w:color w:val="auto"/>
                <w:kern w:val="0"/>
                <w:szCs w:val="21"/>
              </w:rPr>
            </w:pPr>
            <w:r>
              <w:rPr>
                <w:rFonts w:hint="eastAsia" w:ascii="楷体" w:hAnsi="楷体" w:eastAsia="楷体" w:cs="楷体"/>
                <w:color w:val="auto"/>
                <w:kern w:val="0"/>
                <w:szCs w:val="21"/>
              </w:rPr>
              <w:t>第二个档次（</w:t>
            </w:r>
            <w:r>
              <w:rPr>
                <w:rFonts w:hint="eastAsia" w:ascii="楷体" w:hAnsi="楷体" w:eastAsia="楷体" w:cs="楷体"/>
                <w:color w:val="auto"/>
                <w:kern w:val="0"/>
                <w:szCs w:val="21"/>
                <w:lang w:val="en-US" w:eastAsia="zh-CN"/>
              </w:rPr>
              <w:t>3-</w:t>
            </w:r>
            <w:r>
              <w:rPr>
                <w:rFonts w:hint="eastAsia" w:ascii="楷体" w:hAnsi="楷体" w:eastAsia="楷体" w:cs="楷体"/>
                <w:color w:val="auto"/>
                <w:kern w:val="0"/>
                <w:szCs w:val="21"/>
              </w:rPr>
              <w:t>5分）：服务质量保证内容基本完整，承诺响应较为及时、措施基本完善、有一定针对性，可以满足采购人实际需求；</w:t>
            </w:r>
          </w:p>
          <w:p w14:paraId="0E22DFF1">
            <w:pPr>
              <w:widowControl/>
              <w:spacing w:line="360" w:lineRule="auto"/>
              <w:rPr>
                <w:rFonts w:hint="eastAsia" w:ascii="楷体" w:hAnsi="楷体" w:eastAsia="楷体" w:cs="楷体"/>
                <w:color w:val="auto"/>
                <w:kern w:val="0"/>
                <w:szCs w:val="21"/>
              </w:rPr>
            </w:pPr>
            <w:r>
              <w:rPr>
                <w:rFonts w:hint="eastAsia" w:ascii="楷体" w:hAnsi="楷体" w:eastAsia="楷体" w:cs="楷体"/>
                <w:color w:val="auto"/>
                <w:kern w:val="0"/>
                <w:szCs w:val="21"/>
              </w:rPr>
              <w:t>第三个档次（</w:t>
            </w:r>
            <w:r>
              <w:rPr>
                <w:rFonts w:hint="eastAsia" w:ascii="楷体" w:hAnsi="楷体" w:eastAsia="楷体" w:cs="楷体"/>
                <w:color w:val="auto"/>
                <w:kern w:val="0"/>
                <w:szCs w:val="21"/>
                <w:lang w:val="en-US" w:eastAsia="zh-CN"/>
              </w:rPr>
              <w:t>1-</w:t>
            </w:r>
            <w:r>
              <w:rPr>
                <w:rFonts w:hint="eastAsia" w:ascii="楷体" w:hAnsi="楷体" w:eastAsia="楷体" w:cs="楷体"/>
                <w:color w:val="auto"/>
                <w:kern w:val="0"/>
                <w:szCs w:val="21"/>
              </w:rPr>
              <w:t>2分）：服务质量保证内容缺漏、粗糙，承诺响应较慢、措施缺乏、不具有针对性，无法满足采购人实际需求；</w:t>
            </w:r>
          </w:p>
          <w:p w14:paraId="6A80693F">
            <w:pPr>
              <w:spacing w:line="320" w:lineRule="exact"/>
              <w:rPr>
                <w:rFonts w:hint="eastAsia" w:ascii="楷体" w:hAnsi="楷体" w:eastAsia="楷体" w:cs="楷体"/>
                <w:color w:val="auto"/>
                <w:kern w:val="0"/>
                <w:szCs w:val="21"/>
              </w:rPr>
            </w:pPr>
            <w:r>
              <w:rPr>
                <w:rFonts w:hint="eastAsia" w:ascii="楷体" w:hAnsi="楷体" w:eastAsia="楷体" w:cs="楷体"/>
                <w:color w:val="auto"/>
                <w:kern w:val="0"/>
                <w:szCs w:val="21"/>
              </w:rPr>
              <w:t>第四个档次（0分）：投标人未提供服务质量保证。</w:t>
            </w:r>
          </w:p>
          <w:p w14:paraId="4070E4E6">
            <w:pPr>
              <w:spacing w:line="320" w:lineRule="exact"/>
              <w:rPr>
                <w:rFonts w:hint="eastAsia" w:ascii="楷体" w:hAnsi="楷体" w:eastAsia="楷体" w:cs="楷体"/>
                <w:b/>
                <w:bCs/>
                <w:color w:val="auto"/>
                <w:szCs w:val="21"/>
              </w:rPr>
            </w:pPr>
            <w:r>
              <w:rPr>
                <w:rFonts w:hint="eastAsia" w:ascii="楷体" w:hAnsi="楷体" w:eastAsia="楷体" w:cs="楷体"/>
                <w:b/>
                <w:bCs/>
                <w:color w:val="auto"/>
                <w:szCs w:val="21"/>
                <w:lang w:eastAsia="zh-CN"/>
              </w:rPr>
              <w:t>②货物</w:t>
            </w:r>
            <w:r>
              <w:rPr>
                <w:rFonts w:hint="eastAsia" w:ascii="楷体" w:hAnsi="楷体" w:eastAsia="楷体" w:cs="楷体"/>
                <w:b/>
                <w:bCs/>
                <w:color w:val="auto"/>
                <w:szCs w:val="21"/>
              </w:rPr>
              <w:t>质量保证及承诺评审评分（满分</w:t>
            </w:r>
            <w:r>
              <w:rPr>
                <w:rFonts w:hint="eastAsia" w:ascii="楷体" w:hAnsi="楷体" w:eastAsia="楷体" w:cs="楷体"/>
                <w:b/>
                <w:bCs/>
                <w:color w:val="auto"/>
                <w:szCs w:val="21"/>
                <w:lang w:val="en-US" w:eastAsia="zh-CN"/>
              </w:rPr>
              <w:t>12</w:t>
            </w:r>
            <w:r>
              <w:rPr>
                <w:rFonts w:hint="eastAsia" w:ascii="楷体" w:hAnsi="楷体" w:eastAsia="楷体" w:cs="楷体"/>
                <w:b/>
                <w:bCs/>
                <w:color w:val="auto"/>
                <w:szCs w:val="21"/>
              </w:rPr>
              <w:t>分）</w:t>
            </w:r>
          </w:p>
          <w:p w14:paraId="5F985A83">
            <w:pPr>
              <w:widowControl/>
              <w:spacing w:line="360" w:lineRule="auto"/>
              <w:rPr>
                <w:rFonts w:hint="eastAsia" w:ascii="楷体" w:hAnsi="楷体" w:eastAsia="楷体" w:cs="楷体"/>
                <w:color w:val="auto"/>
                <w:kern w:val="0"/>
                <w:szCs w:val="21"/>
              </w:rPr>
            </w:pPr>
            <w:r>
              <w:rPr>
                <w:rFonts w:hint="eastAsia" w:ascii="楷体" w:hAnsi="楷体" w:eastAsia="楷体" w:cs="楷体"/>
                <w:color w:val="auto"/>
                <w:kern w:val="0"/>
                <w:szCs w:val="21"/>
              </w:rPr>
              <w:t>第一个档次（</w:t>
            </w:r>
            <w:r>
              <w:rPr>
                <w:rFonts w:hint="eastAsia" w:ascii="楷体" w:hAnsi="楷体" w:eastAsia="楷体" w:cs="楷体"/>
                <w:color w:val="auto"/>
                <w:kern w:val="0"/>
                <w:szCs w:val="21"/>
                <w:lang w:val="en-US" w:eastAsia="zh-CN"/>
              </w:rPr>
              <w:t>9-</w:t>
            </w:r>
            <w:r>
              <w:rPr>
                <w:rFonts w:hint="eastAsia" w:ascii="楷体" w:hAnsi="楷体" w:eastAsia="楷体" w:cs="楷体"/>
                <w:color w:val="auto"/>
                <w:kern w:val="0"/>
                <w:szCs w:val="21"/>
              </w:rPr>
              <w:t>12分）：</w:t>
            </w:r>
            <w:r>
              <w:rPr>
                <w:rFonts w:hint="eastAsia" w:ascii="楷体" w:hAnsi="楷体" w:eastAsia="楷体" w:cs="楷体"/>
                <w:color w:val="auto"/>
                <w:szCs w:val="21"/>
              </w:rPr>
              <w:t>货物质量保证及承诺</w:t>
            </w:r>
            <w:r>
              <w:rPr>
                <w:rFonts w:hint="eastAsia" w:ascii="楷体" w:hAnsi="楷体" w:eastAsia="楷体" w:cs="楷体"/>
                <w:color w:val="auto"/>
                <w:kern w:val="0"/>
                <w:szCs w:val="21"/>
              </w:rPr>
              <w:t>内容完整、具体、切实可行、科学规范、针对性好。</w:t>
            </w:r>
          </w:p>
          <w:p w14:paraId="56646A11">
            <w:pPr>
              <w:widowControl/>
              <w:spacing w:line="360" w:lineRule="auto"/>
              <w:rPr>
                <w:rFonts w:hint="eastAsia" w:ascii="楷体" w:hAnsi="楷体" w:eastAsia="楷体" w:cs="楷体"/>
                <w:color w:val="auto"/>
                <w:kern w:val="0"/>
                <w:szCs w:val="21"/>
              </w:rPr>
            </w:pPr>
            <w:r>
              <w:rPr>
                <w:rFonts w:hint="eastAsia" w:ascii="楷体" w:hAnsi="楷体" w:eastAsia="楷体" w:cs="楷体"/>
                <w:color w:val="auto"/>
                <w:kern w:val="0"/>
                <w:szCs w:val="21"/>
              </w:rPr>
              <w:t>第二个档次（</w:t>
            </w:r>
            <w:r>
              <w:rPr>
                <w:rFonts w:hint="eastAsia" w:ascii="楷体" w:hAnsi="楷体" w:eastAsia="楷体" w:cs="楷体"/>
                <w:color w:val="auto"/>
                <w:kern w:val="0"/>
                <w:szCs w:val="21"/>
                <w:lang w:val="en-US" w:eastAsia="zh-CN"/>
              </w:rPr>
              <w:t>4-</w:t>
            </w:r>
            <w:r>
              <w:rPr>
                <w:rFonts w:hint="eastAsia" w:ascii="楷体" w:hAnsi="楷体" w:eastAsia="楷体" w:cs="楷体"/>
                <w:color w:val="auto"/>
                <w:kern w:val="0"/>
                <w:szCs w:val="21"/>
              </w:rPr>
              <w:t>8分）：</w:t>
            </w:r>
            <w:r>
              <w:rPr>
                <w:rFonts w:hint="eastAsia" w:ascii="楷体" w:hAnsi="楷体" w:eastAsia="楷体" w:cs="楷体"/>
                <w:color w:val="auto"/>
                <w:szCs w:val="21"/>
              </w:rPr>
              <w:t>货物质量保证及承诺</w:t>
            </w:r>
            <w:r>
              <w:rPr>
                <w:rFonts w:hint="eastAsia" w:ascii="楷体" w:hAnsi="楷体" w:eastAsia="楷体" w:cs="楷体"/>
                <w:color w:val="auto"/>
                <w:kern w:val="0"/>
                <w:szCs w:val="21"/>
              </w:rPr>
              <w:t>内容基本完整、可行性一般、针对性一般。</w:t>
            </w:r>
          </w:p>
          <w:p w14:paraId="6A8DEFA3">
            <w:pPr>
              <w:widowControl/>
              <w:spacing w:line="360" w:lineRule="auto"/>
              <w:rPr>
                <w:rFonts w:hint="eastAsia" w:ascii="楷体" w:hAnsi="楷体" w:eastAsia="楷体" w:cs="楷体"/>
                <w:color w:val="auto"/>
                <w:kern w:val="0"/>
                <w:szCs w:val="21"/>
              </w:rPr>
            </w:pPr>
            <w:r>
              <w:rPr>
                <w:rFonts w:hint="eastAsia" w:ascii="楷体" w:hAnsi="楷体" w:eastAsia="楷体" w:cs="楷体"/>
                <w:color w:val="auto"/>
                <w:kern w:val="0"/>
                <w:szCs w:val="21"/>
              </w:rPr>
              <w:t>第三个档次（</w:t>
            </w:r>
            <w:r>
              <w:rPr>
                <w:rFonts w:hint="eastAsia" w:ascii="楷体" w:hAnsi="楷体" w:eastAsia="楷体" w:cs="楷体"/>
                <w:color w:val="auto"/>
                <w:kern w:val="0"/>
                <w:szCs w:val="21"/>
                <w:lang w:val="en-US" w:eastAsia="zh-CN"/>
              </w:rPr>
              <w:t>1-</w:t>
            </w:r>
            <w:r>
              <w:rPr>
                <w:rFonts w:hint="eastAsia" w:ascii="楷体" w:hAnsi="楷体" w:eastAsia="楷体" w:cs="楷体"/>
                <w:color w:val="auto"/>
                <w:kern w:val="0"/>
                <w:szCs w:val="21"/>
              </w:rPr>
              <w:t>3分）：</w:t>
            </w:r>
            <w:r>
              <w:rPr>
                <w:rFonts w:hint="eastAsia" w:ascii="楷体" w:hAnsi="楷体" w:eastAsia="楷体" w:cs="楷体"/>
                <w:color w:val="auto"/>
                <w:szCs w:val="21"/>
              </w:rPr>
              <w:t>货物质量保证及承诺</w:t>
            </w:r>
            <w:r>
              <w:rPr>
                <w:rFonts w:hint="eastAsia" w:ascii="楷体" w:hAnsi="楷体" w:eastAsia="楷体" w:cs="楷体"/>
                <w:color w:val="auto"/>
                <w:kern w:val="0"/>
                <w:szCs w:val="21"/>
              </w:rPr>
              <w:t>内容不完整、可行性差、针对性差。</w:t>
            </w:r>
          </w:p>
          <w:p w14:paraId="41115D05">
            <w:pPr>
              <w:widowControl/>
              <w:spacing w:line="360" w:lineRule="auto"/>
              <w:rPr>
                <w:rFonts w:hint="eastAsia" w:ascii="楷体" w:hAnsi="楷体" w:eastAsia="楷体" w:cs="楷体"/>
                <w:bCs/>
                <w:color w:val="auto"/>
                <w:szCs w:val="21"/>
              </w:rPr>
            </w:pPr>
            <w:r>
              <w:rPr>
                <w:rFonts w:hint="eastAsia" w:ascii="楷体" w:hAnsi="楷体" w:eastAsia="楷体" w:cs="楷体"/>
                <w:color w:val="auto"/>
                <w:kern w:val="0"/>
                <w:szCs w:val="21"/>
              </w:rPr>
              <w:t>第四个档次（0分）：投标人未提出</w:t>
            </w:r>
            <w:r>
              <w:rPr>
                <w:rFonts w:hint="eastAsia" w:ascii="楷体" w:hAnsi="楷体" w:eastAsia="楷体" w:cs="楷体"/>
                <w:color w:val="auto"/>
                <w:szCs w:val="21"/>
              </w:rPr>
              <w:t>货物质量保证及承诺</w:t>
            </w:r>
            <w:r>
              <w:rPr>
                <w:rFonts w:hint="eastAsia" w:ascii="楷体" w:hAnsi="楷体" w:eastAsia="楷体" w:cs="楷体"/>
                <w:color w:val="auto"/>
                <w:kern w:val="0"/>
                <w:szCs w:val="21"/>
              </w:rPr>
              <w:t>。</w:t>
            </w:r>
          </w:p>
        </w:tc>
      </w:tr>
    </w:tbl>
    <w:p w14:paraId="1D0EF2B6">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1.评标方法：</w:t>
      </w:r>
    </w:p>
    <w:p w14:paraId="053B66E2">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1.1本次评标采用综合评分法。评标委员会对满足招标文件实质性要求的投标文件，按照本章前附表规定的评分标准进行打分，并按上述评标总得分计算公式计算评标总得分，按评标总得分由高到低的顺序推荐中标候选人排序；评标总得分相等时，按投标报价由低到高顺序排序；</w:t>
      </w:r>
    </w:p>
    <w:p w14:paraId="09C16876">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2.评审程序和标准</w:t>
      </w:r>
    </w:p>
    <w:p w14:paraId="39450876">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2.1符合性审查</w:t>
      </w:r>
    </w:p>
    <w:p w14:paraId="6A121762">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2.1.1评标委员会依据招标文件的规定，对符合资格的投标人的投标文件进行符合性审查（具体详见《评标方法前附表》），以确定其是否满足招标文件的实质性要求。</w:t>
      </w:r>
    </w:p>
    <w:p w14:paraId="5B44A6EB">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2.1.2符合性审查内容及标准：详见招标文件第</w:t>
      </w:r>
      <w:r>
        <w:rPr>
          <w:rFonts w:hint="eastAsia" w:ascii="楷体" w:hAnsi="楷体" w:eastAsia="楷体" w:cs="楷体"/>
          <w:color w:val="auto"/>
          <w:sz w:val="24"/>
          <w:highlight w:val="none"/>
          <w:lang w:val="en-US" w:eastAsia="zh-CN"/>
        </w:rPr>
        <w:t>六</w:t>
      </w:r>
      <w:r>
        <w:rPr>
          <w:rFonts w:hint="eastAsia" w:ascii="楷体" w:hAnsi="楷体" w:eastAsia="楷体" w:cs="楷体"/>
          <w:color w:val="auto"/>
          <w:sz w:val="24"/>
          <w:highlight w:val="none"/>
        </w:rPr>
        <w:t>章《评标方法》“评标方法前附表</w:t>
      </w:r>
      <w:r>
        <w:rPr>
          <w:rFonts w:hint="eastAsia" w:ascii="楷体" w:hAnsi="楷体" w:eastAsia="楷体" w:cs="楷体"/>
          <w:color w:val="auto"/>
          <w:sz w:val="24"/>
          <w:highlight w:val="none"/>
          <w:lang w:val="en-US" w:eastAsia="zh-CN"/>
        </w:rPr>
        <w:t>2.</w:t>
      </w:r>
      <w:r>
        <w:rPr>
          <w:rFonts w:hint="eastAsia" w:ascii="楷体" w:hAnsi="楷体" w:eastAsia="楷体" w:cs="楷体"/>
          <w:color w:val="auto"/>
          <w:sz w:val="24"/>
          <w:highlight w:val="none"/>
        </w:rPr>
        <w:t>2.1符合性审查”，经审查有一项不符合的，该投标文件按无效投标处理。</w:t>
      </w:r>
    </w:p>
    <w:p w14:paraId="450AC88B">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2.2 评标方法和标准</w:t>
      </w:r>
    </w:p>
    <w:p w14:paraId="1CACD616">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2.2.1评标委员会按照招标文件中规定的评标方法和标准，对符合性审查合格的投标文件进行商务和技术评估，综合比较与评价。招标文件中没有规定的评标方法和标准，不作为评标依据。</w:t>
      </w:r>
    </w:p>
    <w:p w14:paraId="6FF8D431">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2.2.2投标报价得分F1：按本章《评标方法前附表》的规定对投标报价进行计算并得出F1得分；</w:t>
      </w:r>
    </w:p>
    <w:p w14:paraId="4966BEC1">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2.2.3技术部分得分F2：按本章《评标方法前附表》的规定对技术部分评分并计算出F2汇总得分</w:t>
      </w:r>
    </w:p>
    <w:p w14:paraId="1D3A87EA">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2.2.4商务部分得分F3：按本章《评标方法前附表》的规定对商务部分评分并计算出F3汇总得分；</w:t>
      </w:r>
    </w:p>
    <w:p w14:paraId="794B9D4A">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2.2.5评标总得分：按本章《评标方法前附表》的规定计算评标总得分。</w:t>
      </w:r>
    </w:p>
    <w:p w14:paraId="2D506393">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2.3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认定其投标无效。</w:t>
      </w:r>
    </w:p>
    <w:p w14:paraId="2D7C3B00">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2.4对投标人的价格分等客观评分项的评分应当一致，对其他需要借助专业知识评判的主观评分项，应当严格按照评分细则公正评分。</w:t>
      </w:r>
    </w:p>
    <w:p w14:paraId="623CAB78">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2.5技术部分（F2）和商务部分（F3）由评标委员会各成员独立对每个投标人的投标文件进行评价，并汇总每个投标人的得分。投标人各项评分因素得分为该项因素评标委员会各成员汇总得分的算术平均值（保留小数点后两位），小数点后第三位“四舍五入”。</w:t>
      </w:r>
    </w:p>
    <w:p w14:paraId="6F1908CA">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2.6评标委员会成员要依法独立评审，并对评审意见承担个人责任。</w:t>
      </w:r>
    </w:p>
    <w:p w14:paraId="6F5DA300">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3.投标文件的澄清、说明或者补正 </w:t>
      </w:r>
    </w:p>
    <w:p w14:paraId="3764A3D6">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3.1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58194835">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3.2评标委员会不接受投标人主动提出的澄清、说明或者补正。</w:t>
      </w:r>
    </w:p>
    <w:p w14:paraId="7E66A86B">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3.3 评标委员会对投标人提交的澄清、说明或者补正有疑问的，可以要求投标人进一步澄清、说明或者补正。</w:t>
      </w:r>
    </w:p>
    <w:p w14:paraId="1D236736">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4.评标结果</w:t>
      </w:r>
    </w:p>
    <w:p w14:paraId="33DD4E07">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4.1提供相同品牌产品且通过资格审查、符合性审查的不同投标人参加同一合同项下投标的，按一家投标人计算，评审后得分最高的同品牌投标人获得中标人推荐资格；评审得分相同的，由评标委员会按照授权齐全、资格合格且报价最低或最有利于采购人利益的方式确定一个投标人获得中标人推荐资格。</w:t>
      </w:r>
    </w:p>
    <w:p w14:paraId="5D7576C4">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4.2非单一产品采购项目，采购人根据采购项目技术构成、产品价格比重等确定核心产品，投标人提供的核心产品品牌相同的，按前款规定处理。</w:t>
      </w:r>
    </w:p>
    <w:p w14:paraId="4CC8A7F2">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4.3投标文件满足招标文件全部实质性要求，且按照评审因素的量化指标评审得分最高的投标人将会被推荐为排名第一的中标候选人。</w:t>
      </w:r>
    </w:p>
    <w:p w14:paraId="3153A41C">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4.4评标委员会按评标总得分由高到低顺序推荐中标候选人，评标总得分相等时，按投标报价由低到高顺序排序，并提出书面评标报告。</w:t>
      </w:r>
    </w:p>
    <w:p w14:paraId="58632942">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4.5评标委员会根据全体评标成员签字的原始评标记录和评标结果编写评标报告。</w:t>
      </w:r>
    </w:p>
    <w:p w14:paraId="35FE0C8F">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4.6评标委员会成员对需要共同认定的事项存在争议的，应当按照少数服从多数的原则作出结论。持不同意见的评标委员会成员应当在评标报告上签署不同意见及理由，否则视为同意评标报告。</w:t>
      </w:r>
    </w:p>
    <w:p w14:paraId="7CE8F467">
      <w:pPr>
        <w:shd w:val="clear"/>
        <w:spacing w:line="360" w:lineRule="auto"/>
        <w:ind w:firstLine="422" w:firstLineChars="176"/>
        <w:rPr>
          <w:rFonts w:hint="eastAsia" w:ascii="楷体" w:hAnsi="楷体" w:eastAsia="楷体" w:cs="楷体"/>
          <w:color w:val="auto"/>
          <w:sz w:val="24"/>
          <w:highlight w:val="none"/>
        </w:rPr>
      </w:pPr>
      <w:r>
        <w:rPr>
          <w:rFonts w:hint="eastAsia" w:ascii="楷体" w:hAnsi="楷体" w:eastAsia="楷体" w:cs="楷体"/>
          <w:color w:val="auto"/>
          <w:sz w:val="24"/>
          <w:highlight w:val="none"/>
        </w:rPr>
        <w:t>4.7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33CC293C">
      <w:pPr>
        <w:shd w:val="clear"/>
        <w:spacing w:line="360" w:lineRule="auto"/>
        <w:rPr>
          <w:rFonts w:hint="eastAsia" w:ascii="楷体" w:hAnsi="楷体" w:eastAsia="楷体" w:cs="楷体"/>
          <w:color w:val="auto"/>
          <w:highlight w:val="none"/>
        </w:rPr>
      </w:pPr>
    </w:p>
    <w:p w14:paraId="0C25CD09">
      <w:pPr>
        <w:shd w:val="clear"/>
        <w:spacing w:line="360" w:lineRule="auto"/>
        <w:rPr>
          <w:rFonts w:hint="eastAsia" w:ascii="楷体" w:hAnsi="楷体" w:eastAsia="楷体" w:cs="楷体"/>
          <w:color w:val="auto"/>
          <w:highlight w:val="none"/>
        </w:rPr>
      </w:pPr>
    </w:p>
    <w:p w14:paraId="4869E2C2">
      <w:pPr>
        <w:rPr>
          <w:rFonts w:hint="eastAsia" w:ascii="楷体" w:hAnsi="楷体" w:eastAsia="楷体" w:cs="楷体"/>
          <w:color w:val="auto"/>
        </w:rPr>
      </w:pPr>
    </w:p>
    <w:sectPr>
      <w:pgSz w:w="11906" w:h="16838"/>
      <w:pgMar w:top="1134" w:right="1134" w:bottom="1134" w:left="1134" w:header="680" w:footer="680"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1F9B7">
    <w:pPr>
      <w:pStyle w:val="12"/>
      <w:ind w:right="360"/>
      <w:rPr>
        <w:sz w:val="21"/>
      </w:rPr>
    </w:pPr>
    <w:r>
      <w:rPr>
        <w:rStyle w:val="22"/>
      </w:rPr>
      <w:t>AGE  211211</w:t>
    </w:r>
  </w:p>
  <w:p w14:paraId="129CEC35"/>
  <w:p w14:paraId="147441CE">
    <w:pPr>
      <w:pStyle w:val="12"/>
      <w:tabs>
        <w:tab w:val="left" w:pos="3390"/>
        <w:tab w:val="clear" w:pos="4153"/>
        <w:tab w:val="clear" w:pos="8306"/>
      </w:tabs>
      <w:ind w:right="360"/>
      <w:jc w:val="both"/>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1" name="文本框 1"/>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a:noFill/>
                      </a:ln>
                    </wps:spPr>
                    <wps:txbx>
                      <w:txbxContent>
                        <w:p w14:paraId="6C0BF8F0">
                          <w:pPr>
                            <w:pStyle w:val="12"/>
                            <w:rPr>
                              <w:rStyle w:val="22"/>
                              <w:sz w:val="21"/>
                            </w:rPr>
                          </w:pPr>
                          <w:r>
                            <w:rPr>
                              <w:rStyle w:val="22"/>
                              <w:sz w:val="21"/>
                            </w:rPr>
                            <w:t>age2</w:t>
                          </w:r>
                        </w:p>
                        <w:p w14:paraId="34B6FE5B"/>
                        <w:p w14:paraId="541D3950"/>
                      </w:txbxContent>
                    </wps:txbx>
                    <wps:bodyPr lIns="0" tIns="0" rIns="0" bIns="0" upright="1"/>
                  </wps:wsp>
                </a:graphicData>
              </a:graphic>
            </wp:anchor>
          </w:drawing>
        </mc:Choice>
        <mc:Fallback>
          <w:pict>
            <v:shape id="_x0000_s1026" o:spid="_x0000_s1026" o:spt="202" type="#_x0000_t202" style="position:absolute;left:0pt;margin-top:0pt;height:13.6pt;width:5.25pt;mso-position-horizontal:righ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G0n7CvTAAAAAwEAAA8AAAAAAAAAAQAgAAAAIgAAAGRycy9kb3ducmV2LnhtbFBLAQIUABQAAAAI&#10;AIdO4kD8UFo/uQEAAHADAAAOAAAAAAAAAAEAIAAAACIBAABkcnMvZTJvRG9jLnhtbFBLBQYAAAAA&#10;BgAGAFkBAABNBQAAAAA=&#10;">
              <v:fill on="f" focussize="0,0"/>
              <v:stroke on="f"/>
              <v:imagedata o:title=""/>
              <o:lock v:ext="edit" aspectratio="f"/>
              <v:textbox inset="0mm,0mm,0mm,0mm">
                <w:txbxContent>
                  <w:p w14:paraId="6C0BF8F0">
                    <w:pPr>
                      <w:pStyle w:val="12"/>
                      <w:rPr>
                        <w:rStyle w:val="22"/>
                        <w:sz w:val="21"/>
                      </w:rPr>
                    </w:pPr>
                    <w:r>
                      <w:rPr>
                        <w:rStyle w:val="22"/>
                        <w:sz w:val="21"/>
                      </w:rPr>
                      <w:t>age2</w:t>
                    </w:r>
                  </w:p>
                  <w:p w14:paraId="34B6FE5B"/>
                  <w:p w14:paraId="541D3950"/>
                </w:txbxContent>
              </v:textbox>
              <w10:wrap type="squar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D84E0">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C5E1D">
    <w:pPr>
      <w:pStyle w:val="12"/>
      <w:rPr>
        <w:rFonts w:hint="eastAsia" w:eastAsia="宋体"/>
        <w:lang w:eastAsia="zh-CN"/>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555A49">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62555A49">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drawing>
        <wp:inline distT="0" distB="0" distL="114300" distR="114300">
          <wp:extent cx="468630" cy="332105"/>
          <wp:effectExtent l="0" t="0" r="7620" b="10795"/>
          <wp:docPr id="16" name="图片 1" descr="c9d6208a4554d0a9e910b3c2704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c9d6208a4554d0a9e910b3c270442f0"/>
                  <pic:cNvPicPr>
                    <a:picLocks noChangeAspect="1"/>
                  </pic:cNvPicPr>
                </pic:nvPicPr>
                <pic:blipFill>
                  <a:blip r:embed="rId1"/>
                  <a:stretch>
                    <a:fillRect/>
                  </a:stretch>
                </pic:blipFill>
                <pic:spPr>
                  <a:xfrm>
                    <a:off x="0" y="0"/>
                    <a:ext cx="468630" cy="332105"/>
                  </a:xfrm>
                  <a:prstGeom prst="rect">
                    <a:avLst/>
                  </a:prstGeom>
                  <a:noFill/>
                  <a:ln>
                    <a:noFill/>
                  </a:ln>
                </pic:spPr>
              </pic:pic>
            </a:graphicData>
          </a:graphic>
        </wp:inline>
      </w:drawing>
    </w:r>
    <w:r>
      <w:rPr>
        <w:rFonts w:hint="eastAsia" w:ascii="仿宋_GB2312" w:hAnsi="华文仿宋" w:eastAsia="仿宋_GB2312"/>
        <w:b/>
        <w:bCs/>
        <w:color w:val="000000"/>
        <w:lang w:eastAsia="zh-CN"/>
      </w:rPr>
      <w:t>云南建协招标有限责任公司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DD76D">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1DEF0E">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61DEF0E">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9BF5C">
    <w:pPr>
      <w:pStyle w:val="12"/>
      <w:rPr>
        <w:rFonts w:hint="eastAsia"/>
        <w:lang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54EB29">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654EB29">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90269">
    <w:pPr>
      <w:pStyle w:val="12"/>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C1B002">
                          <w:pPr>
                            <w:pStyle w:val="12"/>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0C1B002">
                    <w:pPr>
                      <w:pStyle w:val="12"/>
                    </w:pPr>
                    <w:r>
                      <w:fldChar w:fldCharType="begin"/>
                    </w:r>
                    <w:r>
                      <w:instrText xml:space="preserve"> PAGE  \* MERGEFORMAT </w:instrText>
                    </w:r>
                    <w:r>
                      <w:fldChar w:fldCharType="separate"/>
                    </w:r>
                    <w:r>
                      <w:t>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F2620">
    <w:pPr>
      <w:pStyle w:val="13"/>
      <w:jc w:val="left"/>
      <w:rPr>
        <w:rFonts w:hint="eastAsia" w:ascii="宋体" w:hAnsi="宋体" w:eastAsia="宋体" w:cs="宋体"/>
        <w:b/>
        <w:sz w:val="20"/>
        <w:szCs w:val="20"/>
        <w:lang w:eastAsia="zh-CN"/>
      </w:rPr>
    </w:pPr>
    <w:r>
      <w:rPr>
        <w:rFonts w:hint="eastAsia" w:ascii="宋体" w:hAnsi="宋体" w:cs="宋体"/>
        <w:b/>
        <w:sz w:val="20"/>
        <w:szCs w:val="20"/>
        <w:lang w:eastAsia="zh-CN"/>
      </w:rPr>
      <w:t>昆明市官渡区人民法院2024年警用耗材采购项目</w:t>
    </w:r>
    <w:r>
      <w:rPr>
        <w:rFonts w:hint="eastAsia" w:ascii="宋体" w:hAnsi="宋体" w:eastAsia="宋体" w:cs="宋体"/>
        <w:b/>
        <w:sz w:val="20"/>
        <w:szCs w:val="20"/>
      </w:rPr>
      <w:t xml:space="preserve">     </w:t>
    </w:r>
    <w:r>
      <w:rPr>
        <w:rFonts w:hint="eastAsia" w:ascii="宋体" w:hAnsi="宋体" w:cs="宋体"/>
        <w:b/>
        <w:sz w:val="20"/>
        <w:szCs w:val="20"/>
        <w:lang w:val="en-US" w:eastAsia="zh-CN"/>
      </w:rPr>
      <w:t xml:space="preserve">        </w:t>
    </w:r>
    <w:r>
      <w:rPr>
        <w:rFonts w:hint="eastAsia" w:ascii="宋体" w:hAnsi="宋体" w:eastAsia="宋体" w:cs="宋体"/>
        <w:b/>
        <w:sz w:val="20"/>
        <w:szCs w:val="20"/>
      </w:rPr>
      <w:t xml:space="preserve">    </w:t>
    </w:r>
    <w:r>
      <w:rPr>
        <w:rFonts w:hint="eastAsia" w:ascii="宋体" w:hAnsi="宋体" w:eastAsia="宋体" w:cs="宋体"/>
        <w:b/>
        <w:sz w:val="20"/>
        <w:szCs w:val="20"/>
        <w:lang w:val="en-US" w:eastAsia="zh-CN"/>
      </w:rPr>
      <w:t xml:space="preserve">    </w:t>
    </w:r>
    <w:r>
      <w:rPr>
        <w:rFonts w:hint="eastAsia" w:ascii="宋体" w:hAnsi="宋体" w:eastAsia="宋体" w:cs="宋体"/>
        <w:b/>
        <w:sz w:val="20"/>
        <w:szCs w:val="20"/>
      </w:rPr>
      <w:t xml:space="preserve">                 </w:t>
    </w:r>
    <w:r>
      <w:rPr>
        <w:rFonts w:hint="eastAsia" w:ascii="宋体" w:hAnsi="宋体" w:eastAsia="宋体" w:cs="宋体"/>
        <w:b/>
        <w:sz w:val="20"/>
        <w:szCs w:val="20"/>
        <w:lang w:eastAsia="zh-CN"/>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71E6C">
    <w:pPr>
      <w:pStyle w:val="13"/>
      <w:jc w:val="both"/>
      <w:rPr>
        <w:rFonts w:hint="eastAsia" w:ascii="宋体" w:hAnsi="宋体" w:eastAsia="宋体" w:cs="宋体"/>
        <w:lang w:eastAsia="zh-CN"/>
      </w:rPr>
    </w:pPr>
    <w:r>
      <w:rPr>
        <w:rFonts w:hint="eastAsia" w:ascii="宋体" w:hAnsi="宋体" w:cs="宋体"/>
        <w:b/>
        <w:sz w:val="20"/>
        <w:szCs w:val="20"/>
        <w:lang w:eastAsia="zh-CN"/>
      </w:rPr>
      <w:t>昆明市官渡区人民法院2024年警用耗材采购项目</w:t>
    </w:r>
    <w:r>
      <w:rPr>
        <w:rFonts w:hint="eastAsia" w:ascii="宋体" w:hAnsi="宋体" w:eastAsia="宋体" w:cs="宋体"/>
        <w:b/>
        <w:sz w:val="20"/>
        <w:szCs w:val="20"/>
      </w:rPr>
      <w:t xml:space="preserve">          </w:t>
    </w:r>
    <w:r>
      <w:rPr>
        <w:rFonts w:hint="eastAsia" w:ascii="宋体" w:hAnsi="宋体" w:cs="宋体"/>
        <w:b/>
        <w:sz w:val="20"/>
        <w:szCs w:val="20"/>
        <w:lang w:val="en-US" w:eastAsia="zh-CN"/>
      </w:rPr>
      <w:t xml:space="preserve">               </w:t>
    </w:r>
    <w:r>
      <w:rPr>
        <w:rFonts w:hint="eastAsia" w:ascii="宋体" w:hAnsi="宋体" w:eastAsia="宋体" w:cs="宋体"/>
        <w:b/>
        <w:sz w:val="20"/>
        <w:szCs w:val="20"/>
      </w:rPr>
      <w:t xml:space="preserve">                </w:t>
    </w:r>
    <w:r>
      <w:rPr>
        <w:rFonts w:hint="eastAsia" w:ascii="宋体" w:hAnsi="宋体" w:eastAsia="宋体" w:cs="宋体"/>
        <w:b/>
        <w:sz w:val="20"/>
        <w:szCs w:val="20"/>
        <w:lang w:eastAsia="zh-CN"/>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4021D">
    <w:pPr>
      <w:pStyle w:val="13"/>
      <w:jc w:val="both"/>
      <w:rPr>
        <w:rFonts w:hint="eastAsia" w:eastAsia="宋体"/>
        <w:lang w:eastAsia="zh-CN"/>
      </w:rPr>
    </w:pPr>
    <w:r>
      <w:rPr>
        <w:rFonts w:hint="eastAsia"/>
        <w:b/>
        <w:sz w:val="20"/>
        <w:szCs w:val="20"/>
        <w:lang w:eastAsia="zh-CN"/>
      </w:rPr>
      <w:t>昆明市官渡区人民法院2024年警用耗材采购项目</w:t>
    </w:r>
    <w:r>
      <w:rPr>
        <w:rFonts w:hint="eastAsia"/>
        <w:b/>
        <w:sz w:val="20"/>
        <w:szCs w:val="20"/>
      </w:rPr>
      <w:t xml:space="preserve">      </w:t>
    </w:r>
    <w:r>
      <w:rPr>
        <w:rFonts w:hint="eastAsia"/>
        <w:b/>
        <w:sz w:val="20"/>
        <w:szCs w:val="20"/>
        <w:lang w:val="en-US" w:eastAsia="zh-CN"/>
      </w:rPr>
      <w:t xml:space="preserve">             </w:t>
    </w:r>
    <w:r>
      <w:rPr>
        <w:rFonts w:hint="eastAsia"/>
        <w:b/>
        <w:sz w:val="20"/>
        <w:szCs w:val="20"/>
      </w:rPr>
      <w:t xml:space="preserve">                    </w:t>
    </w:r>
    <w:r>
      <w:rPr>
        <w:rFonts w:hint="eastAsia"/>
        <w:b/>
        <w:sz w:val="20"/>
        <w:szCs w:val="20"/>
        <w:lang w:eastAsia="zh-CN"/>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F43E18"/>
    <w:multiLevelType w:val="singleLevel"/>
    <w:tmpl w:val="87F43E18"/>
    <w:lvl w:ilvl="0" w:tentative="0">
      <w:start w:val="1"/>
      <w:numFmt w:val="decimal"/>
      <w:suff w:val="nothing"/>
      <w:lvlText w:val="%1、"/>
      <w:lvlJc w:val="left"/>
    </w:lvl>
  </w:abstractNum>
  <w:abstractNum w:abstractNumId="1">
    <w:nsid w:val="91EBC47E"/>
    <w:multiLevelType w:val="singleLevel"/>
    <w:tmpl w:val="91EBC47E"/>
    <w:lvl w:ilvl="0" w:tentative="0">
      <w:start w:val="1"/>
      <w:numFmt w:val="decimal"/>
      <w:suff w:val="nothing"/>
      <w:lvlText w:val="%1、"/>
      <w:lvlJc w:val="left"/>
    </w:lvl>
  </w:abstractNum>
  <w:abstractNum w:abstractNumId="2">
    <w:nsid w:val="ADBA94D9"/>
    <w:multiLevelType w:val="singleLevel"/>
    <w:tmpl w:val="ADBA94D9"/>
    <w:lvl w:ilvl="0" w:tentative="0">
      <w:start w:val="2"/>
      <w:numFmt w:val="decimal"/>
      <w:suff w:val="nothing"/>
      <w:lvlText w:val="%1）"/>
      <w:lvlJc w:val="left"/>
    </w:lvl>
  </w:abstractNum>
  <w:abstractNum w:abstractNumId="3">
    <w:nsid w:val="EBFC284D"/>
    <w:multiLevelType w:val="singleLevel"/>
    <w:tmpl w:val="EBFC284D"/>
    <w:lvl w:ilvl="0" w:tentative="0">
      <w:start w:val="5"/>
      <w:numFmt w:val="chineseCounting"/>
      <w:suff w:val="space"/>
      <w:lvlText w:val="第%1章"/>
      <w:lvlJc w:val="left"/>
      <w:rPr>
        <w:rFonts w:hint="eastAsia"/>
      </w:rPr>
    </w:lvl>
  </w:abstractNum>
  <w:abstractNum w:abstractNumId="4">
    <w:nsid w:val="00000004"/>
    <w:multiLevelType w:val="multilevel"/>
    <w:tmpl w:val="00000004"/>
    <w:lvl w:ilvl="0" w:tentative="0">
      <w:start w:val="1"/>
      <w:numFmt w:val="decimal"/>
      <w:pStyle w:val="4"/>
      <w:lvlText w:val="%1"/>
      <w:lvlJc w:val="left"/>
      <w:pPr>
        <w:tabs>
          <w:tab w:val="left" w:pos="360"/>
        </w:tabs>
        <w:ind w:left="284" w:hanging="284"/>
      </w:pPr>
      <w:rPr>
        <w:rFonts w:hint="default" w:ascii="Times New Roman" w:hAnsi="Times New Roman"/>
        <w:b/>
        <w:i w:val="0"/>
        <w:sz w:val="28"/>
      </w:rPr>
    </w:lvl>
    <w:lvl w:ilvl="1" w:tentative="0">
      <w:start w:val="1"/>
      <w:numFmt w:val="decimal"/>
      <w:pStyle w:val="5"/>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pStyle w:val="6"/>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0ODkyMWI5ZDc2Yjc5MDg3MDk5ZDA2ZTZjZTJjY2IifQ=="/>
  </w:docVars>
  <w:rsids>
    <w:rsidRoot w:val="49D60351"/>
    <w:rsid w:val="03DA48E8"/>
    <w:rsid w:val="05ED2BE6"/>
    <w:rsid w:val="061E56E3"/>
    <w:rsid w:val="070D72A1"/>
    <w:rsid w:val="086A4376"/>
    <w:rsid w:val="0A7E69F9"/>
    <w:rsid w:val="0C4B1CC7"/>
    <w:rsid w:val="0C675432"/>
    <w:rsid w:val="12C00F62"/>
    <w:rsid w:val="14CA2141"/>
    <w:rsid w:val="155213C5"/>
    <w:rsid w:val="156A4754"/>
    <w:rsid w:val="15E419F8"/>
    <w:rsid w:val="184E0509"/>
    <w:rsid w:val="1A11228E"/>
    <w:rsid w:val="1ABC669E"/>
    <w:rsid w:val="20722C48"/>
    <w:rsid w:val="207F2647"/>
    <w:rsid w:val="20A25450"/>
    <w:rsid w:val="21A76152"/>
    <w:rsid w:val="24446EE5"/>
    <w:rsid w:val="27E22307"/>
    <w:rsid w:val="2A9F6179"/>
    <w:rsid w:val="2C4C0BFB"/>
    <w:rsid w:val="2C5A4CDE"/>
    <w:rsid w:val="2CF15A47"/>
    <w:rsid w:val="3335689C"/>
    <w:rsid w:val="3DE90CA8"/>
    <w:rsid w:val="3E0E2EFD"/>
    <w:rsid w:val="3F07593A"/>
    <w:rsid w:val="3F494CF5"/>
    <w:rsid w:val="40EC3D38"/>
    <w:rsid w:val="44865066"/>
    <w:rsid w:val="48526709"/>
    <w:rsid w:val="49D60351"/>
    <w:rsid w:val="4ADA60A4"/>
    <w:rsid w:val="4F0A2117"/>
    <w:rsid w:val="4F400944"/>
    <w:rsid w:val="502637F3"/>
    <w:rsid w:val="50A37816"/>
    <w:rsid w:val="523D0C1E"/>
    <w:rsid w:val="54AA6F8B"/>
    <w:rsid w:val="56D73EF4"/>
    <w:rsid w:val="571526B6"/>
    <w:rsid w:val="58F268A2"/>
    <w:rsid w:val="59B02274"/>
    <w:rsid w:val="59E67791"/>
    <w:rsid w:val="5F835FE4"/>
    <w:rsid w:val="61BB2812"/>
    <w:rsid w:val="647A4140"/>
    <w:rsid w:val="6BAE1FE0"/>
    <w:rsid w:val="6E294CA4"/>
    <w:rsid w:val="6EA76390"/>
    <w:rsid w:val="6ED61C03"/>
    <w:rsid w:val="70DB1820"/>
    <w:rsid w:val="72F31F4D"/>
    <w:rsid w:val="79382508"/>
    <w:rsid w:val="797C5CDA"/>
    <w:rsid w:val="7FAC50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qFormat="1" w:unhideWhenUsed="0" w:uiPriority="99"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autoRedefine/>
    <w:qFormat/>
    <w:uiPriority w:val="0"/>
    <w:pPr>
      <w:keepNext/>
      <w:keepLines/>
      <w:numPr>
        <w:ilvl w:val="0"/>
        <w:numId w:val="1"/>
      </w:numPr>
      <w:adjustRightInd w:val="0"/>
      <w:spacing w:before="120" w:line="360" w:lineRule="auto"/>
      <w:textAlignment w:val="baseline"/>
      <w:outlineLvl w:val="0"/>
    </w:pPr>
    <w:rPr>
      <w:rFonts w:eastAsia="黑体"/>
      <w:b/>
      <w:kern w:val="44"/>
      <w:sz w:val="28"/>
    </w:rPr>
  </w:style>
  <w:style w:type="paragraph" w:styleId="5">
    <w:name w:val="heading 2"/>
    <w:basedOn w:val="1"/>
    <w:next w:val="1"/>
    <w:autoRedefine/>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paragraph" w:styleId="6">
    <w:name w:val="heading 4"/>
    <w:basedOn w:val="1"/>
    <w:next w:val="1"/>
    <w:autoRedefine/>
    <w:qFormat/>
    <w:uiPriority w:val="99"/>
    <w:pPr>
      <w:numPr>
        <w:ilvl w:val="3"/>
        <w:numId w:val="1"/>
      </w:numPr>
      <w:adjustRightInd w:val="0"/>
      <w:spacing w:before="120" w:line="360" w:lineRule="auto"/>
      <w:textAlignment w:val="baseline"/>
      <w:outlineLvl w:val="3"/>
    </w:pPr>
    <w:rPr>
      <w:rFonts w:ascii="Arial" w:hAnsi="Arial" w:eastAsia="黑体" w:cs="Arial"/>
      <w:kern w:val="0"/>
      <w:sz w:val="28"/>
      <w:szCs w:val="28"/>
    </w:rPr>
  </w:style>
  <w:style w:type="character" w:default="1" w:styleId="21">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2">
    <w:name w:val="Body Text"/>
    <w:basedOn w:val="3"/>
    <w:next w:val="3"/>
    <w:autoRedefine/>
    <w:qFormat/>
    <w:uiPriority w:val="0"/>
    <w:rPr>
      <w:rFonts w:ascii="宋体"/>
    </w:rPr>
  </w:style>
  <w:style w:type="paragraph" w:styleId="3">
    <w:name w:val="Title"/>
    <w:basedOn w:val="1"/>
    <w:next w:val="1"/>
    <w:autoRedefine/>
    <w:qFormat/>
    <w:uiPriority w:val="0"/>
    <w:pPr>
      <w:spacing w:before="240" w:after="60"/>
      <w:outlineLvl w:val="0"/>
    </w:pPr>
    <w:rPr>
      <w:rFonts w:ascii="Cambria" w:hAnsi="Cambria" w:eastAsia="黑体"/>
      <w:bCs/>
      <w:sz w:val="24"/>
      <w:szCs w:val="32"/>
    </w:rPr>
  </w:style>
  <w:style w:type="paragraph" w:styleId="7">
    <w:name w:val="Normal Indent"/>
    <w:basedOn w:val="1"/>
    <w:next w:val="1"/>
    <w:autoRedefine/>
    <w:qFormat/>
    <w:uiPriority w:val="0"/>
    <w:pPr>
      <w:widowControl/>
      <w:ind w:firstLine="420" w:firstLineChars="200"/>
      <w:jc w:val="left"/>
    </w:pPr>
    <w:rPr>
      <w:kern w:val="0"/>
      <w:sz w:val="20"/>
      <w:szCs w:val="20"/>
    </w:rPr>
  </w:style>
  <w:style w:type="paragraph" w:styleId="8">
    <w:name w:val="Body Text Indent"/>
    <w:basedOn w:val="1"/>
    <w:next w:val="1"/>
    <w:autoRedefine/>
    <w:qFormat/>
    <w:uiPriority w:val="0"/>
    <w:pPr>
      <w:autoSpaceDE w:val="0"/>
      <w:autoSpaceDN w:val="0"/>
      <w:spacing w:line="360" w:lineRule="auto"/>
      <w:ind w:left="181" w:firstLine="539"/>
    </w:pPr>
    <w:rPr>
      <w:rFonts w:ascii="Times New Roman"/>
      <w:kern w:val="2"/>
    </w:rPr>
  </w:style>
  <w:style w:type="paragraph" w:styleId="9">
    <w:name w:val="toc 5"/>
    <w:basedOn w:val="1"/>
    <w:next w:val="1"/>
    <w:autoRedefine/>
    <w:semiHidden/>
    <w:qFormat/>
    <w:uiPriority w:val="99"/>
    <w:pPr>
      <w:ind w:left="1680"/>
    </w:pPr>
  </w:style>
  <w:style w:type="paragraph" w:styleId="10">
    <w:name w:val="toc 3"/>
    <w:basedOn w:val="1"/>
    <w:next w:val="1"/>
    <w:autoRedefine/>
    <w:qFormat/>
    <w:uiPriority w:val="0"/>
    <w:pPr>
      <w:ind w:left="840" w:leftChars="400"/>
    </w:pPr>
  </w:style>
  <w:style w:type="paragraph" w:styleId="11">
    <w:name w:val="Plain Text"/>
    <w:basedOn w:val="1"/>
    <w:next w:val="1"/>
    <w:autoRedefine/>
    <w:qFormat/>
    <w:uiPriority w:val="0"/>
    <w:rPr>
      <w:rFonts w:ascii="宋体" w:hAnsi="Calibri"/>
      <w:kern w:val="0"/>
      <w:sz w:val="20"/>
      <w:szCs w:val="20"/>
    </w:rPr>
  </w:style>
  <w:style w:type="paragraph" w:styleId="12">
    <w:name w:val="footer"/>
    <w:basedOn w:val="1"/>
    <w:autoRedefine/>
    <w:qFormat/>
    <w:uiPriority w:val="99"/>
    <w:pPr>
      <w:tabs>
        <w:tab w:val="center" w:pos="4153"/>
        <w:tab w:val="right" w:pos="8306"/>
      </w:tabs>
      <w:snapToGrid w:val="0"/>
      <w:jc w:val="left"/>
    </w:pPr>
    <w:rPr>
      <w:rFonts w:ascii="宋体" w:hAnsi="Calibri"/>
      <w:kern w:val="0"/>
      <w:sz w:val="18"/>
      <w:szCs w:val="20"/>
    </w:rPr>
  </w:style>
  <w:style w:type="paragraph" w:styleId="13">
    <w:name w:val="header"/>
    <w:basedOn w:val="1"/>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ascii="Calibri" w:hAnsi="Calibri"/>
      <w:kern w:val="0"/>
      <w:sz w:val="18"/>
      <w:szCs w:val="18"/>
    </w:rPr>
  </w:style>
  <w:style w:type="paragraph" w:styleId="14">
    <w:name w:val="toc 1"/>
    <w:basedOn w:val="1"/>
    <w:next w:val="1"/>
    <w:autoRedefine/>
    <w:qFormat/>
    <w:uiPriority w:val="39"/>
    <w:pPr>
      <w:tabs>
        <w:tab w:val="right" w:leader="dot" w:pos="9628"/>
      </w:tabs>
      <w:spacing w:before="120" w:after="120"/>
      <w:ind w:firstLine="74" w:firstLineChars="74"/>
      <w:jc w:val="left"/>
    </w:pPr>
    <w:rPr>
      <w:b/>
      <w:bCs/>
      <w:caps/>
      <w:sz w:val="20"/>
      <w:szCs w:val="20"/>
    </w:rPr>
  </w:style>
  <w:style w:type="paragraph" w:styleId="15">
    <w:name w:val="toc 2"/>
    <w:basedOn w:val="1"/>
    <w:next w:val="1"/>
    <w:autoRedefine/>
    <w:qFormat/>
    <w:uiPriority w:val="39"/>
    <w:pPr>
      <w:tabs>
        <w:tab w:val="right" w:leader="dot" w:pos="9628"/>
      </w:tabs>
      <w:spacing w:line="260" w:lineRule="exact"/>
      <w:ind w:left="210"/>
      <w:jc w:val="left"/>
    </w:pPr>
    <w:rPr>
      <w:smallCaps/>
      <w:sz w:val="20"/>
      <w:szCs w:val="20"/>
    </w:rPr>
  </w:style>
  <w:style w:type="paragraph" w:styleId="16">
    <w:name w:val="Body Text 2"/>
    <w:basedOn w:val="1"/>
    <w:autoRedefine/>
    <w:qFormat/>
    <w:uiPriority w:val="0"/>
    <w:pPr>
      <w:spacing w:after="120" w:line="480" w:lineRule="auto"/>
    </w:pPr>
  </w:style>
  <w:style w:type="paragraph" w:styleId="17">
    <w:name w:val="Normal (Web)"/>
    <w:basedOn w:val="1"/>
    <w:autoRedefine/>
    <w:qFormat/>
    <w:uiPriority w:val="99"/>
    <w:pPr>
      <w:widowControl/>
      <w:spacing w:before="100" w:beforeAutospacing="1" w:after="100" w:afterAutospacing="1"/>
      <w:jc w:val="left"/>
    </w:pPr>
    <w:rPr>
      <w:rFonts w:ascii="宋体" w:hAnsi="宋体"/>
      <w:kern w:val="0"/>
      <w:sz w:val="24"/>
    </w:rPr>
  </w:style>
  <w:style w:type="paragraph" w:styleId="18">
    <w:name w:val="Body Text First Indent 2"/>
    <w:basedOn w:val="8"/>
    <w:autoRedefine/>
    <w:qFormat/>
    <w:uiPriority w:val="0"/>
    <w:pPr>
      <w:ind w:firstLine="420" w:firstLineChars="200"/>
    </w:p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autoRedefine/>
    <w:qFormat/>
    <w:uiPriority w:val="0"/>
  </w:style>
  <w:style w:type="character" w:styleId="23">
    <w:name w:val="Hyperlink"/>
    <w:basedOn w:val="21"/>
    <w:autoRedefine/>
    <w:qFormat/>
    <w:uiPriority w:val="0"/>
    <w:rPr>
      <w:color w:val="0000FF"/>
      <w:u w:val="single"/>
    </w:rPr>
  </w:style>
  <w:style w:type="paragraph" w:customStyle="1" w:styleId="24">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25">
    <w:name w:val="font61"/>
    <w:autoRedefine/>
    <w:qFormat/>
    <w:uiPriority w:val="0"/>
    <w:rPr>
      <w:rFonts w:hint="eastAsia" w:ascii="宋体" w:hAnsi="宋体" w:eastAsia="宋体" w:cs="宋体"/>
      <w:color w:val="000000"/>
      <w:sz w:val="18"/>
      <w:szCs w:val="18"/>
      <w:u w:val="none"/>
    </w:rPr>
  </w:style>
  <w:style w:type="character" w:customStyle="1" w:styleId="26">
    <w:name w:val="font21"/>
    <w:autoRedefine/>
    <w:qFormat/>
    <w:uiPriority w:val="0"/>
    <w:rPr>
      <w:rFonts w:hint="eastAsia" w:ascii="宋体" w:hAnsi="宋体" w:eastAsia="宋体" w:cs="宋体"/>
      <w:b/>
      <w:bCs/>
      <w:color w:val="000000"/>
      <w:sz w:val="18"/>
      <w:szCs w:val="18"/>
      <w:u w:val="none"/>
    </w:rPr>
  </w:style>
  <w:style w:type="paragraph" w:styleId="27">
    <w:name w:val="List Paragraph"/>
    <w:basedOn w:val="1"/>
    <w:autoRedefine/>
    <w:qFormat/>
    <w:uiPriority w:val="0"/>
    <w:pPr>
      <w:ind w:firstLine="420" w:firstLineChars="200"/>
    </w:pPr>
    <w:rPr>
      <w:rFonts w:ascii="Calibri" w:hAnsi="Calibri"/>
      <w:szCs w:val="22"/>
    </w:rPr>
  </w:style>
  <w:style w:type="paragraph" w:customStyle="1" w:styleId="28">
    <w:name w:val="Table Paragraph"/>
    <w:basedOn w:val="1"/>
    <w:autoRedefine/>
    <w:qFormat/>
    <w:uiPriority w:val="6"/>
  </w:style>
  <w:style w:type="character" w:customStyle="1" w:styleId="29">
    <w:name w:val="font71"/>
    <w:basedOn w:val="21"/>
    <w:autoRedefine/>
    <w:qFormat/>
    <w:uiPriority w:val="0"/>
    <w:rPr>
      <w:rFonts w:hint="eastAsia" w:ascii="宋体" w:hAnsi="宋体" w:eastAsia="宋体" w:cs="宋体"/>
      <w:color w:val="FF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31587</Words>
  <Characters>35068</Characters>
  <Lines>0</Lines>
  <Paragraphs>0</Paragraphs>
  <TotalTime>32</TotalTime>
  <ScaleCrop>false</ScaleCrop>
  <LinksUpToDate>false</LinksUpToDate>
  <CharactersWithSpaces>37088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2024-06-27T07:44:00Z</dcterms:created>
  <dc:creator>sunshine、俊℡</dc:creator>
  <cp:lastModifiedBy>眼眸里旳温柔~</cp:lastModifiedBy>
  <dcterms:modified xsi:type="dcterms:W3CDTF">2024-09-24T07:43:25Z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184A6B56B6F54DB58F1580B6D0384BAF_13</vt:lpwstr>
  </property>
</Properties>
</file>