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版本号：N513427202600007220260826001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中药饮片配送服务采购项目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N5134272026000072</w:t>
      </w:r>
    </w:p>
    <w:p>
      <w:pPr>
        <w:pStyle w:val="null3"/>
        <w:jc w:val="left"/>
        <w:outlineLvl w:val="2"/>
      </w:pPr>
      <w:r>
        <w:rPr>
          <w:rFonts w:ascii="仿宋_GB2312" w:hAnsi="仿宋_GB2312" w:cs="仿宋_GB2312" w:eastAsia="仿宋_GB2312"/>
          <w:sz w:val="28"/>
          <w:b/>
        </w:rPr>
        <w:t>宁南县中医医院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宁南县中医医院</w:t>
      </w:r>
      <w:r>
        <w:rPr>
          <w:rFonts w:ascii="仿宋_GB2312" w:hAnsi="仿宋_GB2312" w:cs="仿宋_GB2312" w:eastAsia="仿宋_GB2312"/>
        </w:rPr>
        <w:t xml:space="preserve"> 委托，拟对 </w:t>
      </w:r>
      <w:r>
        <w:rPr>
          <w:rFonts w:ascii="仿宋_GB2312" w:hAnsi="仿宋_GB2312" w:cs="仿宋_GB2312" w:eastAsia="仿宋_GB2312"/>
        </w:rPr>
        <w:t>中药饮片配送服务采购项目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凉山彝族自治州宁南县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N5134272026000072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中药饮片配送服务采购项目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宁南县中医医院中药饮片配送服务采购项目，拟采购1家供应商提供中药饮片配送服务并同步配合医院完成云审方中心、智慧中心药房建设，实现采购入库、库存管控、处方智能审核、饮片质量追溯、集采保供、临床调剂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1、（1）供应商为产品制造商：具备有效的《药品生产许可证》（含电子证书），生产范围包含中药饮片；如涉及毒性中药饮片，生产范围须同时包含毒性中药饮片或毒性饮片，提供证书扫描件。 （2）供应商为经销商（非制造商）：自身具备有效的《药品经营许可证》（含电子证书），经营范围包含中药饮片；如涉及毒性中药饮片，经营范围须同时包含毒性中药饮片 / 毒性饮片 / 医疗用毒性药品；同时所投产品生产厂家须具备有效的《药品生产许可证》（含电子证书），生产范围包含中药饮片，涉及毒性中药饮片的须包含毒性中药饮片或毒性饮片；提供上述全部证书扫描件。（描述：（1）供应商为产品制造商：具备有效的《药品生产许可证》（含电子证书），生产范围包含中药饮片；如涉及毒性中药饮片，生产范围须同时包含毒性中药饮片或毒性饮片，提供证书扫描件。 （2）供应商为经销商（非制造商）：自身具备有效的《药品经营许可证》（含电子证书），经营范围包含中药饮片；如涉及毒性中药饮片，经营范围须同时包含毒性中药饮片 / 毒性饮片 / 医疗用毒性药品；同时所投产品生产厂家须具备有效的《药品生产许可证》（含电子证书），生产范围包含中药饮片，涉及毒性中药饮片的须包含毒性中药饮片或毒性饮片；提供上述全部证书扫描件。）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宁南县中医医院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四川省凉山彝族自治州宁南县披砂镇水碾西路6号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0834-4562516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西昌市航天大道二段73号4楼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0834-6115666-0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中标通知书发出后合同签订前中标人向采购人支付合同总金额的5%作为履约保证金，每年度合同金额验收合格满一个月后无息原路退还。</w:t>
              <w:br/>
              <w:t>不予退还情形：</w:t>
              <w:br/>
              <w:t>（1）中标人拒不履行与采购人订立的政府采购合同的；</w:t>
              <w:br/>
              <w:t xml:space="preserve">（2）履约验收不合格的。 </w:t>
              <w:br/>
              <w:t>不予退还的，将按照有关规定上缴国库。逾期退还履约保证金的，将依法承 担法律责任，并赔偿投标人损失。</w:t>
              <w:br/>
              <w:t>注：</w:t>
              <w:br/>
              <w:t>（1）中标人应在中标通知书发放后，政府采购合同签订前，向收款单位交纳规定数额的履约保证金。</w:t>
              <w:br/>
              <w:t>（2）出具保函的主体应当是金融机构、保险机构、担保机构等依法成立且具有相关资质和偿付能力的机构，否则将取消中标人的中标资格，采购人将重新确定中标人，并依法追究法律责任。</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代理服务费收费标准：依照成本加合理利润的原则，本项目收取代理服务费4.2万元。（2）收款单位：四川国际招标有限责任公司 （3）开户行：中国民生银行股份有限公司成都分行营业部 （4）银行账号：9902001860963790 （5）采购合同签订前向代理机构交纳招标代理服务费。 （6）招标代理服务费交纳完成后，可按照以下温馨提示开具发票：供应商发送申请信息至2724740372@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宁南县中医医院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宁南县中医医院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因系统固化原因，履约验收时间按照第三章商务要求中验收、交付标准和方法中执行（此处不作参考）</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因系统固化原因，履约验收时间按照按照第三章商务要求中验收、交付标准和方法中执行（此处不作参考）</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采购包1：验收严格按照《财政部关于进一步加强政府采购需求和 履约验收管理的指导意见》（财库〔2016〕205 号）、（财库〔2021〕22号）等相关法律法规的要求进行验收的要求组织验收。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如对质量要求和技术指标的约定标准有相互抵触或异议的事项，由采购人在招标文件与投标文件中按质量要求和技术指标比较优胜的原则确定该项的约定标准进行验收；招标提供的样品用于验收比对，不得低于该样品标准。规定了有效期的中药饮片，交货时其剩余有效期不得低于总有效期的三分之二；2.招标后将采取保留评标所有样品、多人验收、定期抽查等措施以确保中药饮片质量的稳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宁南县中医医院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联系电话：0834-6115666-0</w:t>
      </w:r>
    </w:p>
    <w:p>
      <w:pPr>
        <w:pStyle w:val="null3"/>
        <w:jc w:val="left"/>
      </w:pPr>
      <w:r>
        <w:rPr>
          <w:rFonts w:ascii="仿宋_GB2312" w:hAnsi="仿宋_GB2312" w:cs="仿宋_GB2312" w:eastAsia="仿宋_GB2312"/>
        </w:rPr>
        <w:t>地址：西昌市航天大道二段73号4楼</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联系电话：0834-4562516</w:t>
      </w:r>
    </w:p>
    <w:p>
      <w:pPr>
        <w:pStyle w:val="null3"/>
        <w:jc w:val="left"/>
      </w:pPr>
      <w:r>
        <w:rPr>
          <w:rFonts w:ascii="仿宋_GB2312" w:hAnsi="仿宋_GB2312" w:cs="仿宋_GB2312" w:eastAsia="仿宋_GB2312"/>
        </w:rPr>
        <w:t>地址：四川省凉山彝族自治州宁南县披砂镇（宁远镇）水碾西路6号</w:t>
      </w:r>
    </w:p>
    <w:p>
      <w:pPr>
        <w:pStyle w:val="null3"/>
        <w:jc w:val="left"/>
      </w:pPr>
      <w:r>
        <w:rPr>
          <w:rFonts w:ascii="仿宋_GB2312" w:hAnsi="仿宋_GB2312" w:cs="仿宋_GB2312" w:eastAsia="仿宋_GB2312"/>
        </w:rPr>
        <w:t>邮编：615400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样品提交地点：西昌市航天大道二段73号（昌平建材城四川银行）4楼</w:t>
      </w:r>
    </w:p>
    <w:p>
      <w:pPr>
        <w:pStyle w:val="null3"/>
        <w:jc w:val="left"/>
      </w:pPr>
      <w:r>
        <w:rPr>
          <w:rFonts w:ascii="仿宋_GB2312" w:hAnsi="仿宋_GB2312" w:cs="仿宋_GB2312" w:eastAsia="仿宋_GB2312"/>
        </w:rPr>
        <w:t>样品提交数量：6</w:t>
      </w:r>
    </w:p>
    <w:p>
      <w:pPr>
        <w:pStyle w:val="null3"/>
        <w:jc w:val="left"/>
      </w:pPr>
      <w:r>
        <w:rPr>
          <w:rFonts w:ascii="仿宋_GB2312" w:hAnsi="仿宋_GB2312" w:cs="仿宋_GB2312" w:eastAsia="仿宋_GB2312"/>
        </w:rPr>
        <w:t>样品提交要求：1.基本要求： （1）投标人的样品制作、运输、包装等相关费用由投标人承担。 （2） 所有单品种样品独立密封包装，干燥、防潮、防碎、防污染，轻质易碎品种需加固包装，避免运输破损。 （3）每袋样品外贴统一标签，标注：项目名称、样品序号、样品名称 （4）所有样品统一汇总装箱，密封完好，在投标截止时间前现场递交，逾期、破损、泄漏、污染均视为样品提交不符合要求。 2.特殊要求： （1）投标人提供的样品上应粘贴对应的样品名称标签（样式如下图格式，编号不填，代理机构现场接收样品后统一填写），但不能出现任何可识别投标人或生产厂家的文字、logo、图文及其他各类标识等，否则样品不得分；数量（克数）不满足招标文件要求的、少送样品的和错送样品的不得分；样品由招标代理机构负责统一接收、保管、编号和退还。 （2）样品退还：样品退还评审结束以后，由监督老师现场监督，对全部样品进行封样，样品退还时间在中标结果公告发布并公示期满无异议后(具体时间以采购代理机构电话通知时间为准)。未中标的样品投标人应在接到采购代理机构通知之日起5个工作日内自行取回样品。5个工作日后不取回样品，则视为自动放弃样品的所有权，采购代理机构有权自行处置相关样品。中标人的样品由采购人保存至合同履行期满并用于履约验收的参考。中标供应商交付不低于样品质量相同的中药饮片，否则，采购人拒收或者退货处理并终止合同采购人及采购代理机构对投标人所递交样品的包装、污损不负任何责任。 （3）迟交的样品：采购人和采购代理机构将拒绝接收在投标截止时间之后递交的样品。 （4）递交投标样品的同时需单独递交一份样品清单给代理机构并加盖投标人公章，样品清单需注明采购项目名称、采购项目编号、样品名称及数量、投标人名称，与样品摆放在一起。 （5）是否随样品提交相关检测报告：否。 （6）样品评审的标准和要求：按照“评标细则及标准”中样品评审规则执行。 附：标签样式：以第三章样品要求中为准</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2,700,000.00</w:t>
      </w:r>
    </w:p>
    <w:p>
      <w:pPr>
        <w:pStyle w:val="null3"/>
        <w:jc w:val="left"/>
      </w:pPr>
      <w:r>
        <w:rPr>
          <w:rFonts w:ascii="仿宋_GB2312" w:hAnsi="仿宋_GB2312" w:cs="仿宋_GB2312" w:eastAsia="仿宋_GB2312"/>
        </w:rPr>
        <w:t>采购包最高限价（元）: 2,700,000.00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C04990000 其他医疗卫生服务</w:t>
            </w:r>
          </w:p>
        </w:tc>
        <w:tc>
          <w:tcPr>
            <w:tcW w:type="dxa" w:w="821"/>
          </w:tcPr>
          <w:p>
            <w:pPr>
              <w:pStyle w:val="null3"/>
              <w:jc w:val="left"/>
            </w:pPr>
            <w:r>
              <w:rPr>
                <w:rFonts w:ascii="仿宋_GB2312" w:hAnsi="仿宋_GB2312" w:cs="仿宋_GB2312" w:eastAsia="仿宋_GB2312"/>
              </w:rPr>
              <w:t>中药饮片配送服务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中药饮片配送服务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统一折扣率</w:t>
            </w:r>
          </w:p>
        </w:tc>
        <w:tc>
          <w:tcPr>
            <w:tcW w:type="dxa" w:w="1466"/>
          </w:tcPr>
          <w:p>
            <w:pPr>
              <w:pStyle w:val="null3"/>
              <w:jc w:val="left"/>
            </w:pPr>
            <w:r>
              <w:rPr>
                <w:rFonts w:ascii="仿宋_GB2312" w:hAnsi="仿宋_GB2312" w:cs="仿宋_GB2312" w:eastAsia="仿宋_GB2312"/>
              </w:rPr>
              <w:t>本项目按中药饮片采购清单中的单价限价统一折扣率进行报价，折扣率的定义：如单价限价10元，优惠2元，即折扣率为80%。投标人所报折扣率已包含投标文件履约全部条件价格，不再单独收取其它费用。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标的名称：中药饮片配送服务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采购清单内容：</w:t>
            </w:r>
          </w:p>
          <w:tbl>
            <w:tblPr>
              <w:tblInd w:type="dxa" w:w="90"/>
              <w:tblBorders>
                <w:top w:val="none" w:color="000000" w:sz="4"/>
                <w:left w:val="none" w:color="000000" w:sz="4"/>
                <w:bottom w:val="none" w:color="000000" w:sz="4"/>
                <w:right w:val="none" w:color="000000" w:sz="4"/>
                <w:insideH w:val="none"/>
                <w:insideV w:val="none"/>
              </w:tblBorders>
            </w:tblPr>
            <w:tblGrid>
              <w:gridCol w:w="0"/>
              <w:gridCol w:w="476"/>
              <w:gridCol w:w="1258"/>
              <w:gridCol w:w="1173"/>
              <w:gridCol w:w="806"/>
              <w:gridCol w:w="1882"/>
              <w:gridCol w:w="0"/>
            </w:tblGrid>
            <w:tr>
              <w:tc>
                <w:tcPr>
                  <w:tcW w:type="dxa" w:w="0"/>
                </w:tcPr>
                <w:p>
                  <w:pPr>
                    <w:pStyle w:val="null3"/>
                    <w:jc w:val="left"/>
                  </w:pPr>
                  <w:r>
                    <w:rPr>
                      <w:rFonts w:ascii="仿宋_GB2312" w:hAnsi="仿宋_GB2312" w:cs="仿宋_GB2312" w:eastAsia="仿宋_GB2312"/>
                      <w:sz w:val="19"/>
                    </w:rPr>
                    <w:t xml:space="preserve"> </w:t>
                  </w:r>
                </w:p>
              </w:tc>
              <w:tc>
                <w:tcPr>
                  <w:tcW w:type="dxa" w:w="5595"/>
                  <w:gridSpan w:val="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宁南县中医医院中药饮片最高限价表</w:t>
                  </w:r>
                </w:p>
              </w:tc>
            </w:tr>
            <w:tr>
              <w:tc>
                <w:tcPr>
                  <w:tcW w:type="dxa" w:w="476"/>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2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药品名称</w:t>
                  </w:r>
                </w:p>
              </w:tc>
              <w:tc>
                <w:tcPr>
                  <w:tcW w:type="dxa" w:w="11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药品规格</w:t>
                  </w:r>
                </w:p>
              </w:tc>
              <w:tc>
                <w:tcPr>
                  <w:tcW w:type="dxa" w:w="8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8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最高限价（元</w:t>
                  </w:r>
                  <w:r>
                    <w:rPr>
                      <w:rFonts w:ascii="仿宋_GB2312" w:hAnsi="仿宋_GB2312" w:cs="仿宋_GB2312" w:eastAsia="仿宋_GB2312"/>
                      <w:sz w:val="20"/>
                      <w:b/>
                    </w:rPr>
                    <w:t>/kg)</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甘草片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74.54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防风</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醋香附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大枣</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38.27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麸炒枳壳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55.64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苍术</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101.72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枸杞子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栀子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62.27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鸡血藤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41.53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黄连片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667.10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炒酸枣仁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938.33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菊花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羌活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518.46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蝉蜕</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1610.00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蜜远志</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415.50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人参片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873.34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肉苁蓉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167.19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淫羊藿</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356.60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柏子仁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189.00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北柴胡</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293.50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法半夏</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173.98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熟地黄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53.71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醋延胡索</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235.39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厚朴</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48.96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黄芩片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炒莱菔子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42.81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赤芍</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麸炒白术</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119.58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燀桃仁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134.05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炒建曲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50.97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盐泽泻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56.91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葛根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燀苦杏仁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94.98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炒鸡内金</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首乌藤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42.59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广藿香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47.84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浙贝母</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牡蛎</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焦山楂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生石膏</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芦根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55.61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盐小茴香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55.87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艾叶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黄柏</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麸炒枳实</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65.71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生地黄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49.62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金钱草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盐知母</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90.61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煅牡蛎</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独活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99.59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盐菟丝子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71.65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苦参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白附片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161.49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盐车前子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67.77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薄荷</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43.84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石菖蒲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砂仁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279.16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槲寄生</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65.29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夏枯全草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40.30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23.61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龙骨</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565.90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五味子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95.55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煅龙骨</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502.00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郁金</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73.13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蜜紫菀</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82.35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地肤子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57.46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芡实</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83.88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茯神木</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357.40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威灵仙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174.55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续断片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70.16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紫花地丁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紫苏叶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蛇床子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浮小麦</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32.29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蜜麻黄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海金沙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270.86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蜜枇杷叶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莲子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85.29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炒白扁豆</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炒葶苈子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干益母草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酒川芎</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醋北柴胡</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细辛</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877.00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炒火麻仁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111.36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460.25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伸筋草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石韦</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前胡</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239.75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蜜桑白皮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钩藤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148.84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瞿麦</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52.73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炒芥子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53.24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桑叶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47.30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醋五灵脂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炒牛蒡子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56.46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白花蛇舌草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54.92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制何首乌</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乌药</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85.87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炒川楝子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32.46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炒栀子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79.97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百部</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116.87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辛夷</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茵陈</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78.54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淡竹叶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炒紫苏子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升麻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皂角刺</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135.88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川木通</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76.39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制黄精</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醋乳香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酒黄芩</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115.58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败酱草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44.46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猪苓</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317.70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冬瓜皮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秦艽</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185.99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盐益智仁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桑白皮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灵芝</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97.27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盐巴戟天</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207.58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蜜百部</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煅石决明</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40.12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煅瓦楞子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24.73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墨旱莲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48.91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醋没药</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194.14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麻黄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南沙参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274.60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干石斛</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345.02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紫苏梗</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53.89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五倍子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龙眼肉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136.19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白鲜皮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542.49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炒瓜蒌子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84.08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乌梅</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莪术</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66.64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佩兰</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43.62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姜黄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炒苍耳子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化橘红</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62.31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盐补骨脂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52.36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北沙参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薤白</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白及</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223.47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炮姜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83.46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佛手</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100.87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瓜蒌皮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炒蒺藜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炒蔓荆子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195.63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猫爪草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166.14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侧柏叶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鹿角霜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68.38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土鳖虫</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154.53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红毛五加皮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487.39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绞股蓝</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炒金樱子肉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122.09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桑枝</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29.88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白茅根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53.04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土茯苓</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蜜款冬花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376.29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海螵蛸</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138.69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地骨皮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273.47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射干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地榆</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粉葛</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50.61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酒女贞子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152.86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龙胆草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制白附子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220.48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草红藤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大腹皮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煅磁石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27.62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三七粉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264.80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炒决明子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半夏曲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青皮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41.38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胆南星</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丝瓜络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164.12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路路通</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干鱼腥草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板蓝根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81.73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桑椹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53.64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麻黄根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炒稻芽</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西洋参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766.59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炒僵蚕</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293.98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紫石英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38.88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白前</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144.42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盐黄柏</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157.30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炒茺蔚子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半枝莲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49.41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煅赭石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24.29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虎杖</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45.52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炒王不留行</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41.47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马齿苋</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52.29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千里光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制吴茱萸</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蜜旋覆花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155.43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冰片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501.20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乌梢蛇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赤小豆</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37.14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枯矾</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三七</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1056.00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野菊花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白果仁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47.42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玄明粉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36.79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忍冬藤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27.64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锁阳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198.63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淡豆豉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100.36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丁香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158.89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吴茱萸</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93.47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醋龟甲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260.16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青蒿</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舒筋草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密蒙花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127.57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盐覆盆子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312.34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荷叶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冬葵果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211.77</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阿胶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3394.01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大血藤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盐荔枝核</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木贼</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49.21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蚕沙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珍珠母</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19.39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天冬</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251.75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酒仙茅</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341.46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槐花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烫狗脊</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盐橘核</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萹蓄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47.81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81.34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绵萆薢</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77.05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烫骨碎补</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辽藁本</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177.20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生蒲黄</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136.49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高良姜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87.85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全蝎</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3131.83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烫水蛭</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1344.41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醋鳖甲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290.28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大叶茜草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217.50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新疆紫草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898.40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755.30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沉香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1053.41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冬瓜子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千年健</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橘络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505.90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透骨草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大青叶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泽兰</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水牛角</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银柴胡</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437.95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韭菜子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苏木</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盐桑螵蛸</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藕节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海桐皮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小蓟</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柿蒂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183.85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檀香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1249.65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郁李仁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223.51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沙苑子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制川乌</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226.65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蛤壳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玫瑰花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194.40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半边莲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84.10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木蝴蝶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126.76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制草乌</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288.70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昆布</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莲子心</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川西马勃</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482.95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血余炭</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111.55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蜈蚣</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1003.14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青葙子</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茯苓皮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海浮石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琥珀</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124.91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赛谷精草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川贝母粉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6075.00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胖大海</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386.63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谷精草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山慈菇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3539.00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阳起石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44.53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槐角</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徐长卿</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143.35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鸡矢藤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44.06</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马鞭草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海风藤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128.72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青黛</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油松节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45.15</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山豆根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547.50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草豆蔻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紫河车</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2358.00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胡黄连</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697.30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鹿角胶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漏芦</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甘松</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325.80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煅自然铜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35.02</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龙血竭</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622.98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香橼</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生天南星</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石榴皮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重楼</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254.61</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大蓟</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52.60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鹿衔草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63.70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西青果</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80.24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麸煨肉豆蔻</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193.20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山奈</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番泻叶</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48.30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月季花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海马</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13500.00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秦皮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蛇蜕</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豨莶草</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41.68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炒露蜂房</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八角茴香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白头翁</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529.49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荜茇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生川乌</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213.49</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红曲</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3g/袋</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248.30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炉甘石</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97.20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海龙</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331</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赤石脂</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332</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鹿茸片</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2640.00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333</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白蔹</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114.40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334</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生草乌</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335</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贯众</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336</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葛花</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337</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卷柏</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338</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石南藤</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55.00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339</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土荆皮</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1g</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100.80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r>
              <w:tc>
                <w:tcPr>
                  <w:tcW w:type="dxa" w:w="4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w:t>
                  </w:r>
                </w:p>
              </w:tc>
              <w:tc>
                <w:tcPr>
                  <w:tcW w:type="dxa" w:w="1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蛤蚧</w:t>
                  </w:r>
                </w:p>
              </w:tc>
              <w:tc>
                <w:tcPr>
                  <w:tcW w:type="dxa" w:w="1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8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8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75.43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19"/>
                    </w:rPr>
                    <w:t xml:space="preserve"> </w:t>
                  </w:r>
                </w:p>
              </w:tc>
            </w:tr>
          </w:tbl>
          <w:p>
            <w:pPr>
              <w:pStyle w:val="null3"/>
              <w:spacing w:after="120"/>
              <w:jc w:val="both"/>
            </w:pPr>
            <w:r>
              <w:rPr>
                <w:rFonts w:ascii="仿宋_GB2312" w:hAnsi="仿宋_GB2312" w:cs="仿宋_GB2312" w:eastAsia="仿宋_GB2312"/>
                <w:sz w:val="32"/>
                <w:b/>
              </w:rPr>
              <w:t>二、</w:t>
            </w:r>
            <w:r>
              <w:rPr>
                <w:rFonts w:ascii="仿宋_GB2312" w:hAnsi="仿宋_GB2312" w:cs="仿宋_GB2312" w:eastAsia="仿宋_GB2312"/>
                <w:sz w:val="32"/>
                <w:b/>
              </w:rPr>
              <w:t>技术要求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中药饮片质量要求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质量标准：符合国家药典或药品监督管理部门规定的标准，并在交货时附该中药饮片检验报告书，确保临床用药安全有效。如发现质量问题，按《中华人民共和国药品管理法》、《中华人民共和国药品管理法实施条例》中以及国家药品管理政策的有关规定执行，并承担民事赔偿责任。对质量不符合《中华人民共和国药品管理法》、《中华人民共和国药品管理法实施条例》、《中华人民共和国药典》（</w:t>
            </w:r>
            <w:r>
              <w:rPr>
                <w:rFonts w:ascii="仿宋_GB2312" w:hAnsi="仿宋_GB2312" w:cs="仿宋_GB2312" w:eastAsia="仿宋_GB2312"/>
                <w:sz w:val="32"/>
              </w:rPr>
              <w:t>2025年版）、《四川省中药材标准》（2010年版）、《中华人民共和国药典临床用药须知（2020年版）及《四川省中药饮片炮制规范》（2015年版）（若在本项目合同执行中有新标准施行,则按新标准执行合同</w:t>
            </w:r>
            <w:r>
              <w:rPr>
                <w:rFonts w:ascii="仿宋_GB2312" w:hAnsi="仿宋_GB2312" w:cs="仿宋_GB2312" w:eastAsia="仿宋_GB2312"/>
                <w:sz w:val="32"/>
              </w:rPr>
              <w:t>；若原标准未废止且对新标准中未涵盖的产品有具体标准的可继续按原标准执行</w:t>
            </w:r>
            <w:r>
              <w:rPr>
                <w:rFonts w:ascii="仿宋_GB2312" w:hAnsi="仿宋_GB2312" w:cs="仿宋_GB2312" w:eastAsia="仿宋_GB2312"/>
                <w:sz w:val="32"/>
              </w:rPr>
              <w:t>）要求的，予以退货处理。</w:t>
            </w:r>
            <w:r>
              <w:rPr>
                <w:rFonts w:ascii="仿宋_GB2312" w:hAnsi="仿宋_GB2312" w:cs="仿宋_GB2312" w:eastAsia="仿宋_GB2312"/>
                <w:sz w:val="32"/>
              </w:rPr>
              <w:t>若供应商累计三次及以上交付货物经检验或核验不符合质量标准及合同约定要求的，供应商须立即更换该品种的供货来源或生产工艺，直至交付货物完全满足采购人的质量与合规要求。若供应商未按要求完成整改，或整改后仍无法达到采购人标准的，采购人有权单方面终止本项目合同中该品种的供货条款或整体合同，同时保留向供应商追索因不合格货物所造成的全部经济损失及合规风险损失的权利</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、供应商须严格按照《中华人民共和国药品管理法》、《中华人民共和国药品管理法实施条例》、《中华人民共和国药典》（</w:t>
            </w:r>
            <w:r>
              <w:rPr>
                <w:rFonts w:ascii="仿宋_GB2312" w:hAnsi="仿宋_GB2312" w:cs="仿宋_GB2312" w:eastAsia="仿宋_GB2312"/>
                <w:sz w:val="32"/>
              </w:rPr>
              <w:t>2025</w:t>
            </w:r>
            <w:r>
              <w:rPr>
                <w:rFonts w:ascii="仿宋_GB2312" w:hAnsi="仿宋_GB2312" w:cs="仿宋_GB2312" w:eastAsia="仿宋_GB2312"/>
                <w:sz w:val="32"/>
              </w:rPr>
              <w:t>年版）、《四川省中药材标准》（</w:t>
            </w:r>
            <w:r>
              <w:rPr>
                <w:rFonts w:ascii="仿宋_GB2312" w:hAnsi="仿宋_GB2312" w:cs="仿宋_GB2312" w:eastAsia="仿宋_GB2312"/>
                <w:sz w:val="32"/>
              </w:rPr>
              <w:t>2010年版）、《中华人民共和国药典临床用药须知（中药饮片卷）》（20</w:t>
            </w:r>
            <w:r>
              <w:rPr>
                <w:rFonts w:ascii="仿宋_GB2312" w:hAnsi="仿宋_GB2312" w:cs="仿宋_GB2312" w:eastAsia="仿宋_GB2312"/>
                <w:sz w:val="32"/>
              </w:rPr>
              <w:t>20</w:t>
            </w:r>
            <w:r>
              <w:rPr>
                <w:rFonts w:ascii="仿宋_GB2312" w:hAnsi="仿宋_GB2312" w:cs="仿宋_GB2312" w:eastAsia="仿宋_GB2312"/>
                <w:sz w:val="32"/>
              </w:rPr>
              <w:t>年版）、《四川省中药饮片炮制规范》（</w:t>
            </w:r>
            <w:r>
              <w:rPr>
                <w:rFonts w:ascii="仿宋_GB2312" w:hAnsi="仿宋_GB2312" w:cs="仿宋_GB2312" w:eastAsia="仿宋_GB2312"/>
                <w:sz w:val="32"/>
              </w:rPr>
              <w:t>2015年版）（若在本项目合同执行中有新标准施行,则按新标准执行合同。）对特许生产和经营的中药饮片符合国家相关文件要求。药材不得出现虫蛀、霉变、走油酸败现象。有效成分、含水量、杂质、灰分、非药用部位、辅料、重金属含量、农药残留量应符合标准要求；饮片外观整洁，不得出现碎颗粒</w:t>
            </w:r>
            <w:r>
              <w:rPr>
                <w:rFonts w:ascii="仿宋_GB2312" w:hAnsi="仿宋_GB2312" w:cs="仿宋_GB2312" w:eastAsia="仿宋_GB2312"/>
                <w:sz w:val="32"/>
              </w:rPr>
              <w:t>比例超过</w:t>
            </w:r>
            <w:r>
              <w:rPr>
                <w:rFonts w:ascii="仿宋_GB2312" w:hAnsi="仿宋_GB2312" w:cs="仿宋_GB2312" w:eastAsia="仿宋_GB2312"/>
                <w:sz w:val="32"/>
              </w:rPr>
              <w:t>10%</w:t>
            </w:r>
            <w:r>
              <w:rPr>
                <w:rFonts w:ascii="仿宋_GB2312" w:hAnsi="仿宋_GB2312" w:cs="仿宋_GB2312" w:eastAsia="仿宋_GB2312"/>
                <w:sz w:val="32"/>
              </w:rPr>
              <w:t>的情况；中药饮片必须包装严密，基本要求：包装袋（箱）应干净、结实、无破损、封口严密，方便储存、运输和使用</w:t>
            </w:r>
            <w:r>
              <w:rPr>
                <w:rFonts w:ascii="仿宋_GB2312" w:hAnsi="仿宋_GB2312" w:cs="仿宋_GB2312" w:eastAsia="仿宋_GB2312"/>
                <w:sz w:val="32"/>
              </w:rPr>
              <w:t>。中药饮片的标签需符合《中药饮片标签管理规定》，</w:t>
            </w:r>
            <w:r>
              <w:rPr>
                <w:rFonts w:ascii="仿宋_GB2312" w:hAnsi="仿宋_GB2312" w:cs="仿宋_GB2312" w:eastAsia="仿宋_GB2312"/>
                <w:sz w:val="32"/>
              </w:rPr>
              <w:t>在每件包装上须注明：品名、</w:t>
            </w:r>
            <w:r>
              <w:rPr>
                <w:rFonts w:ascii="仿宋_GB2312" w:hAnsi="仿宋_GB2312" w:cs="仿宋_GB2312" w:eastAsia="仿宋_GB2312"/>
                <w:sz w:val="32"/>
              </w:rPr>
              <w:t>规格、装</w:t>
            </w:r>
            <w:r>
              <w:rPr>
                <w:rFonts w:ascii="仿宋_GB2312" w:hAnsi="仿宋_GB2312" w:cs="仿宋_GB2312" w:eastAsia="仿宋_GB2312"/>
                <w:sz w:val="32"/>
              </w:rPr>
              <w:t>量、产地、供应单位、批号、生产日期、质量合格标志</w:t>
            </w:r>
            <w:r>
              <w:rPr>
                <w:rFonts w:ascii="仿宋_GB2312" w:hAnsi="仿宋_GB2312" w:cs="仿宋_GB2312" w:eastAsia="仿宋_GB2312"/>
                <w:sz w:val="32"/>
              </w:rPr>
              <w:t>，实施审批管理的中药饮片还应当按规定注明药品批准文号</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、采购人在临床使用中发现药品不符合质量要求（含出现严重的临床反应时），需要进行药品质量检验，应</w:t>
            </w:r>
            <w:r>
              <w:rPr>
                <w:rFonts w:ascii="仿宋_GB2312" w:hAnsi="仿宋_GB2312" w:cs="仿宋_GB2312" w:eastAsia="仿宋_GB2312"/>
                <w:sz w:val="32"/>
              </w:rPr>
              <w:t>24小时内</w:t>
            </w:r>
            <w:r>
              <w:rPr>
                <w:rFonts w:ascii="仿宋_GB2312" w:hAnsi="仿宋_GB2312" w:cs="仿宋_GB2312" w:eastAsia="仿宋_GB2312"/>
                <w:sz w:val="32"/>
              </w:rPr>
              <w:t>以书面形式把质量检验要求通知供应商。药品质量检验在采购人所在地药检部门进行，如果检验证明药品存在质量问题，则检验费用由供应商承担，供应商应在</w:t>
            </w:r>
            <w:r>
              <w:rPr>
                <w:rFonts w:ascii="仿宋_GB2312" w:hAnsi="仿宋_GB2312" w:cs="仿宋_GB2312" w:eastAsia="仿宋_GB2312"/>
                <w:sz w:val="32"/>
              </w:rPr>
              <w:t>3天内进行更换、补充、并不得影响采购人的临床用药，且采购人有权要求供应商承担相应责任和损失。否则，采购人有权终止合同并要求供应商对其所造成的损失进行赔偿。药品质量检验在采购人所在地药检部门进行，药品出现质量问题（包装、标签、等级、内在质量问题），供应商必须收回并更换合格药品；</w:t>
            </w:r>
            <w:r>
              <w:rPr>
                <w:rFonts w:ascii="仿宋_GB2312" w:hAnsi="仿宋_GB2312" w:cs="仿宋_GB2312" w:eastAsia="仿宋_GB2312"/>
                <w:sz w:val="32"/>
              </w:rPr>
              <w:t>由药检部门抽检出现药品不合格的，供应商必须承担</w:t>
            </w:r>
            <w:r>
              <w:rPr>
                <w:rFonts w:ascii="仿宋_GB2312" w:hAnsi="仿宋_GB2312" w:cs="仿宋_GB2312" w:eastAsia="仿宋_GB2312"/>
                <w:sz w:val="32"/>
              </w:rPr>
              <w:t>全部</w:t>
            </w:r>
            <w:r>
              <w:rPr>
                <w:rFonts w:ascii="仿宋_GB2312" w:hAnsi="仿宋_GB2312" w:cs="仿宋_GB2312" w:eastAsia="仿宋_GB2312"/>
                <w:sz w:val="32"/>
              </w:rPr>
              <w:t>经济和法律责任；如因药品质量问题引起药政管理方面的问题</w:t>
            </w:r>
            <w:r>
              <w:rPr>
                <w:rFonts w:ascii="仿宋_GB2312" w:hAnsi="仿宋_GB2312" w:cs="仿宋_GB2312" w:eastAsia="仿宋_GB2312"/>
                <w:sz w:val="32"/>
              </w:rPr>
              <w:t>或医疗纠纷</w:t>
            </w:r>
            <w:r>
              <w:rPr>
                <w:rFonts w:ascii="仿宋_GB2312" w:hAnsi="仿宋_GB2312" w:cs="仿宋_GB2312" w:eastAsia="仿宋_GB2312"/>
                <w:sz w:val="32"/>
              </w:rPr>
              <w:t>，由供应商承担连带责任。</w:t>
            </w:r>
          </w:p>
          <w:p>
            <w:pPr>
              <w:pStyle w:val="null3"/>
              <w:jc w:val="both"/>
            </w:pPr>
            <w:r>
              <w:rPr>
                <w:rFonts w:ascii="仿宋_GB2312" w:hAnsi="仿宋_GB2312" w:cs="仿宋_GB2312" w:eastAsia="仿宋_GB2312"/>
                <w:sz w:val="32"/>
              </w:rPr>
              <w:t>4、</w:t>
            </w:r>
            <w:r>
              <w:rPr>
                <w:rFonts w:ascii="仿宋_GB2312" w:hAnsi="仿宋_GB2312" w:cs="仿宋_GB2312" w:eastAsia="仿宋_GB2312"/>
                <w:sz w:val="32"/>
              </w:rPr>
              <w:t>投标人须配合招标人搭建紧密型县域医共体集中</w:t>
            </w:r>
            <w:r>
              <w:rPr>
                <w:rFonts w:ascii="仿宋_GB2312" w:hAnsi="仿宋_GB2312" w:cs="仿宋_GB2312" w:eastAsia="仿宋_GB2312"/>
                <w:sz w:val="32"/>
              </w:rPr>
              <w:t>(云)审方中心，并与</w:t>
            </w:r>
            <w:r>
              <w:rPr>
                <w:rFonts w:ascii="仿宋_GB2312" w:hAnsi="仿宋_GB2312" w:cs="仿宋_GB2312" w:eastAsia="仿宋_GB2312"/>
                <w:sz w:val="32"/>
              </w:rPr>
              <w:t>采购人</w:t>
            </w:r>
            <w:r>
              <w:rPr>
                <w:rFonts w:ascii="仿宋_GB2312" w:hAnsi="仿宋_GB2312" w:cs="仿宋_GB2312" w:eastAsia="仿宋_GB2312"/>
                <w:sz w:val="32"/>
              </w:rPr>
              <w:t>HIS系统</w:t>
            </w:r>
            <w:r>
              <w:rPr>
                <w:rFonts w:ascii="仿宋_GB2312" w:hAnsi="仿宋_GB2312" w:cs="仿宋_GB2312" w:eastAsia="仿宋_GB2312"/>
                <w:sz w:val="32"/>
              </w:rPr>
              <w:t>（占智云端智能医疗信息服务管理软件</w:t>
            </w:r>
            <w:r>
              <w:rPr>
                <w:rFonts w:ascii="仿宋_GB2312" w:hAnsi="仿宋_GB2312" w:cs="仿宋_GB2312" w:eastAsia="仿宋_GB2312"/>
                <w:sz w:val="32"/>
              </w:rPr>
              <w:t xml:space="preserve"> </w:t>
            </w:r>
            <w:r>
              <w:rPr>
                <w:rFonts w:ascii="仿宋_GB2312" w:hAnsi="仿宋_GB2312" w:cs="仿宋_GB2312" w:eastAsia="仿宋_GB2312"/>
                <w:sz w:val="32"/>
              </w:rPr>
              <w:t>版本号：</w:t>
            </w:r>
            <w:r>
              <w:rPr>
                <w:rFonts w:ascii="仿宋_GB2312" w:hAnsi="仿宋_GB2312" w:cs="仿宋_GB2312" w:eastAsia="仿宋_GB2312"/>
                <w:sz w:val="32"/>
              </w:rPr>
              <w:t>V13.0</w:t>
            </w:r>
            <w:r>
              <w:rPr>
                <w:rFonts w:ascii="仿宋_GB2312" w:hAnsi="仿宋_GB2312" w:cs="仿宋_GB2312" w:eastAsia="仿宋_GB2312"/>
                <w:sz w:val="32"/>
              </w:rPr>
              <w:t xml:space="preserve"> </w:t>
            </w:r>
            <w:r>
              <w:rPr>
                <w:rFonts w:ascii="仿宋_GB2312" w:hAnsi="仿宋_GB2312" w:cs="仿宋_GB2312" w:eastAsia="仿宋_GB2312"/>
                <w:sz w:val="32"/>
              </w:rPr>
              <w:t>厂商：上海占智</w:t>
            </w:r>
            <w:r>
              <w:rPr>
                <w:rFonts w:ascii="仿宋_GB2312" w:hAnsi="仿宋_GB2312" w:cs="仿宋_GB2312" w:eastAsia="仿宋_GB2312"/>
                <w:sz w:val="32"/>
              </w:rPr>
              <w:t>）</w:t>
            </w:r>
            <w:r>
              <w:rPr>
                <w:rFonts w:ascii="仿宋_GB2312" w:hAnsi="仿宋_GB2312" w:cs="仿宋_GB2312" w:eastAsia="仿宋_GB2312"/>
                <w:sz w:val="32"/>
              </w:rPr>
              <w:t>和医共体成员单位的基卫系统</w:t>
            </w:r>
            <w:r>
              <w:rPr>
                <w:rFonts w:ascii="仿宋_GB2312" w:hAnsi="仿宋_GB2312" w:cs="仿宋_GB2312" w:eastAsia="仿宋_GB2312"/>
                <w:sz w:val="32"/>
              </w:rPr>
              <w:t>（当前版本</w:t>
            </w:r>
            <w:r>
              <w:rPr>
                <w:rFonts w:ascii="仿宋_GB2312" w:hAnsi="仿宋_GB2312" w:cs="仿宋_GB2312" w:eastAsia="仿宋_GB2312"/>
                <w:sz w:val="32"/>
              </w:rPr>
              <w:t>:PHIS 3.26.40.202607170955 厂商:四川省卫生健康信息中心）</w:t>
            </w:r>
            <w:r>
              <w:rPr>
                <w:rFonts w:ascii="仿宋_GB2312" w:hAnsi="仿宋_GB2312" w:cs="仿宋_GB2312" w:eastAsia="仿宋_GB2312"/>
                <w:sz w:val="32"/>
              </w:rPr>
              <w:t>对接。</w:t>
            </w:r>
            <w:r>
              <w:rPr>
                <w:rFonts w:ascii="仿宋_GB2312" w:hAnsi="仿宋_GB2312" w:cs="仿宋_GB2312" w:eastAsia="仿宋_GB2312"/>
                <w:sz w:val="32"/>
              </w:rPr>
              <w:t>满足紧密型县域医共体集中</w:t>
            </w:r>
            <w:r>
              <w:rPr>
                <w:rFonts w:ascii="仿宋_GB2312" w:hAnsi="仿宋_GB2312" w:cs="仿宋_GB2312" w:eastAsia="仿宋_GB2312"/>
                <w:sz w:val="32"/>
              </w:rPr>
              <w:t>(云)审方中心的信息建设需求，实现采购人医共体各成员单位及总院系统等之间数据互联互通(第三方接口费用由成交供应商承担，采购人不承担任何接口费用);同时更换系统后提供系统接口及联合调试(</w:t>
            </w:r>
            <w:r>
              <w:rPr>
                <w:rFonts w:ascii="仿宋_GB2312" w:hAnsi="仿宋_GB2312" w:cs="仿宋_GB2312" w:eastAsia="仿宋_GB2312"/>
                <w:sz w:val="32"/>
              </w:rPr>
              <w:t>更换系统后的</w:t>
            </w:r>
            <w:r>
              <w:rPr>
                <w:rFonts w:ascii="仿宋_GB2312" w:hAnsi="仿宋_GB2312" w:cs="仿宋_GB2312" w:eastAsia="仿宋_GB2312"/>
                <w:sz w:val="32"/>
              </w:rPr>
              <w:t>第三方接口费用</w:t>
            </w:r>
            <w:r>
              <w:rPr>
                <w:rFonts w:ascii="仿宋_GB2312" w:hAnsi="仿宋_GB2312" w:cs="仿宋_GB2312" w:eastAsia="仿宋_GB2312"/>
                <w:sz w:val="32"/>
              </w:rPr>
              <w:t>及联合调试费用</w:t>
            </w:r>
            <w:r>
              <w:rPr>
                <w:rFonts w:ascii="仿宋_GB2312" w:hAnsi="仿宋_GB2312" w:cs="仿宋_GB2312" w:eastAsia="仿宋_GB2312"/>
                <w:sz w:val="32"/>
              </w:rPr>
              <w:t>由成交供应商承担，采购人不再承担任何接口费用。）</w:t>
            </w:r>
            <w:r>
              <w:rPr>
                <w:rFonts w:ascii="仿宋_GB2312" w:hAnsi="仿宋_GB2312" w:cs="仿宋_GB2312" w:eastAsia="仿宋_GB2312"/>
                <w:sz w:val="32"/>
              </w:rPr>
              <w:t>实现医共体内各</w:t>
            </w:r>
            <w:r>
              <w:rPr>
                <w:rFonts w:ascii="仿宋_GB2312" w:hAnsi="仿宋_GB2312" w:cs="仿宋_GB2312" w:eastAsia="仿宋_GB2312"/>
                <w:sz w:val="32"/>
              </w:rPr>
              <w:t>级医疗机构处方、医嘱云端集中汇聚与全域前置</w:t>
            </w:r>
            <w:r>
              <w:rPr>
                <w:rFonts w:ascii="仿宋_GB2312" w:hAnsi="仿宋_GB2312" w:cs="仿宋_GB2312" w:eastAsia="仿宋_GB2312"/>
                <w:sz w:val="32"/>
              </w:rPr>
              <w:t>处方</w:t>
            </w:r>
            <w:r>
              <w:rPr>
                <w:rFonts w:ascii="仿宋_GB2312" w:hAnsi="仿宋_GB2312" w:cs="仿宋_GB2312" w:eastAsia="仿宋_GB2312"/>
                <w:sz w:val="32"/>
              </w:rPr>
              <w:t>审</w:t>
            </w:r>
            <w:r>
              <w:rPr>
                <w:rFonts w:ascii="仿宋_GB2312" w:hAnsi="仿宋_GB2312" w:cs="仿宋_GB2312" w:eastAsia="仿宋_GB2312"/>
                <w:sz w:val="32"/>
              </w:rPr>
              <w:t>核</w:t>
            </w:r>
            <w:r>
              <w:rPr>
                <w:rFonts w:ascii="仿宋_GB2312" w:hAnsi="仿宋_GB2312" w:cs="仿宋_GB2312" w:eastAsia="仿宋_GB2312"/>
                <w:sz w:val="32"/>
              </w:rPr>
              <w:t>（</w:t>
            </w:r>
            <w:r>
              <w:rPr>
                <w:rFonts w:ascii="仿宋_GB2312" w:hAnsi="仿宋_GB2312" w:cs="仿宋_GB2312" w:eastAsia="仿宋_GB2312"/>
                <w:sz w:val="32"/>
              </w:rPr>
              <w:t>信息系统应具备线上处方前置审核和处方点评、用药</w:t>
            </w:r>
            <w:r>
              <w:rPr>
                <w:rFonts w:ascii="仿宋_GB2312" w:hAnsi="仿宋_GB2312" w:cs="仿宋_GB2312" w:eastAsia="仿宋_GB2312"/>
                <w:sz w:val="32"/>
              </w:rPr>
              <w:t>数据的收集与统计分析、药品知识库信息查询检索服</w:t>
            </w:r>
            <w:r>
              <w:rPr>
                <w:rFonts w:ascii="仿宋_GB2312" w:hAnsi="仿宋_GB2312" w:cs="仿宋_GB2312" w:eastAsia="仿宋_GB2312"/>
                <w:sz w:val="32"/>
              </w:rPr>
              <w:t>务等</w:t>
            </w:r>
            <w:r>
              <w:rPr>
                <w:rFonts w:ascii="仿宋_GB2312" w:hAnsi="仿宋_GB2312" w:cs="仿宋_GB2312" w:eastAsia="仿宋_GB2312"/>
                <w:sz w:val="32"/>
              </w:rPr>
              <w:t>功能</w:t>
            </w:r>
            <w:r>
              <w:rPr>
                <w:rFonts w:ascii="仿宋_GB2312" w:hAnsi="仿宋_GB2312" w:cs="仿宋_GB2312" w:eastAsia="仿宋_GB2312"/>
                <w:sz w:val="32"/>
              </w:rPr>
              <w:t>，药品知识库需涵盖临床诊疗指南、药物专论、药品说明书、国家卫健部门用药政策文件等专业用药信息</w:t>
            </w:r>
            <w:r>
              <w:rPr>
                <w:rFonts w:ascii="仿宋_GB2312" w:hAnsi="仿宋_GB2312" w:cs="仿宋_GB2312" w:eastAsia="仿宋_GB2312"/>
                <w:sz w:val="32"/>
              </w:rPr>
              <w:t>）</w:t>
            </w:r>
            <w:r>
              <w:rPr>
                <w:rFonts w:ascii="仿宋_GB2312" w:hAnsi="仿宋_GB2312" w:cs="仿宋_GB2312" w:eastAsia="仿宋_GB2312"/>
                <w:sz w:val="32"/>
              </w:rPr>
              <w:t>，依托统一药学知识库与审方规则</w:t>
            </w:r>
            <w:r>
              <w:rPr>
                <w:rFonts w:ascii="仿宋_GB2312" w:hAnsi="仿宋_GB2312" w:cs="仿宋_GB2312" w:eastAsia="仿宋_GB2312"/>
                <w:sz w:val="32"/>
              </w:rPr>
              <w:t>（</w:t>
            </w:r>
            <w:r>
              <w:rPr>
                <w:rFonts w:ascii="仿宋_GB2312" w:hAnsi="仿宋_GB2312" w:cs="仿宋_GB2312" w:eastAsia="仿宋_GB2312"/>
                <w:sz w:val="32"/>
              </w:rPr>
              <w:t>及时更新知识库，及时剔除过时信息和资料</w:t>
            </w:r>
            <w:r>
              <w:rPr>
                <w:rFonts w:ascii="仿宋_GB2312" w:hAnsi="仿宋_GB2312" w:cs="仿宋_GB2312" w:eastAsia="仿宋_GB2312"/>
                <w:sz w:val="32"/>
              </w:rPr>
              <w:t>，</w:t>
            </w:r>
            <w:r>
              <w:rPr>
                <w:rFonts w:ascii="仿宋_GB2312" w:hAnsi="仿宋_GB2312" w:cs="仿宋_GB2312" w:eastAsia="仿宋_GB2312"/>
                <w:sz w:val="32"/>
              </w:rPr>
              <w:t>知识库嵌入医共体成员单位医师、药师工作站</w:t>
            </w:r>
            <w:r>
              <w:rPr>
                <w:rFonts w:ascii="仿宋_GB2312" w:hAnsi="仿宋_GB2312" w:cs="仿宋_GB2312" w:eastAsia="仿宋_GB2312"/>
                <w:sz w:val="32"/>
              </w:rPr>
              <w:t>，根据知识库用药信息识别不合理处方，并进行拦截、干预，结合用药目录变化、处方点评等情况动态调整审方规则及自定义规则</w:t>
            </w:r>
            <w:r>
              <w:rPr>
                <w:rFonts w:ascii="仿宋_GB2312" w:hAnsi="仿宋_GB2312" w:cs="仿宋_GB2312" w:eastAsia="仿宋_GB2312"/>
                <w:sz w:val="32"/>
              </w:rPr>
              <w:t>）</w:t>
            </w:r>
            <w:r>
              <w:rPr>
                <w:rFonts w:ascii="仿宋_GB2312" w:hAnsi="仿宋_GB2312" w:cs="仿宋_GB2312" w:eastAsia="仿宋_GB2312"/>
                <w:sz w:val="32"/>
              </w:rPr>
              <w:t>，采用智能系统预警结合专职药师人工研判模式实时拦截不合理处方，搭建处方干预、集中点评</w:t>
            </w:r>
            <w:r>
              <w:rPr>
                <w:rFonts w:ascii="仿宋_GB2312" w:hAnsi="仿宋_GB2312" w:cs="仿宋_GB2312" w:eastAsia="仿宋_GB2312"/>
                <w:sz w:val="32"/>
              </w:rPr>
              <w:t>、用药监测</w:t>
            </w:r>
            <w:r>
              <w:rPr>
                <w:rFonts w:ascii="仿宋_GB2312" w:hAnsi="仿宋_GB2312" w:cs="仿宋_GB2312" w:eastAsia="仿宋_GB2312"/>
                <w:sz w:val="32"/>
              </w:rPr>
              <w:t>（</w:t>
            </w:r>
            <w:r>
              <w:rPr>
                <w:rFonts w:ascii="仿宋_GB2312" w:hAnsi="仿宋_GB2312" w:cs="仿宋_GB2312" w:eastAsia="仿宋_GB2312"/>
                <w:sz w:val="32"/>
              </w:rPr>
              <w:t>能对接</w:t>
            </w:r>
            <w:r>
              <w:rPr>
                <w:rFonts w:ascii="仿宋_GB2312" w:hAnsi="仿宋_GB2312" w:cs="仿宋_GB2312" w:eastAsia="仿宋_GB2312"/>
                <w:sz w:val="32"/>
              </w:rPr>
              <w:t>药品使用监测数据</w:t>
            </w:r>
            <w:r>
              <w:rPr>
                <w:rFonts w:ascii="仿宋_GB2312" w:hAnsi="仿宋_GB2312" w:cs="仿宋_GB2312" w:eastAsia="仿宋_GB2312"/>
                <w:sz w:val="32"/>
              </w:rPr>
              <w:t>网，能一键上传药品使用监测数据并分析药品使用监测数据</w:t>
            </w:r>
            <w:r>
              <w:rPr>
                <w:rFonts w:ascii="仿宋_GB2312" w:hAnsi="仿宋_GB2312" w:cs="仿宋_GB2312" w:eastAsia="仿宋_GB2312"/>
                <w:sz w:val="32"/>
              </w:rPr>
              <w:t>）</w:t>
            </w:r>
            <w:r>
              <w:rPr>
                <w:rFonts w:ascii="仿宋_GB2312" w:hAnsi="仿宋_GB2312" w:cs="仿宋_GB2312" w:eastAsia="仿宋_GB2312"/>
                <w:sz w:val="32"/>
              </w:rPr>
              <w:t>、药学培训一体化工作体系，共享患者跨机构用药档案</w:t>
            </w:r>
            <w:r>
              <w:rPr>
                <w:rFonts w:ascii="仿宋_GB2312" w:hAnsi="仿宋_GB2312" w:cs="仿宋_GB2312" w:eastAsia="仿宋_GB2312"/>
                <w:sz w:val="32"/>
              </w:rPr>
              <w:t>（</w:t>
            </w:r>
            <w:r>
              <w:rPr>
                <w:rFonts w:ascii="仿宋_GB2312" w:hAnsi="仿宋_GB2312" w:cs="仿宋_GB2312" w:eastAsia="仿宋_GB2312"/>
                <w:sz w:val="32"/>
              </w:rPr>
              <w:t>提供居民查询个人县域内就诊处方用</w:t>
            </w:r>
            <w:r>
              <w:rPr>
                <w:rFonts w:ascii="仿宋_GB2312" w:hAnsi="仿宋_GB2312" w:cs="仿宋_GB2312" w:eastAsia="仿宋_GB2312"/>
                <w:sz w:val="32"/>
              </w:rPr>
              <w:t>药信息</w:t>
            </w:r>
            <w:r>
              <w:rPr>
                <w:rFonts w:ascii="仿宋_GB2312" w:hAnsi="仿宋_GB2312" w:cs="仿宋_GB2312" w:eastAsia="仿宋_GB2312"/>
                <w:sz w:val="32"/>
              </w:rPr>
              <w:t>，</w:t>
            </w:r>
            <w:r>
              <w:rPr>
                <w:rFonts w:ascii="仿宋_GB2312" w:hAnsi="仿宋_GB2312" w:cs="仿宋_GB2312" w:eastAsia="仿宋_GB2312"/>
                <w:sz w:val="32"/>
              </w:rPr>
              <w:t>具备监测居民连续用药的信息系统</w:t>
            </w:r>
            <w:r>
              <w:rPr>
                <w:rFonts w:ascii="仿宋_GB2312" w:hAnsi="仿宋_GB2312" w:cs="仿宋_GB2312" w:eastAsia="仿宋_GB2312"/>
                <w:sz w:val="32"/>
              </w:rPr>
              <w:t>，</w:t>
            </w:r>
            <w:r>
              <w:rPr>
                <w:rFonts w:ascii="仿宋_GB2312" w:hAnsi="仿宋_GB2312" w:cs="仿宋_GB2312" w:eastAsia="仿宋_GB2312"/>
                <w:sz w:val="32"/>
              </w:rPr>
              <w:t>有可</w:t>
            </w:r>
            <w:r>
              <w:rPr>
                <w:rFonts w:ascii="仿宋_GB2312" w:hAnsi="仿宋_GB2312" w:cs="仿宋_GB2312" w:eastAsia="仿宋_GB2312"/>
                <w:sz w:val="32"/>
              </w:rPr>
              <w:t>为患者提供连续用药监测服务</w:t>
            </w:r>
            <w:r>
              <w:rPr>
                <w:rFonts w:ascii="仿宋_GB2312" w:hAnsi="仿宋_GB2312" w:cs="仿宋_GB2312" w:eastAsia="仿宋_GB2312"/>
                <w:sz w:val="32"/>
              </w:rPr>
              <w:t>系统</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在</w:t>
            </w:r>
            <w:r>
              <w:rPr>
                <w:rFonts w:ascii="仿宋_GB2312" w:hAnsi="仿宋_GB2312" w:cs="仿宋_GB2312" w:eastAsia="仿宋_GB2312"/>
                <w:sz w:val="32"/>
              </w:rPr>
              <w:t>推动医共体药事管理一体化、规范化、同质化发展</w:t>
            </w:r>
            <w:r>
              <w:rPr>
                <w:rFonts w:ascii="仿宋_GB2312" w:hAnsi="仿宋_GB2312" w:cs="仿宋_GB2312" w:eastAsia="仿宋_GB2312"/>
                <w:sz w:val="32"/>
              </w:rPr>
              <w:t>的同时，保证信息数据安全</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投标人须配合</w:t>
            </w:r>
            <w:r>
              <w:rPr>
                <w:rFonts w:ascii="仿宋_GB2312" w:hAnsi="仿宋_GB2312" w:cs="仿宋_GB2312" w:eastAsia="仿宋_GB2312"/>
                <w:sz w:val="32"/>
              </w:rPr>
              <w:t>采购人</w:t>
            </w:r>
            <w:r>
              <w:rPr>
                <w:rFonts w:ascii="仿宋_GB2312" w:hAnsi="仿宋_GB2312" w:cs="仿宋_GB2312" w:eastAsia="仿宋_GB2312"/>
                <w:sz w:val="32"/>
              </w:rPr>
              <w:t>搭建紧密型县域医共体中心</w:t>
            </w:r>
            <w:r>
              <w:rPr>
                <w:rFonts w:ascii="仿宋_GB2312" w:hAnsi="仿宋_GB2312" w:cs="仿宋_GB2312" w:eastAsia="仿宋_GB2312"/>
                <w:sz w:val="32"/>
              </w:rPr>
              <w:t>(云)药房，并与</w:t>
            </w:r>
            <w:r>
              <w:rPr>
                <w:rFonts w:ascii="仿宋_GB2312" w:hAnsi="仿宋_GB2312" w:cs="仿宋_GB2312" w:eastAsia="仿宋_GB2312"/>
                <w:sz w:val="32"/>
              </w:rPr>
              <w:t>采购人</w:t>
            </w:r>
            <w:r>
              <w:rPr>
                <w:rFonts w:ascii="仿宋_GB2312" w:hAnsi="仿宋_GB2312" w:cs="仿宋_GB2312" w:eastAsia="仿宋_GB2312"/>
                <w:sz w:val="32"/>
              </w:rPr>
              <w:t>HIS系统</w:t>
            </w:r>
            <w:r>
              <w:rPr>
                <w:rFonts w:ascii="仿宋_GB2312" w:hAnsi="仿宋_GB2312" w:cs="仿宋_GB2312" w:eastAsia="仿宋_GB2312"/>
                <w:sz w:val="32"/>
              </w:rPr>
              <w:t>（占智云端智能医疗信息服务管理软件</w:t>
            </w:r>
            <w:r>
              <w:rPr>
                <w:rFonts w:ascii="仿宋_GB2312" w:hAnsi="仿宋_GB2312" w:cs="仿宋_GB2312" w:eastAsia="仿宋_GB2312"/>
                <w:sz w:val="32"/>
              </w:rPr>
              <w:t xml:space="preserve"> </w:t>
            </w:r>
            <w:r>
              <w:rPr>
                <w:rFonts w:ascii="仿宋_GB2312" w:hAnsi="仿宋_GB2312" w:cs="仿宋_GB2312" w:eastAsia="仿宋_GB2312"/>
                <w:sz w:val="32"/>
              </w:rPr>
              <w:t>版本号：</w:t>
            </w:r>
            <w:r>
              <w:rPr>
                <w:rFonts w:ascii="仿宋_GB2312" w:hAnsi="仿宋_GB2312" w:cs="仿宋_GB2312" w:eastAsia="仿宋_GB2312"/>
                <w:sz w:val="32"/>
              </w:rPr>
              <w:t>V13.0</w:t>
            </w:r>
            <w:r>
              <w:rPr>
                <w:rFonts w:ascii="仿宋_GB2312" w:hAnsi="仿宋_GB2312" w:cs="仿宋_GB2312" w:eastAsia="仿宋_GB2312"/>
                <w:sz w:val="32"/>
              </w:rPr>
              <w:t xml:space="preserve"> </w:t>
            </w:r>
            <w:r>
              <w:rPr>
                <w:rFonts w:ascii="仿宋_GB2312" w:hAnsi="仿宋_GB2312" w:cs="仿宋_GB2312" w:eastAsia="仿宋_GB2312"/>
                <w:sz w:val="32"/>
              </w:rPr>
              <w:t>厂商：上海占智医疗科技有限公司</w:t>
            </w:r>
            <w:r>
              <w:rPr>
                <w:rFonts w:ascii="仿宋_GB2312" w:hAnsi="仿宋_GB2312" w:cs="仿宋_GB2312" w:eastAsia="仿宋_GB2312"/>
                <w:sz w:val="32"/>
              </w:rPr>
              <w:t>）</w:t>
            </w:r>
            <w:r>
              <w:rPr>
                <w:rFonts w:ascii="仿宋_GB2312" w:hAnsi="仿宋_GB2312" w:cs="仿宋_GB2312" w:eastAsia="仿宋_GB2312"/>
                <w:sz w:val="32"/>
              </w:rPr>
              <w:t>和医共体成员单位的基卫系统</w:t>
            </w:r>
            <w:r>
              <w:rPr>
                <w:rFonts w:ascii="仿宋_GB2312" w:hAnsi="仿宋_GB2312" w:cs="仿宋_GB2312" w:eastAsia="仿宋_GB2312"/>
                <w:sz w:val="32"/>
              </w:rPr>
              <w:t>（</w:t>
            </w:r>
            <w:r>
              <w:rPr>
                <w:rFonts w:ascii="仿宋_GB2312" w:hAnsi="仿宋_GB2312" w:cs="仿宋_GB2312" w:eastAsia="仿宋_GB2312"/>
                <w:sz w:val="32"/>
              </w:rPr>
              <w:t>当前版本</w:t>
            </w:r>
            <w:r>
              <w:rPr>
                <w:rFonts w:ascii="仿宋_GB2312" w:hAnsi="仿宋_GB2312" w:cs="仿宋_GB2312" w:eastAsia="仿宋_GB2312"/>
                <w:sz w:val="32"/>
              </w:rPr>
              <w:t>:PHIS 3.26.40.202607170955 厂商:四川省卫生健康信息中心</w:t>
            </w:r>
            <w:r>
              <w:rPr>
                <w:rFonts w:ascii="仿宋_GB2312" w:hAnsi="仿宋_GB2312" w:cs="仿宋_GB2312" w:eastAsia="仿宋_GB2312"/>
                <w:sz w:val="32"/>
              </w:rPr>
              <w:t>）</w:t>
            </w:r>
            <w:r>
              <w:rPr>
                <w:rFonts w:ascii="仿宋_GB2312" w:hAnsi="仿宋_GB2312" w:cs="仿宋_GB2312" w:eastAsia="仿宋_GB2312"/>
                <w:sz w:val="32"/>
              </w:rPr>
              <w:t>对接，满足紧密型县域医共体中心</w:t>
            </w:r>
            <w:r>
              <w:rPr>
                <w:rFonts w:ascii="仿宋_GB2312" w:hAnsi="仿宋_GB2312" w:cs="仿宋_GB2312" w:eastAsia="仿宋_GB2312"/>
                <w:sz w:val="32"/>
              </w:rPr>
              <w:t>(云)药房的信息建设需求，实现采购人医共体各成员单位及总院系统等之间数据互联互通（第三方接口费用由成交供应商承担，采购人不承担任何接口费用）；同时更换系统后需提供系统接口及联合调试。(</w:t>
            </w:r>
            <w:r>
              <w:rPr>
                <w:rFonts w:ascii="仿宋_GB2312" w:hAnsi="仿宋_GB2312" w:cs="仿宋_GB2312" w:eastAsia="仿宋_GB2312"/>
                <w:sz w:val="32"/>
              </w:rPr>
              <w:t>更换系统后的</w:t>
            </w:r>
            <w:r>
              <w:rPr>
                <w:rFonts w:ascii="仿宋_GB2312" w:hAnsi="仿宋_GB2312" w:cs="仿宋_GB2312" w:eastAsia="仿宋_GB2312"/>
                <w:sz w:val="32"/>
              </w:rPr>
              <w:t>第三方接口费用</w:t>
            </w:r>
            <w:r>
              <w:rPr>
                <w:rFonts w:ascii="仿宋_GB2312" w:hAnsi="仿宋_GB2312" w:cs="仿宋_GB2312" w:eastAsia="仿宋_GB2312"/>
                <w:sz w:val="32"/>
              </w:rPr>
              <w:t>及联合调试费用</w:t>
            </w:r>
            <w:r>
              <w:rPr>
                <w:rFonts w:ascii="仿宋_GB2312" w:hAnsi="仿宋_GB2312" w:cs="仿宋_GB2312" w:eastAsia="仿宋_GB2312"/>
                <w:sz w:val="32"/>
              </w:rPr>
              <w:t>由成交供应商承担，采购人不再承担任何接口费用。）</w:t>
            </w:r>
            <w:r>
              <w:rPr>
                <w:rFonts w:ascii="仿宋_GB2312" w:hAnsi="仿宋_GB2312" w:cs="仿宋_GB2312" w:eastAsia="仿宋_GB2312"/>
                <w:sz w:val="32"/>
              </w:rPr>
              <w:t>，整合医共体各级医疗机构药品</w:t>
            </w:r>
            <w:r>
              <w:rPr>
                <w:rFonts w:ascii="仿宋_GB2312" w:hAnsi="仿宋_GB2312" w:cs="仿宋_GB2312" w:eastAsia="仿宋_GB2312"/>
                <w:sz w:val="32"/>
              </w:rPr>
              <w:t>用药遴选和调整制度</w:t>
            </w:r>
            <w:r>
              <w:rPr>
                <w:rFonts w:ascii="仿宋_GB2312" w:hAnsi="仿宋_GB2312" w:cs="仿宋_GB2312" w:eastAsia="仿宋_GB2312"/>
                <w:sz w:val="32"/>
              </w:rPr>
              <w:t>，</w:t>
            </w:r>
            <w:r>
              <w:rPr>
                <w:rFonts w:ascii="仿宋_GB2312" w:hAnsi="仿宋_GB2312" w:cs="仿宋_GB2312" w:eastAsia="仿宋_GB2312"/>
                <w:sz w:val="32"/>
              </w:rPr>
              <w:t>（提供中心（云）药房系统配套设施设备，</w:t>
            </w:r>
            <w:r>
              <w:rPr>
                <w:rFonts w:ascii="仿宋_GB2312" w:hAnsi="仿宋_GB2312" w:cs="仿宋_GB2312" w:eastAsia="仿宋_GB2312"/>
                <w:sz w:val="32"/>
              </w:rPr>
              <w:t>搭建</w:t>
            </w:r>
            <w:r>
              <w:rPr>
                <w:rFonts w:ascii="仿宋_GB2312" w:hAnsi="仿宋_GB2312" w:cs="仿宋_GB2312" w:eastAsia="仿宋_GB2312"/>
                <w:sz w:val="32"/>
              </w:rPr>
              <w:t>药房统一运行管理信息系统，</w:t>
            </w:r>
            <w:r>
              <w:rPr>
                <w:rFonts w:ascii="仿宋_GB2312" w:hAnsi="仿宋_GB2312" w:cs="仿宋_GB2312" w:eastAsia="仿宋_GB2312"/>
                <w:sz w:val="32"/>
              </w:rPr>
              <w:t>运用信息系统对成员单位药品开展全流程管理（包括</w:t>
            </w:r>
            <w:r>
              <w:rPr>
                <w:rFonts w:ascii="仿宋_GB2312" w:hAnsi="仿宋_GB2312" w:cs="仿宋_GB2312" w:eastAsia="仿宋_GB2312"/>
                <w:sz w:val="32"/>
              </w:rPr>
              <w:t>用药目录、药品采购及结算、库存</w:t>
            </w:r>
            <w:r>
              <w:rPr>
                <w:rFonts w:ascii="仿宋_GB2312" w:hAnsi="仿宋_GB2312" w:cs="仿宋_GB2312" w:eastAsia="仿宋_GB2312"/>
                <w:sz w:val="32"/>
              </w:rPr>
              <w:t>及效期</w:t>
            </w:r>
            <w:r>
              <w:rPr>
                <w:rFonts w:ascii="仿宋_GB2312" w:hAnsi="仿宋_GB2312" w:cs="仿宋_GB2312" w:eastAsia="仿宋_GB2312"/>
                <w:sz w:val="32"/>
              </w:rPr>
              <w:t>管理、药品调拨、药品调</w:t>
            </w:r>
            <w:r>
              <w:rPr>
                <w:rFonts w:ascii="仿宋_GB2312" w:hAnsi="仿宋_GB2312" w:cs="仿宋_GB2312" w:eastAsia="仿宋_GB2312"/>
                <w:sz w:val="32"/>
              </w:rPr>
              <w:t>剂、药品使用</w:t>
            </w:r>
            <w:r>
              <w:rPr>
                <w:rFonts w:ascii="仿宋_GB2312" w:hAnsi="仿宋_GB2312" w:cs="仿宋_GB2312" w:eastAsia="仿宋_GB2312"/>
                <w:sz w:val="32"/>
              </w:rPr>
              <w:t>监测、药品信息自助查询</w:t>
            </w:r>
            <w:r>
              <w:rPr>
                <w:rFonts w:ascii="仿宋_GB2312" w:hAnsi="仿宋_GB2312" w:cs="仿宋_GB2312" w:eastAsia="仿宋_GB2312"/>
                <w:sz w:val="32"/>
              </w:rPr>
              <w:t>等</w:t>
            </w:r>
            <w:r>
              <w:rPr>
                <w:rFonts w:ascii="仿宋_GB2312" w:hAnsi="仿宋_GB2312" w:cs="仿宋_GB2312" w:eastAsia="仿宋_GB2312"/>
                <w:sz w:val="32"/>
              </w:rPr>
              <w:t>）</w:t>
            </w:r>
            <w:r>
              <w:rPr>
                <w:rFonts w:ascii="仿宋_GB2312" w:hAnsi="仿宋_GB2312" w:cs="仿宋_GB2312" w:eastAsia="仿宋_GB2312"/>
                <w:sz w:val="32"/>
              </w:rPr>
              <w:t>实现全域库存共享</w:t>
            </w:r>
            <w:r>
              <w:rPr>
                <w:rFonts w:ascii="仿宋_GB2312" w:hAnsi="仿宋_GB2312" w:cs="仿宋_GB2312" w:eastAsia="仿宋_GB2312"/>
                <w:sz w:val="32"/>
              </w:rPr>
              <w:t>，</w:t>
            </w:r>
            <w:r>
              <w:rPr>
                <w:rFonts w:ascii="仿宋_GB2312" w:hAnsi="仿宋_GB2312" w:cs="仿宋_GB2312" w:eastAsia="仿宋_GB2312"/>
                <w:sz w:val="32"/>
              </w:rPr>
              <w:t>跨机构药品调拨</w:t>
            </w:r>
            <w:r>
              <w:rPr>
                <w:rFonts w:ascii="仿宋_GB2312" w:hAnsi="仿宋_GB2312" w:cs="仿宋_GB2312" w:eastAsia="仿宋_GB2312"/>
                <w:sz w:val="32"/>
              </w:rPr>
              <w:t>;落实药品全程溯源与规范化仓储管理，统一医共体药品管理标准，优化药品储备结构</w:t>
            </w:r>
            <w:r>
              <w:rPr>
                <w:rFonts w:ascii="仿宋_GB2312" w:hAnsi="仿宋_GB2312" w:cs="仿宋_GB2312" w:eastAsia="仿宋_GB2312"/>
                <w:sz w:val="32"/>
              </w:rPr>
              <w:t>（医共体各成员单位实现药品短缺监测预警和余缺调度，定期监测各成员单位用药情况、实现基层供药与用药协同联动）</w:t>
            </w:r>
            <w:r>
              <w:rPr>
                <w:rFonts w:ascii="仿宋_GB2312" w:hAnsi="仿宋_GB2312" w:cs="仿宋_GB2312" w:eastAsia="仿宋_GB2312"/>
                <w:sz w:val="32"/>
              </w:rPr>
              <w:t>，降低运营成本，保障基层药品稳定供给，实现县域药品供应保障一体化</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二</w:t>
            </w:r>
            <w:r>
              <w:rPr>
                <w:rFonts w:ascii="仿宋_GB2312" w:hAnsi="仿宋_GB2312" w:cs="仿宋_GB2312" w:eastAsia="仿宋_GB2312"/>
                <w:sz w:val="32"/>
              </w:rPr>
              <w:t>）</w:t>
            </w:r>
            <w:r>
              <w:rPr>
                <w:rFonts w:ascii="仿宋_GB2312" w:hAnsi="仿宋_GB2312" w:cs="仿宋_GB2312" w:eastAsia="仿宋_GB2312"/>
                <w:sz w:val="32"/>
              </w:rPr>
              <w:t>配送服务要求</w:t>
            </w:r>
          </w:p>
          <w:p>
            <w:pPr>
              <w:pStyle w:val="null3"/>
              <w:ind w:firstLine="640"/>
              <w:jc w:val="both"/>
            </w:pPr>
            <w:r>
              <w:rPr>
                <w:rFonts w:ascii="仿宋_GB2312" w:hAnsi="仿宋_GB2312" w:cs="仿宋_GB2312" w:eastAsia="仿宋_GB2312"/>
                <w:sz w:val="32"/>
              </w:rPr>
              <w:t>1、所有产品配送必须实行定点配送，按规定送到采购人指定的库房，并按存放要求堆放整齐，（需冷藏的中药饮片需保障冷链运输）。人员配置要求：针对本项目至少配备2名服务人员（须提供人员身份证复印件或者有效的驾驶证复印件）。供应商必须提供配送工作人员三年内无犯罪、吸毒史的承诺书</w:t>
            </w:r>
            <w:r>
              <w:rPr>
                <w:rFonts w:ascii="仿宋_GB2312" w:hAnsi="仿宋_GB2312" w:cs="仿宋_GB2312" w:eastAsia="仿宋_GB2312"/>
                <w:sz w:val="32"/>
                <w:b/>
              </w:rPr>
              <w:t>（投标时提供单独提供承诺书）</w:t>
            </w:r>
            <w:r>
              <w:rPr>
                <w:rFonts w:ascii="仿宋_GB2312" w:hAnsi="仿宋_GB2312" w:cs="仿宋_GB2312" w:eastAsia="仿宋_GB2312"/>
                <w:sz w:val="32"/>
              </w:rPr>
              <w:t>。配送时间要求：供应商应配备足够数量的中药饮片，按采购人下达的中药饮片的品种、规格和数量配送计划，</w:t>
            </w:r>
            <w:r>
              <w:rPr>
                <w:rFonts w:ascii="仿宋_GB2312" w:hAnsi="仿宋_GB2312" w:cs="仿宋_GB2312" w:eastAsia="仿宋_GB2312"/>
                <w:sz w:val="32"/>
              </w:rPr>
              <w:t>一般供货需求</w:t>
            </w:r>
            <w:r>
              <w:rPr>
                <w:rFonts w:ascii="仿宋_GB2312" w:hAnsi="仿宋_GB2312" w:cs="仿宋_GB2312" w:eastAsia="仿宋_GB2312"/>
                <w:sz w:val="32"/>
              </w:rPr>
              <w:t>须</w:t>
            </w:r>
            <w:r>
              <w:rPr>
                <w:rFonts w:ascii="仿宋_GB2312" w:hAnsi="仿宋_GB2312" w:cs="仿宋_GB2312" w:eastAsia="仿宋_GB2312"/>
                <w:sz w:val="32"/>
              </w:rPr>
              <w:t>在</w:t>
            </w:r>
            <w:r>
              <w:rPr>
                <w:rFonts w:ascii="仿宋_GB2312" w:hAnsi="仿宋_GB2312" w:cs="仿宋_GB2312" w:eastAsia="仿宋_GB2312"/>
                <w:sz w:val="32"/>
              </w:rPr>
              <w:t>72小时内运至采购人指定地点，</w:t>
            </w:r>
            <w:r>
              <w:rPr>
                <w:rFonts w:ascii="仿宋_GB2312" w:hAnsi="仿宋_GB2312" w:cs="仿宋_GB2312" w:eastAsia="仿宋_GB2312"/>
                <w:sz w:val="32"/>
              </w:rPr>
              <w:t>如遇紧急供货需求在接到采购</w:t>
            </w:r>
            <w:r>
              <w:rPr>
                <w:rFonts w:ascii="仿宋_GB2312" w:hAnsi="仿宋_GB2312" w:cs="仿宋_GB2312" w:eastAsia="仿宋_GB2312"/>
                <w:sz w:val="32"/>
              </w:rPr>
              <w:t>人通知后</w:t>
            </w:r>
            <w:r>
              <w:rPr>
                <w:rFonts w:ascii="仿宋_GB2312" w:hAnsi="仿宋_GB2312" w:cs="仿宋_GB2312" w:eastAsia="仿宋_GB2312"/>
                <w:sz w:val="32"/>
              </w:rPr>
              <w:t>8小时内完成供货，供应商节假日期间亦照常配送。无正当理由缺货且对采购人造成影响的，采购人有权对供应商进行提醒谈话或发函，累计3次时采购人有权终止合同。</w:t>
            </w:r>
          </w:p>
          <w:p>
            <w:pPr>
              <w:pStyle w:val="null3"/>
              <w:ind w:firstLine="640"/>
              <w:jc w:val="both"/>
            </w:pPr>
            <w:r>
              <w:rPr>
                <w:rFonts w:ascii="仿宋_GB2312" w:hAnsi="仿宋_GB2312" w:cs="仿宋_GB2312" w:eastAsia="仿宋_GB2312"/>
                <w:sz w:val="32"/>
              </w:rPr>
              <w:t>2、所投产品如涉及实行批准文号管理的中药饮片，其提供的产品须取得国家食品药品监督管理总局颁发的药品批准文号，并于交货时提供相应的证明材料。</w:t>
            </w:r>
            <w:r>
              <w:rPr>
                <w:rFonts w:ascii="仿宋_GB2312" w:hAnsi="仿宋_GB2312" w:cs="仿宋_GB2312" w:eastAsia="仿宋_GB2312"/>
                <w:sz w:val="32"/>
                <w:b/>
              </w:rPr>
              <w:t>（投标时单独提供承诺书）</w:t>
            </w:r>
            <w:r>
              <w:rPr>
                <w:rFonts w:ascii="仿宋_GB2312" w:hAnsi="仿宋_GB2312" w:cs="仿宋_GB2312" w:eastAsia="仿宋_GB2312"/>
                <w:sz w:val="32"/>
              </w:rPr>
              <w:t>供应商应保证所配送中药饮片的品种、炮制、规格及产地等分类相一致。中药饮片的配送时间和数量以采购人的采购计划品种为准。</w:t>
            </w:r>
          </w:p>
          <w:p>
            <w:pPr>
              <w:pStyle w:val="null3"/>
              <w:ind w:firstLine="640"/>
              <w:jc w:val="both"/>
            </w:pPr>
            <w:r>
              <w:rPr>
                <w:rFonts w:ascii="仿宋_GB2312" w:hAnsi="仿宋_GB2312" w:cs="仿宋_GB2312" w:eastAsia="仿宋_GB2312"/>
                <w:sz w:val="32"/>
              </w:rPr>
              <w:t>3、供应商提供的药品有效期须≥1</w:t>
            </w:r>
            <w:r>
              <w:rPr>
                <w:rFonts w:ascii="仿宋_GB2312" w:hAnsi="仿宋_GB2312" w:cs="仿宋_GB2312" w:eastAsia="仿宋_GB2312"/>
                <w:sz w:val="32"/>
              </w:rPr>
              <w:t>年，如遇国家政策性变化产品，按国家政策执行，采购人在处理由供应商提供的药品引发的纠纷时，供应商需自行承担</w:t>
            </w:r>
            <w:r>
              <w:rPr>
                <w:rFonts w:ascii="仿宋_GB2312" w:hAnsi="仿宋_GB2312" w:cs="仿宋_GB2312" w:eastAsia="仿宋_GB2312"/>
                <w:sz w:val="32"/>
              </w:rPr>
              <w:t>纠纷处理期间产生的药品运输、退换、责任赔偿等费用。对临近有效期</w:t>
            </w:r>
            <w:r>
              <w:rPr>
                <w:rFonts w:ascii="仿宋_GB2312" w:hAnsi="仿宋_GB2312" w:cs="仿宋_GB2312" w:eastAsia="仿宋_GB2312"/>
                <w:sz w:val="32"/>
              </w:rPr>
              <w:t>3个月或滞销6个月及以上的中药饮片，供应商应按照采购人的要求无条件退货。</w:t>
            </w:r>
          </w:p>
          <w:p>
            <w:pPr>
              <w:pStyle w:val="null3"/>
              <w:jc w:val="left"/>
            </w:pPr>
            <w:r>
              <w:rPr>
                <w:rFonts w:ascii="仿宋_GB2312" w:hAnsi="仿宋_GB2312" w:cs="仿宋_GB2312" w:eastAsia="仿宋_GB2312"/>
                <w:sz w:val="32"/>
              </w:rPr>
              <w:t>4、</w:t>
            </w:r>
            <w:r>
              <w:rPr>
                <w:rFonts w:ascii="仿宋_GB2312" w:hAnsi="仿宋_GB2312" w:cs="仿宋_GB2312" w:eastAsia="仿宋_GB2312"/>
                <w:sz w:val="32"/>
              </w:rPr>
              <w:t>合同期间，成交供应商除提供采购清单中中药饮片外，须确保能提供列入国家集中采购品种的中药饮片，提供全部中药饮片国家集采目录内产品的保供承诺</w:t>
            </w:r>
            <w:r>
              <w:rPr>
                <w:rFonts w:ascii="仿宋_GB2312" w:hAnsi="仿宋_GB2312" w:cs="仿宋_GB2312" w:eastAsia="仿宋_GB2312"/>
                <w:sz w:val="32"/>
                <w:b/>
              </w:rPr>
              <w:t>（投标文件中提供保供承诺函，格式自拟。合同执行过程中如不能保供，则取消供货资格）</w:t>
            </w:r>
            <w:r>
              <w:rPr>
                <w:rFonts w:ascii="仿宋_GB2312" w:hAnsi="仿宋_GB2312" w:cs="仿宋_GB2312" w:eastAsia="仿宋_GB2312"/>
                <w:sz w:val="32"/>
              </w:rPr>
              <w:t>，具体供货时间及供货要求以采购人通知书为准，如与国家集采政策相违背的，按照国家集采政策执行。如采购内容发生重大变化，项目将终止合同重新进行采购。</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32"/>
              </w:rPr>
              <w:t>1.服务质量要求：所提供药品必须符合相关国家标准要求，供应商提供的中药饮片应有对应的医保编码。</w:t>
            </w:r>
          </w:p>
          <w:p>
            <w:pPr>
              <w:pStyle w:val="null3"/>
              <w:jc w:val="left"/>
            </w:pPr>
            <w:r>
              <w:rPr>
                <w:rFonts w:ascii="仿宋_GB2312" w:hAnsi="仿宋_GB2312" w:cs="仿宋_GB2312" w:eastAsia="仿宋_GB2312"/>
                <w:sz w:val="32"/>
              </w:rPr>
              <w:t>2.药饮片对运输条件（温湿度、防挤压）和储存环境（通风、防潮、防虫）要求严格，供应商须提供全链路保障。</w:t>
            </w:r>
          </w:p>
          <w:p>
            <w:pPr>
              <w:pStyle w:val="null3"/>
              <w:jc w:val="left"/>
            </w:pPr>
            <w:r>
              <w:rPr>
                <w:rFonts w:ascii="仿宋_GB2312" w:hAnsi="仿宋_GB2312" w:cs="仿宋_GB2312" w:eastAsia="仿宋_GB2312"/>
                <w:sz w:val="32"/>
              </w:rPr>
              <w:t>3.项目履约期间，如遇市场价格波动，采购人与供应商协商一致可进行价格调整，下浮不设限，不得上浮；项目履约期间，如遇上级部门有其他要求，按上级部门相关政策或要求执行。</w:t>
            </w:r>
          </w:p>
          <w:p>
            <w:pPr>
              <w:pStyle w:val="null3"/>
              <w:jc w:val="left"/>
            </w:pPr>
            <w:r>
              <w:rPr>
                <w:rFonts w:ascii="仿宋_GB2312" w:hAnsi="仿宋_GB2312" w:cs="仿宋_GB2312" w:eastAsia="仿宋_GB2312"/>
                <w:sz w:val="32"/>
              </w:rPr>
              <w:t>4.提供中药饮片煎煮所需的中药封装袋。</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样品要求</w:t>
            </w:r>
          </w:p>
        </w:tc>
        <w:tc>
          <w:tcPr>
            <w:tcW w:type="dxa" w:w="5814"/>
          </w:tcPr>
          <w:p>
            <w:pPr>
              <w:pStyle w:val="null3"/>
              <w:ind w:firstLine="420"/>
              <w:jc w:val="left"/>
            </w:pPr>
            <w:r>
              <w:rPr>
                <w:rFonts w:ascii="仿宋_GB2312" w:hAnsi="仿宋_GB2312" w:cs="仿宋_GB2312" w:eastAsia="仿宋_GB2312"/>
                <w:sz w:val="21"/>
                <w:color w:val="000000"/>
              </w:rPr>
              <w:t>（一）样品清单</w:t>
            </w:r>
          </w:p>
          <w:tbl>
            <w:tblPr>
              <w:tblInd w:type="dxa" w:w="210"/>
              <w:tblBorders>
                <w:top w:val="none" w:color="000000" w:sz="4"/>
                <w:left w:val="none" w:color="000000" w:sz="4"/>
                <w:bottom w:val="none" w:color="000000" w:sz="4"/>
                <w:right w:val="none" w:color="000000" w:sz="4"/>
                <w:insideH w:val="none"/>
                <w:insideV w:val="none"/>
              </w:tblBorders>
            </w:tblPr>
            <w:tblGrid>
              <w:gridCol w:w="437"/>
              <w:gridCol w:w="318"/>
              <w:gridCol w:w="437"/>
              <w:gridCol w:w="3594"/>
              <w:gridCol w:w="782"/>
            </w:tblGrid>
            <w:tr>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1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名称</w:t>
                  </w:r>
                </w:p>
              </w:tc>
              <w:tc>
                <w:tcPr>
                  <w:tcW w:type="dxa" w:w="43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炮制规格</w:t>
                  </w:r>
                </w:p>
              </w:tc>
              <w:tc>
                <w:tcPr>
                  <w:tcW w:type="dxa" w:w="3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样品</w:t>
                  </w:r>
                  <w:r>
                    <w:rPr>
                      <w:rFonts w:ascii="仿宋_GB2312" w:hAnsi="仿宋_GB2312" w:cs="仿宋_GB2312" w:eastAsia="仿宋_GB2312"/>
                      <w:sz w:val="24"/>
                      <w:b/>
                      <w:color w:val="000000"/>
                    </w:rPr>
                    <w:t>参数</w:t>
                  </w:r>
                  <w:r>
                    <w:rPr>
                      <w:rFonts w:ascii="仿宋_GB2312" w:hAnsi="仿宋_GB2312" w:cs="仿宋_GB2312" w:eastAsia="仿宋_GB2312"/>
                      <w:sz w:val="24"/>
                      <w:b/>
                      <w:color w:val="000000"/>
                    </w:rPr>
                    <w:t>要求</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重</w:t>
                  </w:r>
                  <w:r>
                    <w:rPr>
                      <w:rFonts w:ascii="仿宋_GB2312" w:hAnsi="仿宋_GB2312" w:cs="仿宋_GB2312" w:eastAsia="仿宋_GB2312"/>
                      <w:sz w:val="24"/>
                      <w:b/>
                      <w:color w:val="000000"/>
                    </w:rPr>
                    <w:t>量（</w:t>
                  </w:r>
                  <w:r>
                    <w:rPr>
                      <w:rFonts w:ascii="仿宋_GB2312" w:hAnsi="仿宋_GB2312" w:cs="仿宋_GB2312" w:eastAsia="仿宋_GB2312"/>
                      <w:sz w:val="24"/>
                      <w:b/>
                      <w:color w:val="000000"/>
                    </w:rPr>
                    <w:t>g）</w:t>
                  </w:r>
                </w:p>
              </w:tc>
            </w:tr>
            <w:tr>
              <w:tc>
                <w:tcPr>
                  <w:tcW w:type="dxa" w:w="43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甘草</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1.呈类圆形或椭圆形的厚片；2.外表皮红棕色或灰棕色，具纵皱纹。切面略显纤维性，中心黄白色，有明显放射状纹理及形成层环；3.质坚实，具粉性。气微，味甜而特别。</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枸杞子</w:t>
                  </w:r>
                </w:p>
              </w:tc>
              <w:tc>
                <w:tcPr>
                  <w:tcW w:type="dxa" w:w="4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净制</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1.呈类纺锤形或椭圆形，果实饱满 ，表面应为红色或暗红色。颜色均匀， 无斑点或腐烂迹象。 2.用手触摸，应有肉质柔润感，质地坚实。好的枸杞子应无明显的杂质、粘连、结块或霉变。3应有独特的、醇正的香气，无异味。品尝时味道纯正，无腐败变质的怪味。</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tc>
            </w:tr>
            <w:tr>
              <w:tc>
                <w:tcPr>
                  <w:tcW w:type="dxa" w:w="43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大枣</w:t>
                  </w:r>
                </w:p>
              </w:tc>
              <w:tc>
                <w:tcPr>
                  <w:tcW w:type="dxa" w:w="43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净制</w:t>
                  </w:r>
                </w:p>
              </w:tc>
              <w:tc>
                <w:tcPr>
                  <w:tcW w:type="dxa" w:w="359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呈椭圆形或球形，长2cm～3.5cm，直径1.5cm～2.5cm；2.表面暗红色，略带光泽，有不规则皱纹。基部凹陷，有短果梗。外果皮薄，中果皮棕黄色或淡褐色，肉质，柔软，富糖性而油润；3.果核纺锤形，两端锐尖，质坚硬。气微香，味甜。</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1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黄芩</w:t>
                  </w:r>
                </w:p>
              </w:tc>
              <w:tc>
                <w:tcPr>
                  <w:tcW w:type="dxa" w:w="43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1.为类圆形或不规则形薄片。外表皮黄棕色或棕褐色；2.直切面黄棕色或黄绿色，具放射状纹理，有的中心呈棕色或中空；3.味苦。</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tc>
            </w:tr>
            <w:tr>
              <w:tc>
                <w:tcPr>
                  <w:tcW w:type="dxa" w:w="43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柏子仁</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净制</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1.呈长卵形或长椭圆形，长3mm～7mm，直径1.5mm～3mm；2.表面黄白色或淡黄棕色，外包膜质内种皮，顶端略尖，有深褐色的小点，基部钝圆，种仁饱满；3.质软，富油性。气微香，味淡。</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tc>
            </w:tr>
            <w:tr>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浙贝母</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为类圆形的厚片或碎块，有的具心芽。外皮黄褐色或灰褐色，略皱缩；或淡黄白色，较光滑或被有白色粉末。切面微鼓起或平坦，灰白色或粉白色，略角质状或富粉性。多质坚硬，易折断</w:t>
                  </w:r>
                  <w:r>
                    <w:rPr>
                      <w:rFonts w:ascii="仿宋_GB2312" w:hAnsi="仿宋_GB2312" w:cs="仿宋_GB2312" w:eastAsia="仿宋_GB2312"/>
                      <w:sz w:val="21"/>
                      <w:color w:val="000000"/>
                    </w:rPr>
                    <w:t>;或质硬，断面灰白色或白色，有的浅黄棕色。气微，味苦。</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tc>
            </w:tr>
          </w:tbl>
          <w:p>
            <w:pPr>
              <w:pStyle w:val="null3"/>
              <w:jc w:val="left"/>
            </w:pPr>
            <w:r>
              <w:rPr>
                <w:rFonts w:ascii="仿宋_GB2312" w:hAnsi="仿宋_GB2312" w:cs="仿宋_GB2312" w:eastAsia="仿宋_GB2312"/>
                <w:sz w:val="21"/>
                <w:color w:val="000000"/>
              </w:rPr>
              <w:t>说明：本次投标需提供</w:t>
            </w:r>
            <w:r>
              <w:rPr>
                <w:rFonts w:ascii="仿宋_GB2312" w:hAnsi="仿宋_GB2312" w:cs="仿宋_GB2312" w:eastAsia="仿宋_GB2312"/>
                <w:sz w:val="21"/>
                <w:color w:val="000000"/>
              </w:rPr>
              <w:t>6种中药材样品，所有样品应符合样品要求并为投标对应报价正品现货。所有样品需包装规范，密封完好，无污染、无受潮，满足样品评审、留样封存需求。</w:t>
            </w:r>
          </w:p>
          <w:p>
            <w:pPr>
              <w:pStyle w:val="null3"/>
              <w:jc w:val="left"/>
            </w:pPr>
            <w:r>
              <w:rPr>
                <w:rFonts w:ascii="仿宋_GB2312" w:hAnsi="仿宋_GB2312" w:cs="仿宋_GB2312" w:eastAsia="仿宋_GB2312"/>
                <w:sz w:val="21"/>
                <w:color w:val="000000"/>
              </w:rPr>
              <w:t>（二）送样要求：</w:t>
            </w:r>
          </w:p>
          <w:p>
            <w:pPr>
              <w:pStyle w:val="null3"/>
              <w:ind w:firstLine="480"/>
              <w:jc w:val="both"/>
            </w:pPr>
            <w:r>
              <w:rPr>
                <w:rFonts w:ascii="仿宋_GB2312" w:hAnsi="仿宋_GB2312" w:cs="仿宋_GB2312" w:eastAsia="仿宋_GB2312"/>
                <w:sz w:val="24"/>
              </w:rPr>
              <w:t>1.基本要求：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1）投标人的样品制作、运输、包装等相关费用由投标人承担。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所有单品种样品独立密封包装，干燥、防潮、防碎、防污染，轻质易碎品种需加固包装，避免运输破损。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每袋样品外贴统一标签，标注：项目名称、样品序号、样品名称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所有样品统一汇总装箱，密封完好，在投标截止时间前现场递交，逾期、破损、泄漏、污染均视为样品提交不符合要求。</w:t>
            </w:r>
          </w:p>
          <w:p>
            <w:pPr>
              <w:pStyle w:val="null3"/>
              <w:ind w:firstLine="480"/>
              <w:jc w:val="both"/>
            </w:pPr>
            <w:r>
              <w:rPr>
                <w:rFonts w:ascii="仿宋_GB2312" w:hAnsi="仿宋_GB2312" w:cs="仿宋_GB2312" w:eastAsia="仿宋_GB2312"/>
                <w:sz w:val="24"/>
              </w:rPr>
              <w:t>2.特殊要求：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1）投标人提供的样品上应粘贴对应的样品名称标签（样式如下图格式，</w:t>
            </w:r>
            <w:r>
              <w:rPr>
                <w:rFonts w:ascii="仿宋_GB2312" w:hAnsi="仿宋_GB2312" w:cs="仿宋_GB2312" w:eastAsia="仿宋_GB2312"/>
                <w:sz w:val="24"/>
                <w:b/>
              </w:rPr>
              <w:t>编号不填</w:t>
            </w:r>
            <w:r>
              <w:rPr>
                <w:rFonts w:ascii="仿宋_GB2312" w:hAnsi="仿宋_GB2312" w:cs="仿宋_GB2312" w:eastAsia="仿宋_GB2312"/>
                <w:sz w:val="24"/>
              </w:rPr>
              <w:t>，代理机构现场接收样品后统一填写），但不能出现任何可识别投标人或生产厂家的文字、</w:t>
            </w:r>
            <w:r>
              <w:rPr>
                <w:rFonts w:ascii="仿宋_GB2312" w:hAnsi="仿宋_GB2312" w:cs="仿宋_GB2312" w:eastAsia="仿宋_GB2312"/>
                <w:sz w:val="24"/>
              </w:rPr>
              <w:t>logo、图文及其他各类标识等，否则样品不得分；数量（克数）不满足招标文件要求的、少送样品的和错送样品的不得分；样品由招标代理机构负责统一接收、保管、编号和退还。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样品退还：样品退还评审结束以后，由监督老师现场监督，对全部样品进行封样，样品退还时间在中标结果公告发布并公示期满无异议后(具体时间以采购代理机构电话通知时间为准)。未中标的样品投标人应在接到采购代理机构通知之日起5个工作日内自行取回样品。5个工作日后不取回样品，则视为自动放弃样品的所有权，采购代理机构有权自行处置相关样品。中标人的样品由采购</w:t>
            </w:r>
            <w:r>
              <w:rPr>
                <w:rFonts w:ascii="仿宋_GB2312" w:hAnsi="仿宋_GB2312" w:cs="仿宋_GB2312" w:eastAsia="仿宋_GB2312"/>
                <w:sz w:val="24"/>
              </w:rPr>
              <w:t>人保存至合同履行期满并用于履约验收的参考。中标供应商交付不低于样品质量相同的中药饮片，否则，采购人拒收或者退货</w:t>
            </w:r>
            <w:r>
              <w:rPr>
                <w:rFonts w:ascii="仿宋_GB2312" w:hAnsi="仿宋_GB2312" w:cs="仿宋_GB2312" w:eastAsia="仿宋_GB2312"/>
                <w:sz w:val="24"/>
              </w:rPr>
              <w:t>处理并终止合同采购人及采购代理机构对投标人所递交样品的包装、污损不负任何责任。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3）迟交的样品：采购人和采购代理机构将拒绝接收在投标截止时间之后递交的样品。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4）递交投标样品的同时需单独递交一份样品清单给代理机构并加盖投标人公章，样品清单需注明采购项目名称、采购项目编号、样品名称及数量、投标人名称，与样品摆放在一起。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5）是否随样品提交相关检测报告：否。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6）样品评审的标准和要求：按照“评标细则及标准”中样品评审规则执行。</w:t>
            </w:r>
          </w:p>
          <w:p>
            <w:pPr>
              <w:pStyle w:val="null3"/>
              <w:ind w:firstLine="480"/>
              <w:jc w:val="both"/>
            </w:pPr>
            <w:r>
              <w:rPr>
                <w:rFonts w:ascii="仿宋_GB2312" w:hAnsi="仿宋_GB2312" w:cs="仿宋_GB2312" w:eastAsia="仿宋_GB2312"/>
                <w:sz w:val="24"/>
              </w:rPr>
              <w:t>附：标签样式：</w:t>
            </w:r>
          </w:p>
          <w:tbl>
            <w:tblPr>
              <w:tblInd w:type="dxa" w:w="180"/>
              <w:tblBorders>
                <w:top w:val="none" w:color="000000" w:sz="4"/>
                <w:left w:val="none" w:color="000000" w:sz="4"/>
                <w:bottom w:val="none" w:color="000000" w:sz="4"/>
                <w:right w:val="none" w:color="000000" w:sz="4"/>
                <w:insideH w:val="none"/>
                <w:insideV w:val="none"/>
              </w:tblBorders>
            </w:tblPr>
            <w:tblGrid>
              <w:gridCol w:w="2288"/>
              <w:gridCol w:w="3310"/>
            </w:tblGrid>
            <w:tr>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编号</w:t>
                  </w:r>
                </w:p>
              </w:tc>
              <w:tc>
                <w:tcPr>
                  <w:tcW w:type="dxa" w:w="33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甘草</w:t>
                  </w: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310"/>
                  <w:vMerge/>
                  <w:tcBorders>
                    <w:top w:val="singl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1"/>
                <w:b/>
              </w:rPr>
              <w:t>注：供应商若未按送样要求送样，给本次采购造成影响的由其自身承担。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考核服务要求</w:t>
            </w:r>
          </w:p>
        </w:tc>
        <w:tc>
          <w:tcPr>
            <w:tcW w:type="dxa" w:w="5814"/>
          </w:tcPr>
          <w:p>
            <w:pPr>
              <w:pStyle w:val="null3"/>
              <w:ind w:firstLine="420"/>
              <w:jc w:val="left"/>
            </w:pPr>
            <w:r>
              <w:rPr>
                <w:rFonts w:ascii="仿宋_GB2312" w:hAnsi="仿宋_GB2312" w:cs="仿宋_GB2312" w:eastAsia="仿宋_GB2312"/>
                <w:sz w:val="21"/>
                <w:color w:val="000000"/>
              </w:rPr>
              <w:t>合同履行期限内每半年度将参照配送企业年度考核表对供应商进行一次考核，考核不合格则立即停止履约，相关违约责任由供应商自行承担。</w:t>
            </w:r>
          </w:p>
          <w:p>
            <w:pPr>
              <w:pStyle w:val="null3"/>
              <w:jc w:val="left"/>
            </w:pPr>
            <w:r>
              <w:rPr>
                <w:rFonts w:ascii="仿宋_GB2312" w:hAnsi="仿宋_GB2312" w:cs="仿宋_GB2312" w:eastAsia="仿宋_GB2312"/>
                <w:sz w:val="32"/>
              </w:rPr>
              <w:t>附件：</w:t>
            </w:r>
          </w:p>
          <w:p>
            <w:pPr>
              <w:pStyle w:val="null3"/>
              <w:jc w:val="center"/>
            </w:pPr>
            <w:r>
              <w:rPr>
                <w:rFonts w:ascii="仿宋_GB2312" w:hAnsi="仿宋_GB2312" w:cs="仿宋_GB2312" w:eastAsia="仿宋_GB2312"/>
                <w:sz w:val="32"/>
                <w:color w:val="000000"/>
              </w:rPr>
              <w:t>配送企业</w:t>
            </w:r>
            <w:r>
              <w:rPr>
                <w:rFonts w:ascii="仿宋_GB2312" w:hAnsi="仿宋_GB2312" w:cs="仿宋_GB2312" w:eastAsia="仿宋_GB2312"/>
                <w:sz w:val="32"/>
                <w:color w:val="000000"/>
              </w:rPr>
              <w:t>年</w:t>
            </w:r>
            <w:r>
              <w:rPr>
                <w:rFonts w:ascii="仿宋_GB2312" w:hAnsi="仿宋_GB2312" w:cs="仿宋_GB2312" w:eastAsia="仿宋_GB2312"/>
                <w:sz w:val="32"/>
                <w:color w:val="000000"/>
              </w:rPr>
              <w:t>度考核表</w:t>
            </w:r>
          </w:p>
          <w:tbl>
            <w:tblPr>
              <w:tblBorders>
                <w:top w:val="none" w:color="000000" w:sz="4"/>
                <w:left w:val="none" w:color="000000" w:sz="4"/>
                <w:bottom w:val="none" w:color="000000" w:sz="4"/>
                <w:right w:val="none" w:color="000000" w:sz="4"/>
                <w:insideH w:val="none"/>
                <w:insideV w:val="none"/>
              </w:tblBorders>
            </w:tblPr>
            <w:tblGrid>
              <w:gridCol w:w="1981"/>
              <w:gridCol w:w="2545"/>
              <w:gridCol w:w="1041"/>
            </w:tblGrid>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bottom"/>
                </w:tcPr>
                <w:p>
                  <w:pPr>
                    <w:pStyle w:val="null3"/>
                    <w:jc w:val="left"/>
                  </w:pPr>
                  <w:r>
                    <w:rPr>
                      <w:rFonts w:ascii="仿宋_GB2312" w:hAnsi="仿宋_GB2312" w:cs="仿宋_GB2312" w:eastAsia="仿宋_GB2312"/>
                      <w:sz w:val="24"/>
                    </w:rPr>
                    <w:t>考核时间</w:t>
                  </w:r>
                </w:p>
              </w:tc>
              <w:tc>
                <w:tcPr>
                  <w:tcW w:type="dxa" w:w="3586"/>
                  <w:gridSpan w:val="2"/>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bottom"/>
                </w:tcPr>
                <w:p>
                  <w:pPr>
                    <w:pStyle w:val="null3"/>
                    <w:jc w:val="left"/>
                  </w:pPr>
                  <w:r>
                    <w:rPr>
                      <w:rFonts w:ascii="仿宋_GB2312" w:hAnsi="仿宋_GB2312" w:cs="仿宋_GB2312" w:eastAsia="仿宋_GB2312"/>
                      <w:sz w:val="24"/>
                    </w:rPr>
                    <w:t>年</w:t>
                  </w:r>
                  <w:r>
                    <w:rPr>
                      <w:rFonts w:ascii="仿宋_GB2312" w:hAnsi="仿宋_GB2312" w:cs="仿宋_GB2312" w:eastAsia="仿宋_GB2312"/>
                      <w:sz w:val="24"/>
                    </w:rPr>
                    <w:t>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填表时间</w:t>
                  </w:r>
                  <w:r>
                    <w:rPr>
                      <w:rFonts w:ascii="仿宋_GB2312" w:hAnsi="仿宋_GB2312" w:cs="仿宋_GB2312" w:eastAsia="仿宋_GB2312"/>
                      <w:sz w:val="24"/>
                    </w:rPr>
                    <w:t>：</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考核企业</w:t>
                  </w:r>
                </w:p>
              </w:tc>
              <w:tc>
                <w:tcPr>
                  <w:tcW w:type="dxa" w:w="3586"/>
                  <w:gridSpan w:val="2"/>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left"/>
                  </w:pPr>
                </w:p>
              </w:tc>
            </w:tr>
            <w:tr>
              <w:tc>
                <w:tcPr>
                  <w:tcW w:type="dxa" w:w="4526"/>
                  <w:gridSpan w:val="2"/>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考核项目</w:t>
                  </w:r>
                </w:p>
              </w:tc>
              <w:tc>
                <w:tcPr>
                  <w:tcW w:type="dxa" w:w="1041"/>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评分标准</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spacing w:after="60"/>
                    <w:jc w:val="left"/>
                  </w:pPr>
                  <w:r>
                    <w:rPr>
                      <w:rFonts w:ascii="仿宋_GB2312" w:hAnsi="仿宋_GB2312" w:cs="仿宋_GB2312" w:eastAsia="仿宋_GB2312"/>
                      <w:sz w:val="24"/>
                    </w:rPr>
                    <w:t>计划执行情况</w:t>
                  </w:r>
                </w:p>
                <w:p>
                  <w:pPr>
                    <w:pStyle w:val="null3"/>
                    <w:spacing w:after="6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254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spacing w:after="6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配送药品规格</w:t>
                  </w:r>
                  <w:r>
                    <w:rPr>
                      <w:rFonts w:ascii="仿宋_GB2312" w:hAnsi="仿宋_GB2312" w:cs="仿宋_GB2312" w:eastAsia="仿宋_GB2312"/>
                      <w:sz w:val="24"/>
                    </w:rPr>
                    <w:t>,按</w:t>
                  </w:r>
                  <w:r>
                    <w:rPr>
                      <w:rFonts w:ascii="仿宋_GB2312" w:hAnsi="仿宋_GB2312" w:cs="仿宋_GB2312" w:eastAsia="仿宋_GB2312"/>
                      <w:sz w:val="24"/>
                    </w:rPr>
                    <w:t>医院</w:t>
                  </w:r>
                  <w:r>
                    <w:rPr>
                      <w:rFonts w:ascii="仿宋_GB2312" w:hAnsi="仿宋_GB2312" w:cs="仿宋_GB2312" w:eastAsia="仿宋_GB2312"/>
                      <w:sz w:val="24"/>
                    </w:rPr>
                    <w:t>计划执行</w:t>
                  </w:r>
                </w:p>
                <w:p>
                  <w:pPr>
                    <w:pStyle w:val="null3"/>
                    <w:spacing w:after="60"/>
                    <w:jc w:val="left"/>
                  </w:pPr>
                  <w:r>
                    <w:rPr>
                      <w:rFonts w:ascii="仿宋_GB2312" w:hAnsi="仿宋_GB2312" w:cs="仿宋_GB2312" w:eastAsia="仿宋_GB2312"/>
                      <w:sz w:val="24"/>
                    </w:rPr>
                    <w:t>2.</w:t>
                  </w:r>
                  <w:r>
                    <w:rPr>
                      <w:rFonts w:ascii="仿宋_GB2312" w:hAnsi="仿宋_GB2312" w:cs="仿宋_GB2312" w:eastAsia="仿宋_GB2312"/>
                      <w:sz w:val="24"/>
                    </w:rPr>
                    <w:t>配送按规定时间执行</w:t>
                  </w:r>
                </w:p>
                <w:p>
                  <w:pPr>
                    <w:pStyle w:val="null3"/>
                    <w:spacing w:after="60"/>
                    <w:jc w:val="left"/>
                  </w:pPr>
                  <w:r>
                    <w:rPr>
                      <w:rFonts w:ascii="仿宋_GB2312" w:hAnsi="仿宋_GB2312" w:cs="仿宋_GB2312" w:eastAsia="仿宋_GB2312"/>
                      <w:sz w:val="24"/>
                    </w:rPr>
                    <w:t>3.</w:t>
                  </w:r>
                  <w:r>
                    <w:rPr>
                      <w:rFonts w:ascii="仿宋_GB2312" w:hAnsi="仿宋_GB2312" w:cs="仿宋_GB2312" w:eastAsia="仿宋_GB2312"/>
                      <w:sz w:val="24"/>
                    </w:rPr>
                    <w:t>配送数量按计划执行</w:t>
                  </w:r>
                </w:p>
                <w:p>
                  <w:pPr>
                    <w:pStyle w:val="null3"/>
                    <w:spacing w:after="60"/>
                    <w:jc w:val="left"/>
                  </w:pPr>
                  <w:r>
                    <w:rPr>
                      <w:rFonts w:ascii="仿宋_GB2312" w:hAnsi="仿宋_GB2312" w:cs="仿宋_GB2312" w:eastAsia="仿宋_GB2312"/>
                      <w:sz w:val="24"/>
                    </w:rPr>
                    <w:t>4.</w:t>
                  </w:r>
                  <w:r>
                    <w:rPr>
                      <w:rFonts w:ascii="仿宋_GB2312" w:hAnsi="仿宋_GB2312" w:cs="仿宋_GB2312" w:eastAsia="仿宋_GB2312"/>
                      <w:sz w:val="24"/>
                    </w:rPr>
                    <w:t>配送时间和数量执行情况影响临床供应</w:t>
                  </w:r>
                </w:p>
                <w:p>
                  <w:pPr>
                    <w:pStyle w:val="null3"/>
                    <w:spacing w:after="60"/>
                    <w:jc w:val="left"/>
                  </w:pPr>
                  <w:r>
                    <w:rPr>
                      <w:rFonts w:ascii="仿宋_GB2312" w:hAnsi="仿宋_GB2312" w:cs="仿宋_GB2312" w:eastAsia="仿宋_GB2312"/>
                      <w:sz w:val="24"/>
                    </w:rPr>
                    <w:t>5.伴随服务履约情况</w:t>
                  </w:r>
                </w:p>
                <w:p>
                  <w:pPr>
                    <w:pStyle w:val="null3"/>
                    <w:spacing w:after="60"/>
                    <w:jc w:val="left"/>
                  </w:pPr>
                </w:p>
              </w:tc>
              <w:tc>
                <w:tcPr>
                  <w:tcW w:type="dxa" w:w="1041"/>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每项</w:t>
                  </w:r>
                  <w:r>
                    <w:rPr>
                      <w:rFonts w:ascii="仿宋_GB2312" w:hAnsi="仿宋_GB2312" w:cs="仿宋_GB2312" w:eastAsia="仿宋_GB2312"/>
                      <w:sz w:val="24"/>
                    </w:rPr>
                    <w:t>5分</w:t>
                  </w:r>
                </w:p>
                <w:p>
                  <w:pPr>
                    <w:pStyle w:val="null3"/>
                    <w:jc w:val="left"/>
                  </w:pPr>
                  <w:r>
                    <w:rPr>
                      <w:rFonts w:ascii="仿宋_GB2312" w:hAnsi="仿宋_GB2312" w:cs="仿宋_GB2312" w:eastAsia="仿宋_GB2312"/>
                      <w:sz w:val="24"/>
                    </w:rPr>
                    <w:t>得分：</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短缺药品配送及时情况（</w:t>
                  </w:r>
                  <w:r>
                    <w:rPr>
                      <w:rFonts w:ascii="仿宋_GB2312" w:hAnsi="仿宋_GB2312" w:cs="仿宋_GB2312" w:eastAsia="仿宋_GB2312"/>
                      <w:sz w:val="24"/>
                    </w:rPr>
                    <w:t>10</w:t>
                  </w:r>
                  <w:r>
                    <w:rPr>
                      <w:rFonts w:ascii="仿宋_GB2312" w:hAnsi="仿宋_GB2312" w:cs="仿宋_GB2312" w:eastAsia="仿宋_GB2312"/>
                      <w:sz w:val="24"/>
                    </w:rPr>
                    <w:t>分</w:t>
                  </w:r>
                  <w:r>
                    <w:rPr>
                      <w:rFonts w:ascii="仿宋_GB2312" w:hAnsi="仿宋_GB2312" w:cs="仿宋_GB2312" w:eastAsia="仿宋_GB2312"/>
                      <w:sz w:val="24"/>
                    </w:rPr>
                    <w:t>）</w:t>
                  </w:r>
                </w:p>
              </w:tc>
              <w:tc>
                <w:tcPr>
                  <w:tcW w:type="dxa" w:w="254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spacing w:after="45"/>
                    <w:jc w:val="left"/>
                  </w:pPr>
                  <w:r>
                    <w:rPr>
                      <w:rFonts w:ascii="仿宋_GB2312" w:hAnsi="仿宋_GB2312" w:cs="仿宋_GB2312" w:eastAsia="仿宋_GB2312"/>
                      <w:sz w:val="24"/>
                    </w:rPr>
                    <w:t>1.</w:t>
                  </w:r>
                  <w:r>
                    <w:rPr>
                      <w:rFonts w:ascii="仿宋_GB2312" w:hAnsi="仿宋_GB2312" w:cs="仿宋_GB2312" w:eastAsia="仿宋_GB2312"/>
                      <w:sz w:val="24"/>
                    </w:rPr>
                    <w:t>按规定时间及时送达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按规定数量配送</w:t>
                  </w:r>
                </w:p>
              </w:tc>
              <w:tc>
                <w:tcPr>
                  <w:tcW w:type="dxa" w:w="1041"/>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bottom"/>
                </w:tcPr>
                <w:p>
                  <w:pPr>
                    <w:pStyle w:val="null3"/>
                    <w:jc w:val="left"/>
                  </w:pPr>
                  <w:r>
                    <w:rPr>
                      <w:rFonts w:ascii="仿宋_GB2312" w:hAnsi="仿宋_GB2312" w:cs="仿宋_GB2312" w:eastAsia="仿宋_GB2312"/>
                      <w:sz w:val="24"/>
                    </w:rPr>
                    <w:t>每项</w:t>
                  </w:r>
                  <w:r>
                    <w:rPr>
                      <w:rFonts w:ascii="仿宋_GB2312" w:hAnsi="仿宋_GB2312" w:cs="仿宋_GB2312" w:eastAsia="仿宋_GB2312"/>
                      <w:sz w:val="24"/>
                    </w:rPr>
                    <w:t>5分</w:t>
                  </w:r>
                </w:p>
                <w:p>
                  <w:pPr>
                    <w:pStyle w:val="null3"/>
                    <w:jc w:val="left"/>
                  </w:pPr>
                  <w:r>
                    <w:rPr>
                      <w:rFonts w:ascii="仿宋_GB2312" w:hAnsi="仿宋_GB2312" w:cs="仿宋_GB2312" w:eastAsia="仿宋_GB2312"/>
                      <w:sz w:val="24"/>
                    </w:rPr>
                    <w:t>得分：</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药品储存、包装、运输情况（</w:t>
                  </w:r>
                  <w:r>
                    <w:rPr>
                      <w:rFonts w:ascii="仿宋_GB2312" w:hAnsi="仿宋_GB2312" w:cs="仿宋_GB2312" w:eastAsia="仿宋_GB2312"/>
                      <w:sz w:val="24"/>
                    </w:rPr>
                    <w:t>20分）</w:t>
                  </w:r>
                </w:p>
              </w:tc>
              <w:tc>
                <w:tcPr>
                  <w:tcW w:type="dxa" w:w="254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spacing w:after="60"/>
                    <w:jc w:val="left"/>
                  </w:pPr>
                  <w:r>
                    <w:rPr>
                      <w:rFonts w:ascii="仿宋_GB2312" w:hAnsi="仿宋_GB2312" w:cs="仿宋_GB2312" w:eastAsia="仿宋_GB2312"/>
                      <w:sz w:val="24"/>
                    </w:rPr>
                    <w:t>1.</w:t>
                  </w:r>
                  <w:r>
                    <w:rPr>
                      <w:rFonts w:ascii="仿宋_GB2312" w:hAnsi="仿宋_GB2312" w:cs="仿宋_GB2312" w:eastAsia="仿宋_GB2312"/>
                      <w:sz w:val="24"/>
                    </w:rPr>
                    <w:t>药品储存适宜</w:t>
                  </w:r>
                </w:p>
                <w:p>
                  <w:pPr>
                    <w:pStyle w:val="null3"/>
                    <w:spacing w:after="60"/>
                    <w:jc w:val="left"/>
                  </w:pPr>
                  <w:r>
                    <w:rPr>
                      <w:rFonts w:ascii="仿宋_GB2312" w:hAnsi="仿宋_GB2312" w:cs="仿宋_GB2312" w:eastAsia="仿宋_GB2312"/>
                      <w:sz w:val="24"/>
                    </w:rPr>
                    <w:t>2.</w:t>
                  </w:r>
                  <w:r>
                    <w:rPr>
                      <w:rFonts w:ascii="仿宋_GB2312" w:hAnsi="仿宋_GB2312" w:cs="仿宋_GB2312" w:eastAsia="仿宋_GB2312"/>
                      <w:sz w:val="24"/>
                    </w:rPr>
                    <w:t>药品包装完好</w:t>
                  </w:r>
                </w:p>
                <w:p>
                  <w:pPr>
                    <w:pStyle w:val="null3"/>
                    <w:spacing w:after="60"/>
                    <w:jc w:val="left"/>
                  </w:pPr>
                  <w:r>
                    <w:rPr>
                      <w:rFonts w:ascii="仿宋_GB2312" w:hAnsi="仿宋_GB2312" w:cs="仿宋_GB2312" w:eastAsia="仿宋_GB2312"/>
                      <w:sz w:val="24"/>
                    </w:rPr>
                    <w:t>3.</w:t>
                  </w:r>
                  <w:r>
                    <w:rPr>
                      <w:rFonts w:ascii="仿宋_GB2312" w:hAnsi="仿宋_GB2312" w:cs="仿宋_GB2312" w:eastAsia="仿宋_GB2312"/>
                      <w:sz w:val="24"/>
                    </w:rPr>
                    <w:t>药品运输合理</w:t>
                  </w:r>
                </w:p>
                <w:p>
                  <w:pPr>
                    <w:pStyle w:val="null3"/>
                    <w:spacing w:after="60"/>
                    <w:jc w:val="left"/>
                  </w:pPr>
                  <w:r>
                    <w:rPr>
                      <w:rFonts w:ascii="仿宋_GB2312" w:hAnsi="仿宋_GB2312" w:cs="仿宋_GB2312" w:eastAsia="仿宋_GB2312"/>
                      <w:sz w:val="24"/>
                    </w:rPr>
                    <w:t>4.</w:t>
                  </w:r>
                  <w:r>
                    <w:rPr>
                      <w:rFonts w:ascii="仿宋_GB2312" w:hAnsi="仿宋_GB2312" w:cs="仿宋_GB2312" w:eastAsia="仿宋_GB2312"/>
                      <w:sz w:val="24"/>
                    </w:rPr>
                    <w:t>药品搬运按规定轻拿轻放，禁止</w:t>
                  </w:r>
                  <w:r>
                    <w:rPr>
                      <w:rFonts w:ascii="仿宋_GB2312" w:hAnsi="仿宋_GB2312" w:cs="仿宋_GB2312" w:eastAsia="仿宋_GB2312"/>
                      <w:sz w:val="24"/>
                    </w:rPr>
                    <w:t>抛甩</w:t>
                  </w:r>
                </w:p>
              </w:tc>
              <w:tc>
                <w:tcPr>
                  <w:tcW w:type="dxa" w:w="1041"/>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spacing w:after="435"/>
                    <w:jc w:val="left"/>
                  </w:pPr>
                  <w:r>
                    <w:rPr>
                      <w:rFonts w:ascii="仿宋_GB2312" w:hAnsi="仿宋_GB2312" w:cs="仿宋_GB2312" w:eastAsia="仿宋_GB2312"/>
                      <w:sz w:val="24"/>
                    </w:rPr>
                    <w:t>每项</w:t>
                  </w:r>
                  <w:r>
                    <w:rPr>
                      <w:rFonts w:ascii="仿宋_GB2312" w:hAnsi="仿宋_GB2312" w:cs="仿宋_GB2312" w:eastAsia="仿宋_GB2312"/>
                      <w:sz w:val="24"/>
                    </w:rPr>
                    <w:t>5分</w:t>
                  </w:r>
                </w:p>
                <w:p>
                  <w:pPr>
                    <w:pStyle w:val="null3"/>
                    <w:jc w:val="left"/>
                  </w:pPr>
                  <w:r>
                    <w:rPr>
                      <w:rFonts w:ascii="仿宋_GB2312" w:hAnsi="仿宋_GB2312" w:cs="仿宋_GB2312" w:eastAsia="仿宋_GB2312"/>
                      <w:sz w:val="24"/>
                    </w:rPr>
                    <w:t>得分：</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药品质量及合格证明、药品信息资料及时提供（</w:t>
                  </w:r>
                  <w:r>
                    <w:rPr>
                      <w:rFonts w:ascii="仿宋_GB2312" w:hAnsi="仿宋_GB2312" w:cs="仿宋_GB2312" w:eastAsia="仿宋_GB2312"/>
                      <w:sz w:val="24"/>
                    </w:rPr>
                    <w:t>15分）</w:t>
                  </w:r>
                </w:p>
              </w:tc>
              <w:tc>
                <w:tcPr>
                  <w:tcW w:type="dxa" w:w="254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spacing w:after="60"/>
                    <w:jc w:val="left"/>
                  </w:pPr>
                  <w:r>
                    <w:rPr>
                      <w:rFonts w:ascii="仿宋_GB2312" w:hAnsi="仿宋_GB2312" w:cs="仿宋_GB2312" w:eastAsia="仿宋_GB2312"/>
                      <w:sz w:val="24"/>
                    </w:rPr>
                    <w:t>1</w:t>
                  </w:r>
                  <w:r>
                    <w:rPr>
                      <w:rFonts w:ascii="仿宋_GB2312" w:hAnsi="仿宋_GB2312" w:cs="仿宋_GB2312" w:eastAsia="仿宋_GB2312"/>
                      <w:sz w:val="24"/>
                    </w:rPr>
                    <w:t>.药品质量符合标准并提供检验报告或合格证</w:t>
                  </w:r>
                </w:p>
                <w:p>
                  <w:pPr>
                    <w:pStyle w:val="null3"/>
                    <w:spacing w:after="60"/>
                    <w:jc w:val="left"/>
                  </w:pPr>
                  <w:r>
                    <w:rPr>
                      <w:rFonts w:ascii="仿宋_GB2312" w:hAnsi="仿宋_GB2312" w:cs="仿宋_GB2312" w:eastAsia="仿宋_GB2312"/>
                      <w:sz w:val="24"/>
                    </w:rPr>
                    <w:t>2.</w:t>
                  </w:r>
                  <w:r>
                    <w:rPr>
                      <w:rFonts w:ascii="仿宋_GB2312" w:hAnsi="仿宋_GB2312" w:cs="仿宋_GB2312" w:eastAsia="仿宋_GB2312"/>
                      <w:sz w:val="24"/>
                    </w:rPr>
                    <w:t>药品信息和情况说明准确及时出具</w:t>
                  </w:r>
                </w:p>
                <w:p>
                  <w:pPr>
                    <w:pStyle w:val="null3"/>
                    <w:spacing w:after="60"/>
                    <w:jc w:val="left"/>
                  </w:pPr>
                  <w:r>
                    <w:rPr>
                      <w:rFonts w:ascii="仿宋_GB2312" w:hAnsi="仿宋_GB2312" w:cs="仿宋_GB2312" w:eastAsia="仿宋_GB2312"/>
                      <w:sz w:val="24"/>
                    </w:rPr>
                    <w:t>3.</w:t>
                  </w:r>
                  <w:r>
                    <w:rPr>
                      <w:rFonts w:ascii="仿宋_GB2312" w:hAnsi="仿宋_GB2312" w:cs="仿宋_GB2312" w:eastAsia="仿宋_GB2312"/>
                      <w:sz w:val="24"/>
                    </w:rPr>
                    <w:t>企业定期巡査，不合格药品及时召回</w:t>
                  </w:r>
                </w:p>
              </w:tc>
              <w:tc>
                <w:tcPr>
                  <w:tcW w:type="dxa" w:w="1041"/>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spacing w:after="435"/>
                    <w:jc w:val="left"/>
                  </w:pPr>
                  <w:r>
                    <w:rPr>
                      <w:rFonts w:ascii="仿宋_GB2312" w:hAnsi="仿宋_GB2312" w:cs="仿宋_GB2312" w:eastAsia="仿宋_GB2312"/>
                      <w:sz w:val="24"/>
                    </w:rPr>
                    <w:t>每项</w:t>
                  </w:r>
                  <w:r>
                    <w:rPr>
                      <w:rFonts w:ascii="仿宋_GB2312" w:hAnsi="仿宋_GB2312" w:cs="仿宋_GB2312" w:eastAsia="仿宋_GB2312"/>
                      <w:sz w:val="24"/>
                    </w:rPr>
                    <w:t>5分</w:t>
                  </w:r>
                </w:p>
                <w:p>
                  <w:pPr>
                    <w:pStyle w:val="null3"/>
                    <w:spacing w:after="855"/>
                    <w:jc w:val="left"/>
                  </w:pPr>
                  <w:r>
                    <w:rPr>
                      <w:rFonts w:ascii="仿宋_GB2312" w:hAnsi="仿宋_GB2312" w:cs="仿宋_GB2312" w:eastAsia="仿宋_GB2312"/>
                      <w:sz w:val="24"/>
                    </w:rPr>
                    <w:t>得分：</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药品调价及药品退换（</w:t>
                  </w:r>
                  <w:r>
                    <w:rPr>
                      <w:rFonts w:ascii="仿宋_GB2312" w:hAnsi="仿宋_GB2312" w:cs="仿宋_GB2312" w:eastAsia="仿宋_GB2312"/>
                      <w:sz w:val="24"/>
                    </w:rPr>
                    <w:t>15分）</w:t>
                  </w:r>
                </w:p>
              </w:tc>
              <w:tc>
                <w:tcPr>
                  <w:tcW w:type="dxa" w:w="254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spacing w:after="60"/>
                    <w:jc w:val="left"/>
                  </w:pPr>
                  <w:r>
                    <w:rPr>
                      <w:rFonts w:ascii="仿宋_GB2312" w:hAnsi="仿宋_GB2312" w:cs="仿宋_GB2312" w:eastAsia="仿宋_GB2312"/>
                      <w:sz w:val="24"/>
                    </w:rPr>
                    <w:t>1.</w:t>
                  </w:r>
                  <w:r>
                    <w:rPr>
                      <w:rFonts w:ascii="仿宋_GB2312" w:hAnsi="仿宋_GB2312" w:cs="仿宋_GB2312" w:eastAsia="仿宋_GB2312"/>
                      <w:sz w:val="24"/>
                    </w:rPr>
                    <w:t>药品调价按合同执行</w:t>
                  </w:r>
                </w:p>
                <w:p>
                  <w:pPr>
                    <w:pStyle w:val="null3"/>
                    <w:spacing w:after="60"/>
                    <w:jc w:val="left"/>
                  </w:pPr>
                  <w:r>
                    <w:rPr>
                      <w:rFonts w:ascii="仿宋_GB2312" w:hAnsi="仿宋_GB2312" w:cs="仿宋_GB2312" w:eastAsia="仿宋_GB2312"/>
                      <w:sz w:val="24"/>
                    </w:rPr>
                    <w:t>2.</w:t>
                  </w:r>
                  <w:r>
                    <w:rPr>
                      <w:rFonts w:ascii="仿宋_GB2312" w:hAnsi="仿宋_GB2312" w:cs="仿宋_GB2312" w:eastAsia="仿宋_GB2312"/>
                      <w:sz w:val="24"/>
                    </w:rPr>
                    <w:t>变质药品及时退换</w:t>
                  </w:r>
                </w:p>
                <w:p>
                  <w:pPr>
                    <w:pStyle w:val="null3"/>
                    <w:spacing w:after="60"/>
                    <w:jc w:val="left"/>
                  </w:pPr>
                  <w:r>
                    <w:rPr>
                      <w:rFonts w:ascii="仿宋_GB2312" w:hAnsi="仿宋_GB2312" w:cs="仿宋_GB2312" w:eastAsia="仿宋_GB2312"/>
                      <w:sz w:val="24"/>
                    </w:rPr>
                    <w:t>3.</w:t>
                  </w:r>
                  <w:r>
                    <w:rPr>
                      <w:rFonts w:ascii="仿宋_GB2312" w:hAnsi="仿宋_GB2312" w:cs="仿宋_GB2312" w:eastAsia="仿宋_GB2312"/>
                      <w:sz w:val="24"/>
                    </w:rPr>
                    <w:t>退货票据及时开具</w:t>
                  </w:r>
                </w:p>
              </w:tc>
              <w:tc>
                <w:tcPr>
                  <w:tcW w:type="dxa" w:w="1041"/>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spacing w:after="465"/>
                    <w:jc w:val="left"/>
                  </w:pPr>
                  <w:r>
                    <w:rPr>
                      <w:rFonts w:ascii="仿宋_GB2312" w:hAnsi="仿宋_GB2312" w:cs="仿宋_GB2312" w:eastAsia="仿宋_GB2312"/>
                      <w:sz w:val="24"/>
                    </w:rPr>
                    <w:t>每项</w:t>
                  </w:r>
                  <w:r>
                    <w:rPr>
                      <w:rFonts w:ascii="仿宋_GB2312" w:hAnsi="仿宋_GB2312" w:cs="仿宋_GB2312" w:eastAsia="仿宋_GB2312"/>
                      <w:sz w:val="24"/>
                    </w:rPr>
                    <w:t>5分</w:t>
                  </w:r>
                </w:p>
                <w:p>
                  <w:pPr>
                    <w:pStyle w:val="null3"/>
                    <w:jc w:val="left"/>
                  </w:pPr>
                  <w:r>
                    <w:rPr>
                      <w:rFonts w:ascii="仿宋_GB2312" w:hAnsi="仿宋_GB2312" w:cs="仿宋_GB2312" w:eastAsia="仿宋_GB2312"/>
                      <w:sz w:val="24"/>
                    </w:rPr>
                    <w:t>得分：</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发票、送货单（</w:t>
                  </w:r>
                  <w:r>
                    <w:rPr>
                      <w:rFonts w:ascii="仿宋_GB2312" w:hAnsi="仿宋_GB2312" w:cs="仿宋_GB2312" w:eastAsia="仿宋_GB2312"/>
                      <w:sz w:val="24"/>
                    </w:rPr>
                    <w:t>10分）</w:t>
                  </w:r>
                </w:p>
              </w:tc>
              <w:tc>
                <w:tcPr>
                  <w:tcW w:type="dxa" w:w="254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spacing w:after="60"/>
                    <w:jc w:val="left"/>
                  </w:pPr>
                  <w:r>
                    <w:rPr>
                      <w:rFonts w:ascii="仿宋_GB2312" w:hAnsi="仿宋_GB2312" w:cs="仿宋_GB2312" w:eastAsia="仿宋_GB2312"/>
                      <w:sz w:val="24"/>
                    </w:rPr>
                    <w:t>1.</w:t>
                  </w:r>
                  <w:r>
                    <w:rPr>
                      <w:rFonts w:ascii="仿宋_GB2312" w:hAnsi="仿宋_GB2312" w:cs="仿宋_GB2312" w:eastAsia="仿宋_GB2312"/>
                      <w:sz w:val="24"/>
                    </w:rPr>
                    <w:t>送货单项目完整、价格准确、票货相符</w:t>
                  </w:r>
                </w:p>
                <w:p>
                  <w:pPr>
                    <w:pStyle w:val="null3"/>
                    <w:spacing w:after="60"/>
                    <w:jc w:val="left"/>
                  </w:pPr>
                  <w:r>
                    <w:rPr>
                      <w:rFonts w:ascii="仿宋_GB2312" w:hAnsi="仿宋_GB2312" w:cs="仿宋_GB2312" w:eastAsia="仿宋_GB2312"/>
                      <w:sz w:val="24"/>
                    </w:rPr>
                    <w:t>2.</w:t>
                  </w:r>
                  <w:r>
                    <w:rPr>
                      <w:rFonts w:ascii="仿宋_GB2312" w:hAnsi="仿宋_GB2312" w:cs="仿宋_GB2312" w:eastAsia="仿宋_GB2312"/>
                      <w:sz w:val="24"/>
                    </w:rPr>
                    <w:t>发票真实、金额准确，送达及时</w:t>
                  </w:r>
                </w:p>
                <w:p>
                  <w:pPr>
                    <w:pStyle w:val="null3"/>
                    <w:spacing w:after="60"/>
                    <w:jc w:val="left"/>
                  </w:pPr>
                  <w:r>
                    <w:rPr>
                      <w:rFonts w:ascii="仿宋_GB2312" w:hAnsi="仿宋_GB2312" w:cs="仿宋_GB2312" w:eastAsia="仿宋_GB2312"/>
                      <w:sz w:val="24"/>
                    </w:rPr>
                    <w:t>3.</w:t>
                  </w:r>
                  <w:r>
                    <w:rPr>
                      <w:rFonts w:ascii="仿宋_GB2312" w:hAnsi="仿宋_GB2312" w:cs="仿宋_GB2312" w:eastAsia="仿宋_GB2312"/>
                      <w:sz w:val="24"/>
                    </w:rPr>
                    <w:t>药品价格准确</w:t>
                  </w:r>
                </w:p>
                <w:p>
                  <w:pPr>
                    <w:pStyle w:val="null3"/>
                    <w:spacing w:after="60"/>
                    <w:jc w:val="left"/>
                  </w:pPr>
                  <w:r>
                    <w:rPr>
                      <w:rFonts w:ascii="仿宋_GB2312" w:hAnsi="仿宋_GB2312" w:cs="仿宋_GB2312" w:eastAsia="仿宋_GB2312"/>
                      <w:sz w:val="24"/>
                    </w:rPr>
                    <w:t>4.</w:t>
                  </w:r>
                  <w:r>
                    <w:rPr>
                      <w:rFonts w:ascii="仿宋_GB2312" w:hAnsi="仿宋_GB2312" w:cs="仿宋_GB2312" w:eastAsia="仿宋_GB2312"/>
                      <w:sz w:val="24"/>
                    </w:rPr>
                    <w:t>所有票据复印件清晰、完整</w:t>
                  </w:r>
                </w:p>
              </w:tc>
              <w:tc>
                <w:tcPr>
                  <w:tcW w:type="dxa" w:w="1041"/>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spacing w:after="600"/>
                    <w:jc w:val="left"/>
                  </w:pPr>
                  <w:r>
                    <w:rPr>
                      <w:rFonts w:ascii="仿宋_GB2312" w:hAnsi="仿宋_GB2312" w:cs="仿宋_GB2312" w:eastAsia="仿宋_GB2312"/>
                      <w:sz w:val="24"/>
                    </w:rPr>
                    <w:t>每项</w:t>
                  </w:r>
                  <w:r>
                    <w:rPr>
                      <w:rFonts w:ascii="仿宋_GB2312" w:hAnsi="仿宋_GB2312" w:cs="仿宋_GB2312" w:eastAsia="仿宋_GB2312"/>
                      <w:sz w:val="24"/>
                    </w:rPr>
                    <w:t>2.5</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得分：</w:t>
                  </w:r>
                </w:p>
              </w:tc>
            </w:tr>
            <w:tr>
              <w:tc>
                <w:tcPr>
                  <w:tcW w:type="dxa" w:w="198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服务态度（</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2545"/>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spacing w:after="45"/>
                    <w:jc w:val="left"/>
                  </w:pPr>
                  <w:r>
                    <w:rPr>
                      <w:rFonts w:ascii="仿宋_GB2312" w:hAnsi="仿宋_GB2312" w:cs="仿宋_GB2312" w:eastAsia="仿宋_GB2312"/>
                      <w:sz w:val="24"/>
                    </w:rPr>
                    <w:t>1.</w:t>
                  </w:r>
                  <w:r>
                    <w:rPr>
                      <w:rFonts w:ascii="仿宋_GB2312" w:hAnsi="仿宋_GB2312" w:cs="仿宋_GB2312" w:eastAsia="仿宋_GB2312"/>
                      <w:sz w:val="24"/>
                    </w:rPr>
                    <w:t>业务员联系电话通畅、信息反馈及时</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配送员文明搬运，按要求堆码</w:t>
                  </w:r>
                  <w:r>
                    <w:rPr>
                      <w:rFonts w:ascii="仿宋_GB2312" w:hAnsi="仿宋_GB2312" w:cs="仿宋_GB2312" w:eastAsia="仿宋_GB2312"/>
                      <w:sz w:val="24"/>
                    </w:rPr>
                    <w:t>；</w:t>
                  </w:r>
                </w:p>
              </w:tc>
              <w:tc>
                <w:tcPr>
                  <w:tcW w:type="dxa" w:w="1041"/>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4"/>
                    </w:rPr>
                    <w:t>每项</w:t>
                  </w:r>
                  <w:r>
                    <w:rPr>
                      <w:rFonts w:ascii="仿宋_GB2312" w:hAnsi="仿宋_GB2312" w:cs="仿宋_GB2312" w:eastAsia="仿宋_GB2312"/>
                      <w:sz w:val="24"/>
                    </w:rPr>
                    <w:t>2.5</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得分：</w:t>
                  </w:r>
                </w:p>
              </w:tc>
            </w:tr>
            <w:tr>
              <w:tc>
                <w:tcPr>
                  <w:tcW w:type="dxa" w:w="5567"/>
                  <w:gridSpan w:val="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bottom"/>
                </w:tcPr>
                <w:p>
                  <w:pPr>
                    <w:pStyle w:val="null3"/>
                    <w:jc w:val="left"/>
                  </w:pPr>
                  <w:r>
                    <w:rPr>
                      <w:rFonts w:ascii="仿宋_GB2312" w:hAnsi="仿宋_GB2312" w:cs="仿宋_GB2312" w:eastAsia="仿宋_GB2312"/>
                      <w:sz w:val="24"/>
                    </w:rPr>
                    <w:t>优秀：</w:t>
                  </w:r>
                  <w:r>
                    <w:rPr>
                      <w:rFonts w:ascii="仿宋_GB2312" w:hAnsi="仿宋_GB2312" w:cs="仿宋_GB2312" w:eastAsia="仿宋_GB2312"/>
                      <w:sz w:val="24"/>
                    </w:rPr>
                    <w:t>90-100</w:t>
                  </w:r>
                  <w:r>
                    <w:rPr>
                      <w:rFonts w:ascii="仿宋_GB2312" w:hAnsi="仿宋_GB2312" w:cs="仿宋_GB2312" w:eastAsia="仿宋_GB2312"/>
                      <w:sz w:val="24"/>
                    </w:rPr>
                    <w:t>分</w:t>
                  </w:r>
                  <w:r>
                    <w:rPr>
                      <w:rFonts w:ascii="仿宋_GB2312" w:hAnsi="仿宋_GB2312" w:cs="仿宋_GB2312" w:eastAsia="仿宋_GB2312"/>
                      <w:sz w:val="24"/>
                    </w:rPr>
                    <w:t>；</w:t>
                  </w:r>
                  <w:r>
                    <w:rPr>
                      <w:rFonts w:ascii="仿宋_GB2312" w:hAnsi="仿宋_GB2312" w:cs="仿宋_GB2312" w:eastAsia="仿宋_GB2312"/>
                      <w:sz w:val="24"/>
                    </w:rPr>
                    <w:t>良好：</w:t>
                  </w:r>
                  <w:r>
                    <w:rPr>
                      <w:rFonts w:ascii="仿宋_GB2312" w:hAnsi="仿宋_GB2312" w:cs="仿宋_GB2312" w:eastAsia="仿宋_GB2312"/>
                      <w:sz w:val="24"/>
                    </w:rPr>
                    <w:t>80-89</w:t>
                  </w:r>
                  <w:r>
                    <w:rPr>
                      <w:rFonts w:ascii="仿宋_GB2312" w:hAnsi="仿宋_GB2312" w:cs="仿宋_GB2312" w:eastAsia="仿宋_GB2312"/>
                      <w:sz w:val="24"/>
                    </w:rPr>
                    <w:t>；</w:t>
                  </w:r>
                  <w:r>
                    <w:rPr>
                      <w:rFonts w:ascii="仿宋_GB2312" w:hAnsi="仿宋_GB2312" w:cs="仿宋_GB2312" w:eastAsia="仿宋_GB2312"/>
                      <w:sz w:val="24"/>
                    </w:rPr>
                    <w:t>合格：</w:t>
                  </w: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w:t>
                  </w:r>
                  <w:r>
                    <w:rPr>
                      <w:rFonts w:ascii="仿宋_GB2312" w:hAnsi="仿宋_GB2312" w:cs="仿宋_GB2312" w:eastAsia="仿宋_GB2312"/>
                      <w:sz w:val="24"/>
                    </w:rPr>
                    <w:t>-79</w:t>
                  </w:r>
                  <w:r>
                    <w:rPr>
                      <w:rFonts w:ascii="仿宋_GB2312" w:hAnsi="仿宋_GB2312" w:cs="仿宋_GB2312" w:eastAsia="仿宋_GB2312"/>
                      <w:sz w:val="24"/>
                    </w:rPr>
                    <w:t>；</w:t>
                  </w:r>
                  <w:r>
                    <w:rPr>
                      <w:rFonts w:ascii="仿宋_GB2312" w:hAnsi="仿宋_GB2312" w:cs="仿宋_GB2312" w:eastAsia="仿宋_GB2312"/>
                      <w:sz w:val="24"/>
                    </w:rPr>
                    <w:t>不合格：</w:t>
                  </w: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不含</w:t>
                  </w:r>
                  <w:r>
                    <w:rPr>
                      <w:rFonts w:ascii="仿宋_GB2312" w:hAnsi="仿宋_GB2312" w:cs="仿宋_GB2312" w:eastAsia="仿宋_GB2312"/>
                      <w:sz w:val="24"/>
                    </w:rPr>
                    <w:t>）</w:t>
                  </w:r>
                  <w:r>
                    <w:rPr>
                      <w:rFonts w:ascii="仿宋_GB2312" w:hAnsi="仿宋_GB2312" w:cs="仿宋_GB2312" w:eastAsia="仿宋_GB2312"/>
                      <w:sz w:val="24"/>
                    </w:rPr>
                    <w:t>分以下</w:t>
                  </w:r>
                  <w:r>
                    <w:rPr>
                      <w:rFonts w:ascii="仿宋_GB2312" w:hAnsi="仿宋_GB2312" w:cs="仿宋_GB2312" w:eastAsia="仿宋_GB2312"/>
                      <w:sz w:val="24"/>
                    </w:rPr>
                    <w:t>总分：</w:t>
                  </w:r>
                </w:p>
              </w:tc>
            </w:tr>
            <w:tr>
              <w:tc>
                <w:tcPr>
                  <w:tcW w:type="dxa" w:w="5567"/>
                  <w:gridSpan w:val="3"/>
                  <w:tcBorders>
                    <w:top w:val="single" w:color="000000" w:sz="4"/>
                    <w:left w:val="single" w:color="000000" w:sz="4"/>
                    <w:bottom w:val="none" w:color="000000" w:sz="4"/>
                    <w:right w:val="single" w:color="000000" w:sz="4"/>
                  </w:tcBorders>
                  <w:shd w:fill="FFFFFF"/>
                  <w:tcMar>
                    <w:top w:type="dxa" w:w="0"/>
                    <w:left w:type="dxa" w:w="15"/>
                    <w:bottom w:type="dxa" w:w="0"/>
                    <w:right w:type="dxa" w:w="15"/>
                  </w:tcMar>
                  <w:vAlign w:val="top"/>
                </w:tcPr>
                <w:p>
                  <w:pPr>
                    <w:pStyle w:val="null3"/>
                    <w:spacing w:after="180"/>
                    <w:jc w:val="left"/>
                  </w:pPr>
                  <w:r>
                    <w:rPr>
                      <w:rFonts w:ascii="仿宋_GB2312" w:hAnsi="仿宋_GB2312" w:cs="仿宋_GB2312" w:eastAsia="仿宋_GB2312"/>
                      <w:sz w:val="24"/>
                    </w:rPr>
                    <w:t>存在问题</w:t>
                  </w:r>
                  <w:r>
                    <w:rPr>
                      <w:rFonts w:ascii="仿宋_GB2312" w:hAnsi="仿宋_GB2312" w:cs="仿宋_GB2312" w:eastAsia="仿宋_GB2312"/>
                      <w:sz w:val="24"/>
                    </w:rPr>
                    <w:t>及整改情况</w:t>
                  </w:r>
                  <w:r>
                    <w:rPr>
                      <w:rFonts w:ascii="仿宋_GB2312" w:hAnsi="仿宋_GB2312" w:cs="仿宋_GB2312" w:eastAsia="仿宋_GB2312"/>
                      <w:sz w:val="24"/>
                    </w:rPr>
                    <w:t xml:space="preserve">：    </w:t>
                  </w:r>
                  <w:r>
                    <w:rPr>
                      <w:rFonts w:ascii="仿宋_GB2312" w:hAnsi="仿宋_GB2312" w:cs="仿宋_GB2312" w:eastAsia="仿宋_GB2312"/>
                      <w:sz w:val="24"/>
                    </w:rPr>
                    <w:t>考核人：</w:t>
                  </w:r>
                </w:p>
              </w:tc>
            </w:tr>
            <w:tr>
              <w:tc>
                <w:tcPr>
                  <w:tcW w:type="dxa" w:w="5567"/>
                  <w:gridSpan w:val="3"/>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300"/>
                    <w:jc w:val="left"/>
                  </w:pPr>
                  <w:r>
                    <w:rPr>
                      <w:rFonts w:ascii="仿宋_GB2312" w:hAnsi="仿宋_GB2312" w:cs="仿宋_GB2312" w:eastAsia="仿宋_GB2312"/>
                      <w:sz w:val="24"/>
                    </w:rPr>
                    <w:t xml:space="preserve">考核意见反馈：   </w:t>
                  </w:r>
                  <w:r>
                    <w:rPr>
                      <w:rFonts w:ascii="仿宋_GB2312" w:hAnsi="仿宋_GB2312" w:cs="仿宋_GB2312" w:eastAsia="仿宋_GB2312"/>
                      <w:sz w:val="24"/>
                    </w:rPr>
                    <w:t>企业代表：</w:t>
                  </w:r>
                </w:p>
              </w:tc>
            </w:tr>
          </w:tbl>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rPr>
              <w:t>供应商</w:t>
            </w:r>
            <w:r>
              <w:rPr>
                <w:rFonts w:ascii="仿宋_GB2312" w:hAnsi="仿宋_GB2312" w:cs="仿宋_GB2312" w:eastAsia="仿宋_GB2312"/>
              </w:rPr>
              <w:t>应为本项目</w:t>
            </w:r>
            <w:r>
              <w:rPr>
                <w:rFonts w:ascii="仿宋_GB2312" w:hAnsi="仿宋_GB2312" w:cs="仿宋_GB2312" w:eastAsia="仿宋_GB2312"/>
              </w:rPr>
              <w:t>提供项目实施方案，方案至少包含以下要点：</w:t>
            </w:r>
            <w:r>
              <w:rPr>
                <w:rFonts w:ascii="仿宋_GB2312" w:hAnsi="仿宋_GB2312" w:cs="仿宋_GB2312" w:eastAsia="仿宋_GB2312"/>
              </w:rPr>
              <w:t>①药品供应流程；②药品存放管理措施；③药品质量管理制度；④项目实施风险点分析及应急处理措施</w:t>
            </w:r>
            <w:r>
              <w:rPr>
                <w:rFonts w:ascii="仿宋_GB2312" w:hAnsi="仿宋_GB2312" w:cs="仿宋_GB2312" w:eastAsia="仿宋_GB2312"/>
              </w:rPr>
              <w:t>。</w:t>
            </w:r>
          </w:p>
          <w:p>
            <w:pPr>
              <w:pStyle w:val="null3"/>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sz w:val="20"/>
              </w:rPr>
              <w:t>供应商</w:t>
            </w:r>
            <w:r>
              <w:rPr>
                <w:rFonts w:ascii="仿宋_GB2312" w:hAnsi="仿宋_GB2312" w:cs="仿宋_GB2312" w:eastAsia="仿宋_GB2312"/>
              </w:rPr>
              <w:t>应为本项目</w:t>
            </w:r>
            <w:r>
              <w:rPr>
                <w:rFonts w:ascii="仿宋_GB2312" w:hAnsi="仿宋_GB2312" w:cs="仿宋_GB2312" w:eastAsia="仿宋_GB2312"/>
                <w:sz w:val="20"/>
              </w:rPr>
              <w:t>提供的配送服务方案，方案包含以下要点：</w:t>
            </w:r>
            <w:r>
              <w:rPr>
                <w:rFonts w:ascii="仿宋_GB2312" w:hAnsi="仿宋_GB2312" w:cs="仿宋_GB2312" w:eastAsia="仿宋_GB2312"/>
                <w:sz w:val="20"/>
              </w:rPr>
              <w:t>①配送管理制度；②项目人员配置及管理方案③药品运输及交付过程质量保障方案④售后服务团队组织架构及岗位职责。</w:t>
            </w:r>
          </w:p>
          <w:p>
            <w:pPr>
              <w:pStyle w:val="null3"/>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sz w:val="21"/>
              </w:rPr>
              <w:t>供应商</w:t>
            </w:r>
            <w:r>
              <w:rPr>
                <w:rFonts w:ascii="仿宋_GB2312" w:hAnsi="仿宋_GB2312" w:cs="仿宋_GB2312" w:eastAsia="仿宋_GB2312"/>
              </w:rPr>
              <w:t>应为本项目</w:t>
            </w:r>
            <w:r>
              <w:rPr>
                <w:rFonts w:ascii="仿宋_GB2312" w:hAnsi="仿宋_GB2312" w:cs="仿宋_GB2312" w:eastAsia="仿宋_GB2312"/>
                <w:sz w:val="21"/>
              </w:rPr>
              <w:t>提供质量保障方案，内容包括：</w:t>
            </w:r>
            <w:r>
              <w:rPr>
                <w:rFonts w:ascii="仿宋_GB2312" w:hAnsi="仿宋_GB2312" w:cs="仿宋_GB2312" w:eastAsia="仿宋_GB2312"/>
                <w:sz w:val="21"/>
              </w:rPr>
              <w:t>①药材来源保障：列明采购流程，说明药材鉴定的技术方法；②饮片临时缺货应对措施。</w:t>
            </w:r>
          </w:p>
          <w:p>
            <w:pPr>
              <w:pStyle w:val="null3"/>
              <w:jc w:val="left"/>
            </w:pPr>
            <w:r>
              <w:rPr>
                <w:rFonts w:ascii="仿宋_GB2312" w:hAnsi="仿宋_GB2312" w:cs="仿宋_GB2312" w:eastAsia="仿宋_GB2312"/>
                <w:sz w:val="21"/>
              </w:rPr>
              <w:t>4、供应商</w:t>
            </w:r>
            <w:r>
              <w:rPr>
                <w:rFonts w:ascii="仿宋_GB2312" w:hAnsi="仿宋_GB2312" w:cs="仿宋_GB2312" w:eastAsia="仿宋_GB2312"/>
                <w:sz w:val="21"/>
              </w:rPr>
              <w:t>应为本项目</w:t>
            </w:r>
            <w:r>
              <w:rPr>
                <w:rFonts w:ascii="仿宋_GB2312" w:hAnsi="仿宋_GB2312" w:cs="仿宋_GB2312" w:eastAsia="仿宋_GB2312"/>
                <w:sz w:val="21"/>
              </w:rPr>
              <w:t>提供伴随服务方案审，内容包括：</w:t>
            </w:r>
            <w:r>
              <w:rPr>
                <w:rFonts w:ascii="仿宋_GB2312" w:hAnsi="仿宋_GB2312" w:cs="仿宋_GB2312" w:eastAsia="仿宋_GB2312"/>
                <w:sz w:val="21"/>
              </w:rPr>
              <w:t>①云审方中心、智慧中心药房配合实施方案。②系统故障应急处置预案。③配套专职对接运维人员配置、7×24小时响应机制。</w:t>
            </w:r>
          </w:p>
          <w:p>
            <w:pPr>
              <w:pStyle w:val="null3"/>
              <w:jc w:val="left"/>
            </w:pPr>
            <w:r>
              <w:rPr>
                <w:rFonts w:ascii="仿宋_GB2312" w:hAnsi="仿宋_GB2312" w:cs="仿宋_GB2312" w:eastAsia="仿宋_GB2312"/>
                <w:sz w:val="21"/>
              </w:rPr>
              <w:t>5、售后服务方案 ，内容包括</w:t>
            </w:r>
            <w:r>
              <w:rPr>
                <w:rFonts w:ascii="仿宋_GB2312" w:hAnsi="仿宋_GB2312" w:cs="仿宋_GB2312" w:eastAsia="仿宋_GB2312"/>
                <w:sz w:val="21"/>
              </w:rPr>
              <w:t>：</w:t>
            </w:r>
            <w:r>
              <w:rPr>
                <w:rFonts w:ascii="仿宋_GB2312" w:hAnsi="仿宋_GB2312" w:cs="仿宋_GB2312" w:eastAsia="仿宋_GB2312"/>
                <w:sz w:val="21"/>
              </w:rPr>
              <w:t>①应急供货方案、验收方案；②退换货的处理方案；③保证药品供应及时顺畅的解决方案。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合同签订后生效，按采购人要求配送，服务期3年，270万元/年，合同一年一签。每年经采购人确认2次考核均合格后，可续签下一年合同，结算金额累计达到预算金额时，合同自动终止。</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宁南县中医医院（（采购人指定地点）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(因系统固化原因，履约验收方案以此条为准）一、验收组织方式： 采购包1：自行验收 二、是否邀请本项目的其他供应商： 采购包1：否 三、是否邀请专家： 采购包1：否 四、是否邀请服务对象： 采购包1：否 五、是否邀请第三方检测机构： 采购包1：否 六、履约验收程序： 采购包1：分批次验收 七、履约验收时间： 采购包1： 1、 验收条件说明： 成交供应商根据采购人每月采购计划完成每月中药饮片配送后，采购人即进行该月验收。； 八、验收组织的其他事项： 采购包1：无 九、技术履约验收内容： 采购包1：按照本项目采购文件中“技术、服务要求”及成交人响应文件进行验收。 十、商务履约验收内容： 采购包1：按照本项目采购文件中“商务要求”及成交人响应文件进行验收。 十一、履约验收标准： 采购包1：验收严格按照《财政部关于进一步加强政府采购需求和 履约验收管理的指导意见》（财库〔2016〕205 号）、（财库〔2021〕22号）等相关法律法规的要求进行验收的要求组织验收。 十二、履约验收其他事项： 采购包1：双方如对质量要求和技术指标的约定标准有相互抵触或异议的事项，由采购人在招标文件与投标文件中按质量要求和技术指标比较优胜的原则确定该项的约定标准进行验收；招标提供的样品用于验收比对，不得低于该样品标准。规定了有效期的中药饮片，交货时其剩余有效期不得低于总有效期的三分之二；2.招标后将采取保留评标所有样品、多人验收、定期抽查等措施以确保中药饮片质量的稳定。</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因系统固化原因，付款进度安排以本章3.4其他要求中付款进度安排为准。付款条件：以本章3.4其他要求中付款进度安排为准。达到该付款条件起10个工作日内，据实情况为以本章3.4其他要求中付款进度安排为准</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1.采购人和供应商双方必须遵守本项目合同并执行合同中的各项规定，保证本项目合同的正常履行。 2.如因供应商工作人员在履行职务过程中的的疏忽、失职、过错等故意或者过失原因给采购人造成损失或侵害，至少包括采购人本身的财产损失、由此而导致的采购人对任何第三方的法律责任，供应商对此均应承担全部的赔偿责任。因本项目合同履行过程中产生的争议，双方应友好协商解决。经协商不能解决的，任何一方均可以向采购人所在地的有管辖权的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采购包1： ★1.未载明或者载明的标的名称、数量、计量单位及其他政府采购合同实质性内容与采购文件要求不一致，且采购单位无法接受的，属于无效响应。 2.“非特定美国企业生产产品（实质性要求）：根据《关于在政府采购活动中对有关美国企业采取相关措施的通知》（财库〔2026〕10号）规定，供应商不得提供该通知中所列46家美国企业（不包括在华美资企业）生产的产品，否则投标（响应）无效。”。 ★3.(因系统固化原因，付款进度安排以此为准）付款进度安排: 本项目实行按月据实结算。成交供应商将产品运送至采购人指定地点，完成交付并验收合格后，由成交供应商开具国家税法规定的正规、有效税务发票，并提交全套完整结算资料至采购人财务科。 付款期限按成交供应商企业类型分别执行（依据响应文件提供的《中小企业声明函》判定；未提供中小企业声明函的，视为大型企业）： （1）若成交供应商为中小企业：自成交供应商完整合规发票及全套结算资料提交采购人财务科当日起60 日内完成款项支付，执行《保障中小企业款项支付条例》（国务院令第 802 号）相关规定。 （2）若成交供应商为大型企业：自成交供应商完整合规发票及全套结算资料提交采购人财务科当日起6 个月内完成款项支付。 结算计算规则：每月结算金额＝最高单价限价 × 每月饮片实际供应量 × 统一折扣率；结算以送货清单、采购人入库量核对统计，核算一致后凭有效票据办理结算。涉及集采产品配送的，按集采中标价执行。 逾期付款责任：若采购人无正当理由逾期支付货款，以当期应付未付金额为基数，按照全国银行间同业拆借中心公布的一年期贷款市场报价利率 (LPR) 计付逾期利息。因成交供应商逾期开票、发票信息错误、供货结算资料缺失等成交供应商自身原因，导致采购人无法按期结算付款的，采购人不承担任何逾期付息责任。 其他说明：四川省政府采购一体化平台付款期限字段存在系统录入上限限制，平台填报字段仅作系统录入使用，甲乙双方实际权利义务以本采购文件及后续签订的正式采购合同文本约定为准。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rPr>
        <w:t>经采购人代表确认后，本章内容均可进行实质性变动。</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rPr>
        <w:t>经采购人代表确认后，本章内容均可进行实质性变动。</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（1）供应商为产品制造商：具备有效的《药品生产许可证》（含电子证书），生产范围包含中药饮片；如涉及毒性中药饮片，生产范围须同时包含毒性中药饮片或毒性饮片，提供证书扫描件。 （2）供应商为经销商（非制造商）：自身具备有效的《药品经营许可证》（含电子证书），经营范围包含中药饮片；如涉及毒性中药饮片，经营范围须同时包含毒性中药饮片 / 毒性饮片 / 医疗用毒性药品；同时所投产品生产厂家须具备有效的《药品生产许可证》（含电子证书），生产范围包含中药饮片，涉及毒性中药饮片的须包含毒性中药饮片或毒性饮片；提供上述全部证书扫描件。</w:t>
            </w:r>
          </w:p>
        </w:tc>
        <w:tc>
          <w:tcPr>
            <w:tcW w:type="dxa" w:w="3322"/>
          </w:tcPr>
          <w:p>
            <w:pPr>
              <w:pStyle w:val="null3"/>
              <w:jc w:val="left"/>
            </w:pPr>
            <w:r>
              <w:rPr>
                <w:rFonts w:ascii="仿宋_GB2312" w:hAnsi="仿宋_GB2312" w:cs="仿宋_GB2312" w:eastAsia="仿宋_GB2312"/>
              </w:rPr>
              <w:t>（1）供应商为产品制造商：具备有效的《药品生产许可证》（含电子证书），生产范围包含中药饮片；如涉及毒性中药饮片，生产范围须同时包含毒性中药饮片或毒性饮片，提供证书扫描件。 （2）供应商为经销商（非制造商）：自身具备有效的《药品经营许可证》（含电子证书），经营范围包含中药饮片；如涉及毒性中药饮片，经营范围须同时包含毒性中药饮片 / 毒性饮片 / 医疗用毒性药品；同时所投产品生产厂家须具备有效的《药品生产许可证》（含电子证书），生产范围包含中药饮片，涉及毒性中药饮片的须包含毒性中药饮片或毒性饮片；提供上述全部证书扫描件。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商务应答表.docx,服务应答表,报价表,投标（响应）函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需要供应商提供材料进行响应，按照采购文件要求提供相应的材料。</w:t>
            </w:r>
          </w:p>
        </w:tc>
        <w:tc>
          <w:tcPr>
            <w:tcW w:type="dxa" w:w="1661"/>
          </w:tcPr>
          <w:p>
            <w:pPr>
              <w:pStyle w:val="null3"/>
              <w:jc w:val="left"/>
            </w:pPr>
            <w:r>
              <w:rPr>
                <w:rFonts w:ascii="仿宋_GB2312" w:hAnsi="仿宋_GB2312" w:cs="仿宋_GB2312" w:eastAsia="仿宋_GB2312"/>
              </w:rPr>
              <w:t>供应商应提交的相关证明材料,服务应答表,报价表,商务应答表.docx,投标（响应）函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需要供应商提供材料进行响应，按照招标文件要求提供相应的材料。</w:t>
            </w:r>
          </w:p>
        </w:tc>
        <w:tc>
          <w:tcPr>
            <w:tcW w:type="dxa" w:w="3322"/>
          </w:tcPr>
          <w:p>
            <w:pPr>
              <w:pStyle w:val="null3"/>
              <w:jc w:val="left"/>
            </w:pPr>
            <w:r>
              <w:rPr>
                <w:rFonts w:ascii="仿宋_GB2312" w:hAnsi="仿宋_GB2312" w:cs="仿宋_GB2312" w:eastAsia="仿宋_GB2312"/>
              </w:rPr>
              <w:t>供应商按照采购文件要求进行响应，评标委员会对相关情形进行认定。</w:t>
            </w:r>
          </w:p>
        </w:tc>
        <w:tc>
          <w:tcPr>
            <w:tcW w:type="dxa" w:w="1661"/>
          </w:tcPr>
          <w:p>
            <w:pPr>
              <w:pStyle w:val="null3"/>
              <w:jc w:val="left"/>
            </w:pPr>
            <w:r>
              <w:rPr>
                <w:rFonts w:ascii="仿宋_GB2312" w:hAnsi="仿宋_GB2312" w:cs="仿宋_GB2312" w:eastAsia="仿宋_GB2312"/>
              </w:rPr>
              <w:t>供应商应提交的相关证明材料,服务应答表,报价表,商务应答表.docx,投标（响应）函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方案至少包含以下要点：①药品供应流程；②药品存放管理措施；③药品质量管理制度；④项目实施风险点分析及应急处理措施。提供以上方案并符合项目采购需求的得20分每缺一项内容扣5分；每有一项内容存在缺陷的扣2.5分，直至本项扣完为止。（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配送服务方案</w:t>
            </w:r>
          </w:p>
        </w:tc>
        <w:tc>
          <w:tcPr>
            <w:tcW w:type="dxa" w:w="2575"/>
          </w:tcPr>
          <w:p>
            <w:pPr>
              <w:pStyle w:val="null3"/>
              <w:jc w:val="left"/>
            </w:pPr>
            <w:r>
              <w:rPr>
                <w:rFonts w:ascii="仿宋_GB2312" w:hAnsi="仿宋_GB2312" w:cs="仿宋_GB2312" w:eastAsia="仿宋_GB2312"/>
              </w:rPr>
              <w:t>根据供应商提供的配送服务方案进行综合评审，方案至少包含以下要点：①配送管理制度；②项目人员配置及管理方案③药品运输及交付过程质量保障方案。提供以上方案并符合项目采购需求的得18分每缺一项内容扣6分；每有一项内容存在缺陷的扣3分，直至本项扣完为止。（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针对本项目提供的质量保障方案进行评审，内容包括：①药材来源保障：列明采购流程，说明药材鉴定的技术方法；②饮片临时缺货应对措施。提供以上方案并符合项目采购需求的得12分每缺一项内容扣6分；每有一项内容存在缺陷的扣3分，直至本项扣完为止。（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伴随服务方案</w:t>
            </w:r>
          </w:p>
        </w:tc>
        <w:tc>
          <w:tcPr>
            <w:tcW w:type="dxa" w:w="2575"/>
          </w:tcPr>
          <w:p>
            <w:pPr>
              <w:pStyle w:val="null3"/>
              <w:jc w:val="left"/>
            </w:pPr>
            <w:r>
              <w:rPr>
                <w:rFonts w:ascii="仿宋_GB2312" w:hAnsi="仿宋_GB2312" w:cs="仿宋_GB2312" w:eastAsia="仿宋_GB2312"/>
              </w:rPr>
              <w:t>根据供应商针对本项目提供的伴随服务方案进行评审，内容包括：①云审方中心、智慧中心药房配合实施方案。②系统故障应急处置预案。③配套专职对接运维人员配置、7×24小时响应机制。提供以上方案并符合项目采购需求的得15分每缺一项内容扣5分；每有一项内容存在缺陷的扣2.5分，直至本项扣完为止。（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投标人在2023年1月1日以来具有类似项目业绩案例，每有1个得2分，本项最多得4分。（提供合同/协议复印件加盖公章）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服务方案进行评分，内容包括：①应急供货方案、验收方案；②退换货的处理方案；③保证药品供应及时顺畅的解决方案。方案完全包括以上3项且内容无缺陷或不足的得15分，每有一项内容缺失的扣5分，每有一处内容缺陷或不足的扣2.5分，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1.投标人按文件要求提供样品，有下列情形的不得分：（1）未按招标文件样品基本要求提交样品的； （2）少送样品、样品重量/数量不足的；（3）错送样品、品类不符、以他品替代的；（4） 样品存在严重质量问题：霉变、虫蛀、严重走油、染色增重、硫熏超标、伪品、掺杂掺假的。 ； 2.评审委员会根据投标人的样品，按以下要求进行评审：6个样品完全符合样品清单中样品参数要求、重量要求、炮制规格的得6分，每有一项不符合的扣0.5分，单个样品最多扣1分。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中药饮片配送服务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