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A2DA3">
      <w:pPr>
        <w:spacing w:line="360" w:lineRule="auto"/>
        <w:jc w:val="center"/>
        <w:rPr>
          <w:rFonts w:hint="eastAsia" w:ascii="宋体" w:hAnsi="宋体"/>
          <w:sz w:val="28"/>
          <w:szCs w:val="28"/>
        </w:rPr>
      </w:pPr>
      <w:r>
        <w:rPr>
          <w:rFonts w:hint="eastAsia" w:ascii="宋体" w:hAnsi="宋体"/>
          <w:sz w:val="28"/>
          <w:szCs w:val="28"/>
        </w:rPr>
        <w:t>实质性响应一览表</w:t>
      </w:r>
    </w:p>
    <w:tbl>
      <w:tblPr>
        <w:tblStyle w:val="11"/>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4687"/>
        <w:gridCol w:w="2353"/>
        <w:gridCol w:w="1454"/>
      </w:tblGrid>
      <w:tr w14:paraId="7621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vAlign w:val="center"/>
          </w:tcPr>
          <w:p w14:paraId="075B4927">
            <w:pPr>
              <w:spacing w:line="360" w:lineRule="auto"/>
              <w:jc w:val="center"/>
              <w:rPr>
                <w:sz w:val="24"/>
                <w:szCs w:val="24"/>
              </w:rPr>
            </w:pPr>
            <w:r>
              <w:rPr>
                <w:sz w:val="24"/>
                <w:szCs w:val="24"/>
              </w:rPr>
              <w:t>序号</w:t>
            </w:r>
          </w:p>
        </w:tc>
        <w:tc>
          <w:tcPr>
            <w:tcW w:w="4687" w:type="dxa"/>
            <w:tcBorders>
              <w:top w:val="single" w:color="auto" w:sz="4" w:space="0"/>
              <w:left w:val="single" w:color="auto" w:sz="4" w:space="0"/>
              <w:bottom w:val="single" w:color="auto" w:sz="4" w:space="0"/>
              <w:right w:val="single" w:color="auto" w:sz="4" w:space="0"/>
            </w:tcBorders>
            <w:vAlign w:val="center"/>
          </w:tcPr>
          <w:p w14:paraId="0FCF95A3">
            <w:pPr>
              <w:spacing w:line="360" w:lineRule="auto"/>
              <w:jc w:val="center"/>
              <w:rPr>
                <w:sz w:val="24"/>
                <w:szCs w:val="24"/>
              </w:rPr>
            </w:pPr>
            <w:r>
              <w:rPr>
                <w:sz w:val="24"/>
                <w:szCs w:val="24"/>
              </w:rPr>
              <w:t>实质性响应条款</w:t>
            </w:r>
          </w:p>
        </w:tc>
        <w:tc>
          <w:tcPr>
            <w:tcW w:w="2353" w:type="dxa"/>
            <w:tcBorders>
              <w:top w:val="single" w:color="auto" w:sz="4" w:space="0"/>
              <w:left w:val="single" w:color="auto" w:sz="4" w:space="0"/>
              <w:bottom w:val="single" w:color="auto" w:sz="4" w:space="0"/>
              <w:right w:val="single" w:color="auto" w:sz="4" w:space="0"/>
            </w:tcBorders>
            <w:vAlign w:val="center"/>
          </w:tcPr>
          <w:p w14:paraId="17EDECF0">
            <w:pPr>
              <w:spacing w:line="360" w:lineRule="auto"/>
              <w:jc w:val="center"/>
              <w:rPr>
                <w:sz w:val="24"/>
                <w:szCs w:val="24"/>
              </w:rPr>
            </w:pPr>
            <w:r>
              <w:rPr>
                <w:sz w:val="24"/>
                <w:szCs w:val="24"/>
              </w:rPr>
              <w:t>投标人响应情况</w:t>
            </w:r>
          </w:p>
        </w:tc>
        <w:tc>
          <w:tcPr>
            <w:tcW w:w="1454" w:type="dxa"/>
            <w:tcBorders>
              <w:top w:val="single" w:color="auto" w:sz="4" w:space="0"/>
              <w:left w:val="single" w:color="auto" w:sz="4" w:space="0"/>
              <w:bottom w:val="single" w:color="auto" w:sz="4" w:space="0"/>
              <w:right w:val="single" w:color="auto" w:sz="4" w:space="0"/>
            </w:tcBorders>
            <w:vAlign w:val="center"/>
          </w:tcPr>
          <w:p w14:paraId="4A7A92ED">
            <w:pPr>
              <w:spacing w:line="360" w:lineRule="auto"/>
              <w:jc w:val="center"/>
              <w:rPr>
                <w:sz w:val="24"/>
                <w:szCs w:val="24"/>
              </w:rPr>
            </w:pPr>
            <w:r>
              <w:rPr>
                <w:sz w:val="24"/>
                <w:szCs w:val="24"/>
              </w:rPr>
              <w:t>差异</w:t>
            </w:r>
          </w:p>
        </w:tc>
      </w:tr>
      <w:tr w14:paraId="42257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828" w:type="dxa"/>
            <w:tcBorders>
              <w:top w:val="single" w:color="auto" w:sz="4" w:space="0"/>
              <w:left w:val="single" w:color="auto" w:sz="4" w:space="0"/>
              <w:bottom w:val="single" w:color="auto" w:sz="4" w:space="0"/>
              <w:right w:val="single" w:color="auto" w:sz="4" w:space="0"/>
            </w:tcBorders>
            <w:vAlign w:val="center"/>
          </w:tcPr>
          <w:p w14:paraId="5DAEC210">
            <w:r>
              <w:t>1.</w:t>
            </w:r>
          </w:p>
        </w:tc>
        <w:tc>
          <w:tcPr>
            <w:tcW w:w="4687" w:type="dxa"/>
            <w:tcBorders>
              <w:top w:val="single" w:color="auto" w:sz="4" w:space="0"/>
              <w:left w:val="single" w:color="auto" w:sz="4" w:space="0"/>
              <w:bottom w:val="single" w:color="auto" w:sz="4" w:space="0"/>
              <w:right w:val="single" w:color="auto" w:sz="4" w:space="0"/>
            </w:tcBorders>
            <w:vAlign w:val="center"/>
          </w:tcPr>
          <w:p w14:paraId="3CF60398">
            <w:pPr>
              <w:rPr>
                <w:rFonts w:hint="eastAsia"/>
              </w:rPr>
            </w:pPr>
            <w:r>
              <w:rPr>
                <w:rFonts w:hint="eastAsia"/>
              </w:rPr>
              <w:t>★投标人需承诺广州市教育科研网络承建单位核心层采用环保护技术，汇聚层采用以太网环保护技术。本期项目要求投标人实现各区教育局机房与广州市电化教育馆互联时使用20G RRPP 环，环网设计要求如下：</w:t>
            </w:r>
          </w:p>
          <w:p w14:paraId="710E903E">
            <w:pPr>
              <w:rPr>
                <w:rFonts w:hint="eastAsia"/>
              </w:rPr>
            </w:pPr>
            <w:r>
              <w:rPr>
                <w:rFonts w:hint="eastAsia"/>
              </w:rPr>
              <w:t>1、要求环网节点之间采用裸光纤直连，</w:t>
            </w:r>
          </w:p>
          <w:p w14:paraId="48C84B66">
            <w:r>
              <w:rPr>
                <w:rFonts w:hint="eastAsia"/>
              </w:rPr>
              <w:t>2、环网节点之间提供主干裸光纤异路由，为本项目提供物理层级别保护，确保各学校或单位使用基础网络环境。（提供承诺函，格式自拟）</w:t>
            </w:r>
            <w:bookmarkStart w:id="0" w:name="_GoBack"/>
            <w:bookmarkEnd w:id="0"/>
          </w:p>
        </w:tc>
        <w:tc>
          <w:tcPr>
            <w:tcW w:w="2353" w:type="dxa"/>
            <w:tcBorders>
              <w:top w:val="single" w:color="auto" w:sz="4" w:space="0"/>
              <w:left w:val="single" w:color="auto" w:sz="4" w:space="0"/>
              <w:bottom w:val="single" w:color="auto" w:sz="4" w:space="0"/>
              <w:right w:val="single" w:color="auto" w:sz="4" w:space="0"/>
            </w:tcBorders>
            <w:vAlign w:val="center"/>
          </w:tcPr>
          <w:p w14:paraId="172FC0F0">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5AAA8354">
            <w:pPr>
              <w:spacing w:line="360" w:lineRule="auto"/>
              <w:rPr>
                <w:rFonts w:hint="eastAsia" w:ascii="宋体" w:hAnsi="宋体" w:cs="宋体"/>
                <w:sz w:val="24"/>
                <w:szCs w:val="24"/>
              </w:rPr>
            </w:pPr>
          </w:p>
        </w:tc>
      </w:tr>
      <w:tr w14:paraId="0455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vAlign w:val="center"/>
          </w:tcPr>
          <w:p w14:paraId="361E02A1">
            <w:r>
              <w:t>2.</w:t>
            </w:r>
          </w:p>
        </w:tc>
        <w:tc>
          <w:tcPr>
            <w:tcW w:w="4687" w:type="dxa"/>
            <w:tcBorders>
              <w:top w:val="single" w:color="auto" w:sz="4" w:space="0"/>
              <w:left w:val="single" w:color="auto" w:sz="4" w:space="0"/>
              <w:bottom w:val="single" w:color="auto" w:sz="4" w:space="0"/>
              <w:right w:val="single" w:color="auto" w:sz="4" w:space="0"/>
            </w:tcBorders>
            <w:vAlign w:val="center"/>
          </w:tcPr>
          <w:p w14:paraId="52F36184">
            <w:r>
              <w:t>★投标人需承诺为保障业务安全性，教科网骨干环网中不能有其他第三方业务。（提供承诺函，格式自拟）</w:t>
            </w:r>
          </w:p>
        </w:tc>
        <w:tc>
          <w:tcPr>
            <w:tcW w:w="2353" w:type="dxa"/>
            <w:tcBorders>
              <w:top w:val="single" w:color="auto" w:sz="4" w:space="0"/>
              <w:left w:val="single" w:color="auto" w:sz="4" w:space="0"/>
              <w:bottom w:val="single" w:color="auto" w:sz="4" w:space="0"/>
              <w:right w:val="single" w:color="auto" w:sz="4" w:space="0"/>
            </w:tcBorders>
            <w:vAlign w:val="center"/>
          </w:tcPr>
          <w:p w14:paraId="4BA82A59">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77683547">
            <w:pPr>
              <w:spacing w:line="360" w:lineRule="auto"/>
              <w:rPr>
                <w:rFonts w:hint="eastAsia" w:ascii="宋体" w:hAnsi="宋体" w:cs="宋体"/>
                <w:sz w:val="24"/>
                <w:szCs w:val="24"/>
              </w:rPr>
            </w:pPr>
          </w:p>
        </w:tc>
      </w:tr>
      <w:tr w14:paraId="7BC1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trPr>
        <w:tc>
          <w:tcPr>
            <w:tcW w:w="828" w:type="dxa"/>
            <w:tcBorders>
              <w:top w:val="single" w:color="auto" w:sz="4" w:space="0"/>
              <w:left w:val="single" w:color="auto" w:sz="4" w:space="0"/>
              <w:bottom w:val="single" w:color="auto" w:sz="4" w:space="0"/>
              <w:right w:val="single" w:color="auto" w:sz="4" w:space="0"/>
            </w:tcBorders>
            <w:vAlign w:val="center"/>
          </w:tcPr>
          <w:p w14:paraId="34056C1E">
            <w:r>
              <w:t>3.</w:t>
            </w:r>
          </w:p>
        </w:tc>
        <w:tc>
          <w:tcPr>
            <w:tcW w:w="4687" w:type="dxa"/>
            <w:tcBorders>
              <w:top w:val="single" w:color="auto" w:sz="4" w:space="0"/>
              <w:left w:val="single" w:color="auto" w:sz="4" w:space="0"/>
              <w:bottom w:val="single" w:color="auto" w:sz="4" w:space="0"/>
              <w:right w:val="single" w:color="auto" w:sz="4" w:space="0"/>
            </w:tcBorders>
            <w:vAlign w:val="center"/>
          </w:tcPr>
          <w:p w14:paraId="30906DB6">
            <w:r>
              <w:t>★投标人需承诺中标后在服务期内需要开放本项目涉及设备的网络管理读写权限给予采购人，网络管理读写权限给予内容包括但不限于：日常实时监控、监控数据备份、web流量监控系统、SNMP采集、SYSLOG采集、端口速率限制与关闭，故障预警系统等。（提供承诺函，格式自拟）</w:t>
            </w:r>
          </w:p>
        </w:tc>
        <w:tc>
          <w:tcPr>
            <w:tcW w:w="2353" w:type="dxa"/>
            <w:tcBorders>
              <w:top w:val="single" w:color="auto" w:sz="4" w:space="0"/>
              <w:left w:val="single" w:color="auto" w:sz="4" w:space="0"/>
              <w:bottom w:val="single" w:color="auto" w:sz="4" w:space="0"/>
              <w:right w:val="single" w:color="auto" w:sz="4" w:space="0"/>
            </w:tcBorders>
            <w:vAlign w:val="center"/>
          </w:tcPr>
          <w:p w14:paraId="53614E2C">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2D40116E">
            <w:pPr>
              <w:spacing w:line="360" w:lineRule="auto"/>
              <w:rPr>
                <w:rFonts w:hint="eastAsia" w:ascii="宋体" w:hAnsi="宋体" w:cs="宋体"/>
                <w:sz w:val="24"/>
                <w:szCs w:val="24"/>
              </w:rPr>
            </w:pPr>
          </w:p>
        </w:tc>
      </w:tr>
      <w:tr w14:paraId="5828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trPr>
        <w:tc>
          <w:tcPr>
            <w:tcW w:w="828" w:type="dxa"/>
            <w:tcBorders>
              <w:top w:val="single" w:color="auto" w:sz="4" w:space="0"/>
              <w:left w:val="single" w:color="auto" w:sz="4" w:space="0"/>
              <w:bottom w:val="single" w:color="auto" w:sz="4" w:space="0"/>
              <w:right w:val="single" w:color="auto" w:sz="4" w:space="0"/>
            </w:tcBorders>
            <w:vAlign w:val="center"/>
          </w:tcPr>
          <w:p w14:paraId="04B291FF">
            <w:r>
              <w:t>4.</w:t>
            </w:r>
          </w:p>
        </w:tc>
        <w:tc>
          <w:tcPr>
            <w:tcW w:w="4687" w:type="dxa"/>
            <w:tcBorders>
              <w:top w:val="single" w:color="auto" w:sz="4" w:space="0"/>
              <w:left w:val="single" w:color="auto" w:sz="4" w:space="0"/>
              <w:bottom w:val="single" w:color="auto" w:sz="4" w:space="0"/>
              <w:right w:val="single" w:color="auto" w:sz="4" w:space="0"/>
            </w:tcBorders>
            <w:vAlign w:val="center"/>
          </w:tcPr>
          <w:p w14:paraId="52D0913E">
            <w:r>
              <w:t>★投标人需承诺中标后应配合采购人提供全网设备运行日志（包括接入单位使用的端口流量、设备运行等），日志保存时间必须大于180日。（提供承诺函，格式自拟）</w:t>
            </w:r>
          </w:p>
        </w:tc>
        <w:tc>
          <w:tcPr>
            <w:tcW w:w="2353" w:type="dxa"/>
            <w:tcBorders>
              <w:top w:val="single" w:color="auto" w:sz="4" w:space="0"/>
              <w:left w:val="single" w:color="auto" w:sz="4" w:space="0"/>
              <w:bottom w:val="single" w:color="auto" w:sz="4" w:space="0"/>
              <w:right w:val="single" w:color="auto" w:sz="4" w:space="0"/>
            </w:tcBorders>
            <w:vAlign w:val="center"/>
          </w:tcPr>
          <w:p w14:paraId="5E35707B">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12AB4EFF">
            <w:pPr>
              <w:spacing w:line="360" w:lineRule="auto"/>
              <w:rPr>
                <w:rFonts w:hint="eastAsia" w:ascii="宋体" w:hAnsi="宋体" w:cs="宋体"/>
                <w:sz w:val="24"/>
                <w:szCs w:val="24"/>
              </w:rPr>
            </w:pPr>
          </w:p>
        </w:tc>
      </w:tr>
      <w:tr w14:paraId="2D0C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Borders>
              <w:top w:val="single" w:color="auto" w:sz="4" w:space="0"/>
              <w:left w:val="single" w:color="auto" w:sz="4" w:space="0"/>
              <w:bottom w:val="single" w:color="auto" w:sz="4" w:space="0"/>
              <w:right w:val="single" w:color="auto" w:sz="4" w:space="0"/>
            </w:tcBorders>
            <w:vAlign w:val="center"/>
          </w:tcPr>
          <w:p w14:paraId="437EB717">
            <w:r>
              <w:t>5.</w:t>
            </w:r>
          </w:p>
        </w:tc>
        <w:tc>
          <w:tcPr>
            <w:tcW w:w="4687" w:type="dxa"/>
            <w:tcBorders>
              <w:top w:val="single" w:color="auto" w:sz="4" w:space="0"/>
              <w:left w:val="single" w:color="auto" w:sz="4" w:space="0"/>
              <w:bottom w:val="single" w:color="auto" w:sz="4" w:space="0"/>
              <w:right w:val="single" w:color="auto" w:sz="4" w:space="0"/>
            </w:tcBorders>
            <w:vAlign w:val="center"/>
          </w:tcPr>
          <w:p w14:paraId="70478869">
            <w:r>
              <w:t>4）★投标人需承诺本项目所有的需求点必须是裸光纤接入，投标人必须根据接入带宽免费提供接入需要的光电收发设备及尾纤供用户使用。为防止光纤中断导致大面积学校网络故障，学校接入不允许使用PON方式接入技术。（提供承诺函，格式自拟）</w:t>
            </w:r>
          </w:p>
        </w:tc>
        <w:tc>
          <w:tcPr>
            <w:tcW w:w="2353" w:type="dxa"/>
            <w:tcBorders>
              <w:top w:val="single" w:color="auto" w:sz="4" w:space="0"/>
              <w:left w:val="single" w:color="auto" w:sz="4" w:space="0"/>
              <w:bottom w:val="single" w:color="auto" w:sz="4" w:space="0"/>
              <w:right w:val="single" w:color="auto" w:sz="4" w:space="0"/>
            </w:tcBorders>
            <w:vAlign w:val="center"/>
          </w:tcPr>
          <w:p w14:paraId="22A5AF43">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3D556359">
            <w:pPr>
              <w:spacing w:line="360" w:lineRule="auto"/>
              <w:rPr>
                <w:rFonts w:hint="eastAsia" w:ascii="宋体" w:hAnsi="宋体" w:cs="宋体"/>
                <w:sz w:val="24"/>
                <w:szCs w:val="24"/>
              </w:rPr>
            </w:pPr>
          </w:p>
        </w:tc>
      </w:tr>
      <w:tr w14:paraId="34305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Borders>
              <w:top w:val="single" w:color="auto" w:sz="4" w:space="0"/>
              <w:left w:val="single" w:color="auto" w:sz="4" w:space="0"/>
              <w:bottom w:val="single" w:color="auto" w:sz="4" w:space="0"/>
              <w:right w:val="single" w:color="auto" w:sz="4" w:space="0"/>
            </w:tcBorders>
            <w:vAlign w:val="center"/>
          </w:tcPr>
          <w:p w14:paraId="630D3BE8">
            <w:r>
              <w:t>6.</w:t>
            </w:r>
          </w:p>
        </w:tc>
        <w:tc>
          <w:tcPr>
            <w:tcW w:w="4687" w:type="dxa"/>
            <w:tcBorders>
              <w:top w:val="single" w:color="auto" w:sz="4" w:space="0"/>
              <w:left w:val="single" w:color="auto" w:sz="4" w:space="0"/>
              <w:bottom w:val="single" w:color="auto" w:sz="4" w:space="0"/>
              <w:right w:val="single" w:color="auto" w:sz="4" w:space="0"/>
            </w:tcBorders>
            <w:vAlign w:val="center"/>
          </w:tcPr>
          <w:p w14:paraId="60667E2A">
            <w:r>
              <w:t>9）★投标人需承诺本项目中涉及每年高考考场重要线路，需要具备双线路异路由备份功能，并可以实现主、备线路自动切换保护机制，确保高考考场网络高可用性，投标人需提供高、中考及阅卷期间网络通信保障实施方案。（提供承诺函，格式自拟）</w:t>
            </w:r>
          </w:p>
        </w:tc>
        <w:tc>
          <w:tcPr>
            <w:tcW w:w="2353" w:type="dxa"/>
            <w:tcBorders>
              <w:top w:val="single" w:color="auto" w:sz="4" w:space="0"/>
              <w:left w:val="single" w:color="auto" w:sz="4" w:space="0"/>
              <w:bottom w:val="single" w:color="auto" w:sz="4" w:space="0"/>
              <w:right w:val="single" w:color="auto" w:sz="4" w:space="0"/>
            </w:tcBorders>
            <w:vAlign w:val="center"/>
          </w:tcPr>
          <w:p w14:paraId="74A8B6DC">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5AB073FD">
            <w:pPr>
              <w:spacing w:line="360" w:lineRule="auto"/>
              <w:rPr>
                <w:rFonts w:hint="eastAsia" w:ascii="宋体" w:hAnsi="宋体" w:cs="宋体"/>
                <w:sz w:val="24"/>
                <w:szCs w:val="24"/>
              </w:rPr>
            </w:pPr>
          </w:p>
        </w:tc>
      </w:tr>
      <w:tr w14:paraId="2E872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28" w:type="dxa"/>
            <w:tcBorders>
              <w:top w:val="single" w:color="auto" w:sz="4" w:space="0"/>
              <w:left w:val="single" w:color="auto" w:sz="4" w:space="0"/>
              <w:bottom w:val="single" w:color="auto" w:sz="4" w:space="0"/>
              <w:right w:val="single" w:color="auto" w:sz="4" w:space="0"/>
            </w:tcBorders>
            <w:vAlign w:val="center"/>
          </w:tcPr>
          <w:p w14:paraId="783D618D">
            <w:r>
              <w:t>7.</w:t>
            </w:r>
          </w:p>
        </w:tc>
        <w:tc>
          <w:tcPr>
            <w:tcW w:w="4687" w:type="dxa"/>
            <w:tcBorders>
              <w:top w:val="single" w:color="auto" w:sz="4" w:space="0"/>
              <w:left w:val="single" w:color="auto" w:sz="4" w:space="0"/>
              <w:bottom w:val="single" w:color="auto" w:sz="4" w:space="0"/>
              <w:right w:val="single" w:color="auto" w:sz="4" w:space="0"/>
            </w:tcBorders>
            <w:vAlign w:val="center"/>
          </w:tcPr>
          <w:p w14:paraId="6F6DEB56">
            <w:r>
              <w:t>★投标人需承诺：在签订合同之日起10个日历日内完成项目所有线路的交付使用并获得采购人的书面确认，如在规定时间内无法开通，或实施内容与投标响应内容不相符，采购人将以书面的形式通知中标人在5个日历日内完成整改。如未能按时完成，每逾期一天扣除合同总金额3%作为扣罚，最高扣罚上限为合同总金额的30%，如达到最高扣罚上限后，中标人仍未能完成项目验收，采购人可单方终止服务合同，中标人全额退回采购人已支付的所有款项，相关责任由中标人承担（提供承诺函，格式自拟）。</w:t>
            </w:r>
          </w:p>
        </w:tc>
        <w:tc>
          <w:tcPr>
            <w:tcW w:w="2353" w:type="dxa"/>
            <w:tcBorders>
              <w:top w:val="single" w:color="auto" w:sz="4" w:space="0"/>
              <w:left w:val="single" w:color="auto" w:sz="4" w:space="0"/>
              <w:bottom w:val="single" w:color="auto" w:sz="4" w:space="0"/>
              <w:right w:val="single" w:color="auto" w:sz="4" w:space="0"/>
            </w:tcBorders>
            <w:vAlign w:val="center"/>
          </w:tcPr>
          <w:p w14:paraId="02949483">
            <w:pPr>
              <w:spacing w:line="360" w:lineRule="auto"/>
              <w:rPr>
                <w:rFonts w:hint="eastAsia"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cBorders>
            <w:vAlign w:val="center"/>
          </w:tcPr>
          <w:p w14:paraId="3E9B9764">
            <w:pPr>
              <w:spacing w:line="360" w:lineRule="auto"/>
              <w:rPr>
                <w:rFonts w:hint="eastAsia" w:ascii="宋体" w:hAnsi="宋体" w:cs="宋体"/>
                <w:sz w:val="24"/>
                <w:szCs w:val="24"/>
              </w:rPr>
            </w:pPr>
          </w:p>
        </w:tc>
      </w:tr>
    </w:tbl>
    <w:p w14:paraId="74D465E7">
      <w:pPr>
        <w:spacing w:line="360" w:lineRule="auto"/>
        <w:rPr>
          <w:rFonts w:hint="eastAsia" w:ascii="宋体" w:hAnsi="宋体"/>
          <w:sz w:val="24"/>
          <w:szCs w:val="24"/>
        </w:rPr>
      </w:pPr>
      <w:r>
        <w:rPr>
          <w:rFonts w:hint="eastAsia" w:ascii="宋体" w:hAnsi="宋体"/>
          <w:sz w:val="24"/>
          <w:szCs w:val="24"/>
        </w:rPr>
        <w:t>说明：</w:t>
      </w:r>
    </w:p>
    <w:p w14:paraId="0129B3FD">
      <w:pPr>
        <w:pStyle w:val="8"/>
        <w:shd w:val="clear" w:color="auto" w:fill="FFFFFF"/>
        <w:ind w:firstLine="480"/>
        <w:rPr>
          <w:rFonts w:hint="eastAsia"/>
        </w:rPr>
      </w:pPr>
      <w:r>
        <w:rPr>
          <w:rFonts w:hint="eastAsia"/>
        </w:rPr>
        <w:t>1.实质性响应条款一览表后续内容请根据第二章采购需求</w:t>
      </w:r>
      <w:r>
        <w:rPr>
          <w:rStyle w:val="13"/>
          <w:rFonts w:hint="eastAsia"/>
          <w:b w:val="0"/>
        </w:rPr>
        <w:t>★</w:t>
      </w:r>
      <w:r>
        <w:rPr>
          <w:rFonts w:hint="eastAsia"/>
        </w:rPr>
        <w:t>号条款详细列举</w:t>
      </w:r>
    </w:p>
    <w:p w14:paraId="013DA651">
      <w:pPr>
        <w:pStyle w:val="8"/>
        <w:shd w:val="clear" w:color="auto" w:fill="FFFFFF"/>
        <w:ind w:firstLine="480"/>
        <w:rPr>
          <w:rFonts w:hint="eastAsia"/>
        </w:rPr>
      </w:pPr>
      <w:r>
        <w:rPr>
          <w:rFonts w:hint="eastAsia"/>
        </w:rPr>
        <w:t>2.本表所列条款必须一一予以响应，“投标人响应情况”一栏应</w:t>
      </w:r>
      <w:r>
        <w:rPr>
          <w:rStyle w:val="13"/>
          <w:rFonts w:hint="eastAsia"/>
          <w:b w:val="0"/>
        </w:rPr>
        <w:t>填写具体的响应内容，有差异</w:t>
      </w:r>
      <w:r>
        <w:rPr>
          <w:rFonts w:hint="eastAsia"/>
        </w:rPr>
        <w:t>的要具体说明。</w:t>
      </w:r>
    </w:p>
    <w:p w14:paraId="5F1A2F89">
      <w:pPr>
        <w:pStyle w:val="8"/>
        <w:shd w:val="clear" w:color="auto" w:fill="FFFFFF"/>
        <w:ind w:firstLine="480"/>
        <w:rPr>
          <w:rFonts w:hint="eastAsia"/>
        </w:rPr>
      </w:pPr>
      <w:r>
        <w:rPr>
          <w:rFonts w:hint="eastAsia"/>
        </w:rPr>
        <w:t>3.请投标人认真填写本表内容，如填写错误将可能导致投标无效。</w:t>
      </w:r>
    </w:p>
    <w:p w14:paraId="60758A0B">
      <w:pPr>
        <w:spacing w:line="360" w:lineRule="auto"/>
        <w:rPr>
          <w:rFonts w:hint="eastAsia" w:ascii="宋体" w:hAnsi="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kZDUyOGY5MzUyOTg0NzNlOWRkZWNlZjA3OWIyZjQifQ=="/>
  </w:docVars>
  <w:rsids>
    <w:rsidRoot w:val="002F3044"/>
    <w:rsid w:val="00076C5F"/>
    <w:rsid w:val="000C13F0"/>
    <w:rsid w:val="001079D2"/>
    <w:rsid w:val="001528C3"/>
    <w:rsid w:val="00194F3E"/>
    <w:rsid w:val="001B369A"/>
    <w:rsid w:val="00200571"/>
    <w:rsid w:val="002048E3"/>
    <w:rsid w:val="0021128E"/>
    <w:rsid w:val="002D0CAD"/>
    <w:rsid w:val="002F3044"/>
    <w:rsid w:val="003105EE"/>
    <w:rsid w:val="00321F0D"/>
    <w:rsid w:val="00346968"/>
    <w:rsid w:val="00387B33"/>
    <w:rsid w:val="004523E4"/>
    <w:rsid w:val="004B30C6"/>
    <w:rsid w:val="00544002"/>
    <w:rsid w:val="00706877"/>
    <w:rsid w:val="00785F2B"/>
    <w:rsid w:val="008103F4"/>
    <w:rsid w:val="008826E0"/>
    <w:rsid w:val="00884891"/>
    <w:rsid w:val="00906CA6"/>
    <w:rsid w:val="00913F82"/>
    <w:rsid w:val="009238D2"/>
    <w:rsid w:val="00926E05"/>
    <w:rsid w:val="0093775D"/>
    <w:rsid w:val="00967340"/>
    <w:rsid w:val="00A0648E"/>
    <w:rsid w:val="00A14FA7"/>
    <w:rsid w:val="00A1664F"/>
    <w:rsid w:val="00A30155"/>
    <w:rsid w:val="00A50151"/>
    <w:rsid w:val="00A73AE4"/>
    <w:rsid w:val="00B47072"/>
    <w:rsid w:val="00BB1460"/>
    <w:rsid w:val="00BB7663"/>
    <w:rsid w:val="00C554C7"/>
    <w:rsid w:val="00CD0E81"/>
    <w:rsid w:val="00CF3FAB"/>
    <w:rsid w:val="00D45029"/>
    <w:rsid w:val="00DF0BC4"/>
    <w:rsid w:val="00E33BF2"/>
    <w:rsid w:val="00F84676"/>
    <w:rsid w:val="00FC114C"/>
    <w:rsid w:val="08CD6EE3"/>
    <w:rsid w:val="0AB5132A"/>
    <w:rsid w:val="0CF1305A"/>
    <w:rsid w:val="12042160"/>
    <w:rsid w:val="18FD3920"/>
    <w:rsid w:val="195B28AD"/>
    <w:rsid w:val="1A2309E1"/>
    <w:rsid w:val="1C2835D2"/>
    <w:rsid w:val="1FDB5818"/>
    <w:rsid w:val="22927D8B"/>
    <w:rsid w:val="23CC6832"/>
    <w:rsid w:val="2B31180A"/>
    <w:rsid w:val="2E457F1B"/>
    <w:rsid w:val="2F3675CE"/>
    <w:rsid w:val="30373BD3"/>
    <w:rsid w:val="320B5713"/>
    <w:rsid w:val="32EA5DD9"/>
    <w:rsid w:val="454C1AF7"/>
    <w:rsid w:val="4A6477BF"/>
    <w:rsid w:val="4EF67219"/>
    <w:rsid w:val="51D923A1"/>
    <w:rsid w:val="5659608B"/>
    <w:rsid w:val="5AD2718F"/>
    <w:rsid w:val="60F830C7"/>
    <w:rsid w:val="633E6194"/>
    <w:rsid w:val="69613A02"/>
    <w:rsid w:val="6C305087"/>
    <w:rsid w:val="7F7C7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lang w:val="en-US" w:eastAsia="zh-CN" w:bidi="ar-SA"/>
    </w:rPr>
  </w:style>
  <w:style w:type="character" w:default="1" w:styleId="12">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0"/>
    <w:rPr>
      <w:sz w:val="20"/>
    </w:rPr>
  </w:style>
  <w:style w:type="paragraph" w:styleId="3">
    <w:name w:val="Body Text"/>
    <w:basedOn w:val="1"/>
    <w:next w:val="1"/>
    <w:qFormat/>
    <w:uiPriority w:val="1"/>
    <w:pPr>
      <w:ind w:left="559"/>
    </w:pPr>
    <w:rPr>
      <w:rFonts w:ascii="宋体" w:hAnsi="宋体" w:eastAsia="宋体" w:cs="宋体"/>
      <w:sz w:val="18"/>
      <w:szCs w:val="18"/>
      <w:lang w:val="zh-CN" w:bidi="zh-CN"/>
    </w:rPr>
  </w:style>
  <w:style w:type="paragraph" w:styleId="4">
    <w:name w:val="Body Text Indent"/>
    <w:basedOn w:val="1"/>
    <w:unhideWhenUsed/>
    <w:qFormat/>
    <w:uiPriority w:val="99"/>
    <w:pPr>
      <w:spacing w:after="120"/>
      <w:ind w:left="420" w:leftChars="200"/>
    </w:pPr>
    <w:rPr>
      <w:rFonts w:ascii="Calibri" w:hAnsi="Calibri"/>
    </w:rPr>
  </w:style>
  <w:style w:type="paragraph" w:styleId="5">
    <w:name w:val="Balloon Text"/>
    <w:basedOn w:val="1"/>
    <w:link w:val="17"/>
    <w:semiHidden/>
    <w:unhideWhenUsed/>
    <w:qFormat/>
    <w:uiPriority w:val="99"/>
    <w:rPr>
      <w:sz w:val="18"/>
      <w:szCs w:val="18"/>
    </w:rPr>
  </w:style>
  <w:style w:type="paragraph" w:styleId="6">
    <w:name w:val="footer"/>
    <w:basedOn w:val="1"/>
    <w:link w:val="16"/>
    <w:unhideWhenUsed/>
    <w:qFormat/>
    <w:uiPriority w:val="99"/>
    <w:pPr>
      <w:tabs>
        <w:tab w:val="center" w:pos="4153"/>
        <w:tab w:val="right" w:pos="8306"/>
      </w:tabs>
      <w:snapToGrid w:val="0"/>
    </w:pPr>
    <w:rPr>
      <w:sz w:val="18"/>
      <w:szCs w:val="18"/>
    </w:rPr>
  </w:style>
  <w:style w:type="paragraph" w:styleId="7">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spacing w:line="360" w:lineRule="auto"/>
    </w:pPr>
    <w:rPr>
      <w:rFonts w:ascii="宋体" w:hAnsi="宋体" w:cs="宋体"/>
      <w:sz w:val="24"/>
      <w:szCs w:val="24"/>
    </w:rPr>
  </w:style>
  <w:style w:type="paragraph" w:styleId="9">
    <w:name w:val="Body Text First Indent"/>
    <w:basedOn w:val="3"/>
    <w:unhideWhenUsed/>
    <w:qFormat/>
    <w:uiPriority w:val="99"/>
    <w:pPr>
      <w:ind w:firstLine="420" w:firstLineChars="100"/>
    </w:pPr>
  </w:style>
  <w:style w:type="paragraph" w:styleId="10">
    <w:name w:val="Body Text First Indent 2"/>
    <w:basedOn w:val="4"/>
    <w:next w:val="9"/>
    <w:qFormat/>
    <w:uiPriority w:val="99"/>
    <w:pPr>
      <w:ind w:firstLine="420"/>
    </w:pPr>
  </w:style>
  <w:style w:type="character" w:styleId="13">
    <w:name w:val="Strong"/>
    <w:basedOn w:val="12"/>
    <w:qFormat/>
    <w:uiPriority w:val="22"/>
    <w:rPr>
      <w:b/>
      <w:bCs/>
    </w:rPr>
  </w:style>
  <w:style w:type="character" w:styleId="14">
    <w:name w:val="annotation reference"/>
    <w:basedOn w:val="12"/>
    <w:qFormat/>
    <w:uiPriority w:val="99"/>
    <w:rPr>
      <w:rFonts w:ascii="Tahoma" w:hAnsi="Tahoma"/>
      <w:kern w:val="2"/>
      <w:sz w:val="21"/>
      <w:szCs w:val="21"/>
    </w:rPr>
  </w:style>
  <w:style w:type="character" w:customStyle="1" w:styleId="15">
    <w:name w:val="页眉 字符"/>
    <w:basedOn w:val="12"/>
    <w:link w:val="7"/>
    <w:qFormat/>
    <w:uiPriority w:val="99"/>
    <w:rPr>
      <w:sz w:val="18"/>
      <w:szCs w:val="18"/>
    </w:rPr>
  </w:style>
  <w:style w:type="character" w:customStyle="1" w:styleId="16">
    <w:name w:val="页脚 字符"/>
    <w:basedOn w:val="12"/>
    <w:link w:val="6"/>
    <w:qFormat/>
    <w:uiPriority w:val="99"/>
    <w:rPr>
      <w:sz w:val="18"/>
      <w:szCs w:val="18"/>
    </w:rPr>
  </w:style>
  <w:style w:type="character" w:customStyle="1" w:styleId="17">
    <w:name w:val="批注框文本 字符"/>
    <w:basedOn w:val="12"/>
    <w:link w:val="5"/>
    <w:semiHidden/>
    <w:qFormat/>
    <w:uiPriority w:val="99"/>
    <w:rPr>
      <w:sz w:val="18"/>
      <w:szCs w:val="18"/>
    </w:rPr>
  </w:style>
  <w:style w:type="character" w:customStyle="1" w:styleId="18">
    <w:name w:val="批注文字 字符"/>
    <w:basedOn w:val="12"/>
    <w:link w:val="2"/>
    <w:qFormat/>
    <w:uiPriority w:val="0"/>
    <w:rPr>
      <w:rFonts w:ascii="Times New Roman" w:hAnsi="Times New Roman" w:eastAsia="宋体" w:cs="Times New Roman"/>
      <w:kern w:val="0"/>
      <w:sz w:val="20"/>
      <w:szCs w:val="20"/>
    </w:rPr>
  </w:style>
  <w:style w:type="paragraph" w:customStyle="1" w:styleId="19">
    <w:name w:val="表格文字"/>
    <w:basedOn w:val="1"/>
    <w:qFormat/>
    <w:uiPriority w:val="0"/>
    <w:pPr>
      <w:widowControl w:val="0"/>
      <w:spacing w:before="25" w:after="25"/>
    </w:pPr>
    <w:rPr>
      <w:rFonts w:ascii="Calibri" w:hAnsi="Calibri"/>
      <w:bCs/>
      <w:spacing w:val="10"/>
      <w:sz w:val="24"/>
    </w:rPr>
  </w:style>
  <w:style w:type="paragraph" w:customStyle="1" w:styleId="20">
    <w:name w:val="null3"/>
    <w:hidden/>
    <w:qFormat/>
    <w:uiPriority w:val="0"/>
    <w:rPr>
      <w:rFonts w:hint="eastAsia" w:asciiTheme="minorHAnsi" w:hAnsiTheme="minorHAnsi" w:eastAsiaTheme="minorEastAsia" w:cstheme="minorBidi"/>
      <w:lang w:val="en-US" w:eastAsia="zh-Hans" w:bidi="ar-SA"/>
    </w:rPr>
  </w:style>
  <w:style w:type="paragraph" w:customStyle="1" w:styleId="21">
    <w:name w:val="正文_0"/>
    <w:basedOn w:val="1"/>
    <w:next w:val="1"/>
    <w:qFormat/>
    <w:uiPriority w:val="0"/>
    <w:pPr>
      <w:spacing w:line="360" w:lineRule="auto"/>
    </w:pPr>
    <w:rPr>
      <w:rFonts w:eastAsia="仿宋_GB2312"/>
      <w:sz w:val="32"/>
      <w:szCs w:val="32"/>
    </w:rPr>
  </w:style>
  <w:style w:type="paragraph" w:customStyle="1" w:styleId="22">
    <w:name w:val="正文_1"/>
    <w:next w:val="10"/>
    <w:qFormat/>
    <w:uiPriority w:val="0"/>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919</Words>
  <Characters>952</Characters>
  <Lines>13</Lines>
  <Paragraphs>7</Paragraphs>
  <TotalTime>0</TotalTime>
  <ScaleCrop>false</ScaleCrop>
  <LinksUpToDate>false</LinksUpToDate>
  <CharactersWithSpaces>954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周毅框</cp:lastModifiedBy>
  <dcterms:modified xsi:type="dcterms:W3CDTF">2026-05-12T10:55:30Z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D0B24ECC7FBA465F9B83A64BA81C0144_13</vt:lpwstr>
  </property>
  <property fmtid="{D5CDD505-2E9C-101B-9397-08002B2CF9AE}" pid="4" name="KSOTemplateDocerSaveRecord">
    <vt:lpwstr>eyJoZGlkIjoiN2ViNDU4OWNjYTJmOTRiZDdlNzI2ZGJjNmM5OTVmYjMiLCJ1c2VySWQiOiIxNTQ4NTAyNDYzIn0=</vt:lpwstr>
  </property>
</Properties>
</file>