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版本号：N513324202500009320251113001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九龙县县属国有企业改革法律咨询、稳评、清查核资服务采购项目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N5133242025000093</w:t>
      </w:r>
    </w:p>
    <w:p>
      <w:pPr>
        <w:pStyle w:val="null3"/>
        <w:jc w:val="center"/>
        <w:outlineLvl w:val="2"/>
      </w:pPr>
      <w:r>
        <w:rPr>
          <w:rFonts w:ascii="仿宋_GB2312" w:hAnsi="仿宋_GB2312" w:cs="仿宋_GB2312" w:eastAsia="仿宋_GB2312"/>
          <w:sz w:val="28"/>
          <w:b/>
        </w:rPr>
        <w:t>九龙县财政局</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九龙县财政局</w:t>
      </w:r>
      <w:r>
        <w:rPr>
          <w:rFonts w:ascii="仿宋_GB2312" w:hAnsi="仿宋_GB2312" w:cs="仿宋_GB2312" w:eastAsia="仿宋_GB2312"/>
        </w:rPr>
        <w:t xml:space="preserve"> 委托，拟对 </w:t>
      </w:r>
      <w:r>
        <w:rPr>
          <w:rFonts w:ascii="仿宋_GB2312" w:hAnsi="仿宋_GB2312" w:cs="仿宋_GB2312" w:eastAsia="仿宋_GB2312"/>
        </w:rPr>
        <w:t>九龙县县属国有企业改革法律咨询、稳评、清查核资服务采购项目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甘孜藏族自治州九龙县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N5133242025000093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九龙县县属国有企业改革法律咨询、稳评、清查核资服务采购项目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本项目共计1个采购包，拟确定1名成交供应商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联合体参与（描述：本项目允许联合体参加：（1）联合体成员不超过3家（含牵头人）；（2）以联合体形式参加磋商的，联合体各方均应当符合《中华人民共和国政府采购法》第二十二条第一款规定的条件，并提交联合体协议，载明联合体各方承担的工作和相应的责任。【电子响应文件编制要求：①联合体各方均须按要求填写《投标（响应）函》，其中联合体牵头单位需在投标客户端中按要求在线填写《投标（响应）函》并进行电子签章；联合体成员单位须按照第六章响应文件格式《投标（响应）函》线下填写并加盖公章，盖章完成后扫描上传编制于第六章响应文件格式《供应商应提交的相关资格证明材料》。②因系统原因，联合体协议需线下签订并加盖各方公章，签订完成后，扫描上传并编制于第六章响应文件格式《供应商应提交的相关资格证明材料》】（3）联合体中有同类资质的供应商按照联合体分工承担相同工作的，应当按照资质等级较低的供应商确定资质等级。（4）同一个包内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2、供应商（或联合体成员）具有司法行政机关核发且经年检合格的《律师事务所执业许可证》（描述：提供司法行政机关核发且经年检合格的《律师事务所执业许可证》的证书扫描件并加盖供应商电子公章。）</w:t>
      </w:r>
    </w:p>
    <w:p>
      <w:pPr>
        <w:pStyle w:val="null3"/>
        <w:jc w:val="left"/>
      </w:pPr>
      <w:r>
        <w:rPr>
          <w:rFonts w:ascii="仿宋_GB2312" w:hAnsi="仿宋_GB2312" w:cs="仿宋_GB2312" w:eastAsia="仿宋_GB2312"/>
        </w:rPr>
        <w:t>3、供应商（或联合体成员）具有行政主管部门颁发的有效期内的《会计师事务所执业证书》（描述：行政主管部门颁发的有效期内的《会计师事务所执业证书》的证书扫描件并加盖供应商电子公章。）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九龙县财政局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九龙县呷尔镇团结下街51号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0836-3328469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1.项目负责：伍毅、王珑环；2.技术审核：黄茜、张维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1.项目负责：028-83413045；2.公司监察合规部：028-62306011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代理服务费收费标准：按照《四川省政府采购营商环境指标提升专项行动工作方案》中关于代理服务费的相关规定，本项目按固定金额10800元收取。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九龙县财政局</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九龙县财政局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成交供应商完成项目所有工作内容提出验收申请之日起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按照本项目采购文件中“服务要求”及成交供应商的响应文件进行验收。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四川省财政厅《财政部关于进一步加强政府采购需求和履约验收管理的指导意见》（财库〔2016〕205号）和国家、省市有关规定、采购文件的质量要求和技术指标、供应商的响应文件及承诺以及合同约定标准，按年度进行考核，并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九龙县财政局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 0836-3328469</w:t>
      </w:r>
    </w:p>
    <w:p>
      <w:pPr>
        <w:pStyle w:val="null3"/>
        <w:jc w:val="left"/>
      </w:pPr>
      <w:r>
        <w:rPr>
          <w:rFonts w:ascii="仿宋_GB2312" w:hAnsi="仿宋_GB2312" w:cs="仿宋_GB2312" w:eastAsia="仿宋_GB2312"/>
        </w:rPr>
        <w:t>地址：九龙县呷尔镇团结下街51号</w:t>
      </w:r>
    </w:p>
    <w:p>
      <w:pPr>
        <w:pStyle w:val="null3"/>
        <w:jc w:val="left"/>
      </w:pPr>
      <w:r>
        <w:rPr>
          <w:rFonts w:ascii="仿宋_GB2312" w:hAnsi="仿宋_GB2312" w:cs="仿宋_GB2312" w:eastAsia="仿宋_GB2312"/>
        </w:rPr>
        <w:t>邮编：626200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联系电话：028-83413045</w:t>
      </w:r>
    </w:p>
    <w:p>
      <w:pPr>
        <w:pStyle w:val="null3"/>
        <w:jc w:val="left"/>
      </w:pPr>
      <w:r>
        <w:rPr>
          <w:rFonts w:ascii="仿宋_GB2312" w:hAnsi="仿宋_GB2312" w:cs="仿宋_GB2312" w:eastAsia="仿宋_GB2312"/>
        </w:rPr>
        <w:t>地址：四川省成都市金牛区茶店子西街36号金璐天下1栋2单元18层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720,000.00</w:t>
      </w:r>
    </w:p>
    <w:p>
      <w:pPr>
        <w:pStyle w:val="null3"/>
        <w:jc w:val="left"/>
      </w:pPr>
      <w:r>
        <w:rPr>
          <w:rFonts w:ascii="仿宋_GB2312" w:hAnsi="仿宋_GB2312" w:cs="仿宋_GB2312" w:eastAsia="仿宋_GB2312"/>
        </w:rPr>
        <w:t>采购包最高限价（元）: 720,000.00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C20030300 法律咨询服务</w:t>
            </w:r>
          </w:p>
        </w:tc>
        <w:tc>
          <w:tcPr>
            <w:tcW w:type="dxa" w:w="821"/>
          </w:tcPr>
          <w:p>
            <w:pPr>
              <w:pStyle w:val="null3"/>
              <w:jc w:val="left"/>
            </w:pPr>
            <w:r>
              <w:rPr>
                <w:rFonts w:ascii="仿宋_GB2312" w:hAnsi="仿宋_GB2312" w:cs="仿宋_GB2312" w:eastAsia="仿宋_GB2312"/>
              </w:rPr>
              <w:t>法律咨询服务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C20030100 会计咨询服务</w:t>
            </w:r>
          </w:p>
        </w:tc>
        <w:tc>
          <w:tcPr>
            <w:tcW w:type="dxa" w:w="821"/>
          </w:tcPr>
          <w:p>
            <w:pPr>
              <w:pStyle w:val="null3"/>
              <w:jc w:val="left"/>
            </w:pPr>
            <w:r>
              <w:rPr>
                <w:rFonts w:ascii="仿宋_GB2312" w:hAnsi="仿宋_GB2312" w:cs="仿宋_GB2312" w:eastAsia="仿宋_GB2312"/>
              </w:rPr>
              <w:t>专项清产核资审计服务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社会稳定风险评估服务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法律咨询服务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专项清产核资审计服务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社会稳定风险评估服务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标的名称：法律咨询服务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法律咨询服务</w:t>
            </w:r>
          </w:p>
        </w:tc>
        <w:tc>
          <w:tcPr>
            <w:tcW w:type="dxa" w:w="5814"/>
          </w:tcPr>
          <w:p>
            <w:pPr>
              <w:pStyle w:val="null3"/>
              <w:ind w:left="-105" w:firstLine="106"/>
              <w:jc w:val="both"/>
            </w:pPr>
            <w:r>
              <w:rPr>
                <w:rFonts w:ascii="仿宋_GB2312" w:hAnsi="仿宋_GB2312" w:cs="仿宋_GB2312" w:eastAsia="仿宋_GB2312"/>
                <w:sz w:val="28"/>
              </w:rPr>
              <w:t>（一）协助</w:t>
            </w:r>
            <w:r>
              <w:rPr>
                <w:rFonts w:ascii="仿宋_GB2312" w:hAnsi="仿宋_GB2312" w:cs="仿宋_GB2312" w:eastAsia="仿宋_GB2312"/>
                <w:sz w:val="28"/>
              </w:rPr>
              <w:t>采购人</w:t>
            </w:r>
            <w:r>
              <w:rPr>
                <w:rFonts w:ascii="仿宋_GB2312" w:hAnsi="仿宋_GB2312" w:cs="仿宋_GB2312" w:eastAsia="仿宋_GB2312"/>
                <w:sz w:val="28"/>
              </w:rPr>
              <w:t>完善国企改革方案。</w:t>
            </w:r>
          </w:p>
          <w:p>
            <w:pPr>
              <w:pStyle w:val="null3"/>
              <w:ind w:left="-105" w:firstLine="106"/>
              <w:jc w:val="both"/>
            </w:pPr>
            <w:r>
              <w:rPr>
                <w:rFonts w:ascii="仿宋_GB2312" w:hAnsi="仿宋_GB2312" w:cs="仿宋_GB2312" w:eastAsia="仿宋_GB2312"/>
                <w:sz w:val="28"/>
              </w:rPr>
              <w:t>（二）对本次涉改的</w:t>
            </w:r>
            <w:r>
              <w:rPr>
                <w:rFonts w:ascii="仿宋_GB2312" w:hAnsi="仿宋_GB2312" w:cs="仿宋_GB2312" w:eastAsia="仿宋_GB2312"/>
                <w:sz w:val="28"/>
              </w:rPr>
              <w:t>6</w:t>
            </w:r>
            <w:r>
              <w:rPr>
                <w:rFonts w:ascii="仿宋_GB2312" w:hAnsi="仿宋_GB2312" w:cs="仿宋_GB2312" w:eastAsia="仿宋_GB2312"/>
                <w:sz w:val="28"/>
              </w:rPr>
              <w:t>家国有企业（九龙县新跃测绘有限公司、四川省九龙县物资总公司、四川省九龙县志合人力资源有限公司、九龙县隆跃城市管理服务有限公司、九龙县国有资产投资经营有限责任公司、九龙县大成砂石销售有限责任公司）的基本现状进行清查摸排，形成尽职调查报告</w:t>
            </w:r>
            <w:r>
              <w:rPr>
                <w:rFonts w:ascii="仿宋_GB2312" w:hAnsi="仿宋_GB2312" w:cs="仿宋_GB2312" w:eastAsia="仿宋_GB2312"/>
                <w:sz w:val="28"/>
              </w:rPr>
              <w:t>，并将报告的电子档</w:t>
            </w:r>
            <w:r>
              <w:rPr>
                <w:rFonts w:ascii="仿宋_GB2312" w:hAnsi="仿宋_GB2312" w:cs="仿宋_GB2312" w:eastAsia="仿宋_GB2312"/>
                <w:sz w:val="28"/>
              </w:rPr>
              <w:t>1</w:t>
            </w:r>
            <w:r>
              <w:rPr>
                <w:rFonts w:ascii="仿宋_GB2312" w:hAnsi="仿宋_GB2312" w:cs="仿宋_GB2312" w:eastAsia="仿宋_GB2312"/>
                <w:sz w:val="28"/>
              </w:rPr>
              <w:t>份、纸质资料</w:t>
            </w:r>
            <w:r>
              <w:rPr>
                <w:rFonts w:ascii="仿宋_GB2312" w:hAnsi="仿宋_GB2312" w:cs="仿宋_GB2312" w:eastAsia="仿宋_GB2312"/>
                <w:sz w:val="28"/>
              </w:rPr>
              <w:t>3</w:t>
            </w:r>
            <w:r>
              <w:rPr>
                <w:rFonts w:ascii="仿宋_GB2312" w:hAnsi="仿宋_GB2312" w:cs="仿宋_GB2312" w:eastAsia="仿宋_GB2312"/>
                <w:sz w:val="28"/>
              </w:rPr>
              <w:t>份移交至采购人</w:t>
            </w:r>
            <w:r>
              <w:rPr>
                <w:rFonts w:ascii="仿宋_GB2312" w:hAnsi="仿宋_GB2312" w:cs="仿宋_GB2312" w:eastAsia="仿宋_GB2312"/>
                <w:sz w:val="28"/>
              </w:rPr>
              <w:t>。</w:t>
            </w:r>
          </w:p>
          <w:p>
            <w:pPr>
              <w:pStyle w:val="null3"/>
              <w:ind w:left="-105" w:firstLine="106"/>
              <w:jc w:val="both"/>
            </w:pPr>
            <w:r>
              <w:rPr>
                <w:rFonts w:ascii="仿宋_GB2312" w:hAnsi="仿宋_GB2312" w:cs="仿宋_GB2312" w:eastAsia="仿宋_GB2312"/>
                <w:sz w:val="28"/>
              </w:rPr>
              <w:t>（三）在调查的基础上，依据改革方案，结合财务、税务等咨询机构的结论意见，拟定重组方案（包括人员安置、债务处置等必要事项）。</w:t>
            </w:r>
          </w:p>
          <w:p>
            <w:pPr>
              <w:pStyle w:val="null3"/>
              <w:ind w:left="-105" w:firstLine="106"/>
              <w:jc w:val="both"/>
            </w:pPr>
            <w:r>
              <w:rPr>
                <w:rFonts w:ascii="仿宋_GB2312" w:hAnsi="仿宋_GB2312" w:cs="仿宋_GB2312" w:eastAsia="仿宋_GB2312"/>
                <w:sz w:val="28"/>
              </w:rPr>
              <w:t>（四）对重组过程中涉及的公司新设、合并分立、注销、产权（资产）划转</w:t>
            </w:r>
            <w:r>
              <w:rPr>
                <w:rFonts w:ascii="仿宋_GB2312" w:hAnsi="仿宋_GB2312" w:cs="仿宋_GB2312" w:eastAsia="仿宋_GB2312"/>
                <w:sz w:val="28"/>
              </w:rPr>
              <w:t>等</w:t>
            </w:r>
            <w:r>
              <w:rPr>
                <w:rFonts w:ascii="仿宋_GB2312" w:hAnsi="仿宋_GB2312" w:cs="仿宋_GB2312" w:eastAsia="仿宋_GB2312"/>
                <w:sz w:val="28"/>
              </w:rPr>
              <w:t>流程的合规性进行把关，负责起草相关流程所需的文书文本（合并分立方案、可行性研究报告、无偿划转协议、各类会议决议模板、债务处置方案、人员安置方案）。</w:t>
            </w:r>
          </w:p>
          <w:p>
            <w:pPr>
              <w:pStyle w:val="null3"/>
              <w:ind w:left="-105" w:firstLine="106"/>
              <w:jc w:val="both"/>
            </w:pPr>
            <w:r>
              <w:rPr>
                <w:rFonts w:ascii="仿宋_GB2312" w:hAnsi="仿宋_GB2312" w:cs="仿宋_GB2312" w:eastAsia="仿宋_GB2312"/>
                <w:sz w:val="28"/>
              </w:rPr>
              <w:t>（五）按要求拟定重组后的各级公司的章程。</w:t>
            </w:r>
          </w:p>
          <w:p>
            <w:pPr>
              <w:pStyle w:val="null3"/>
              <w:ind w:left="-105" w:firstLine="106"/>
              <w:jc w:val="both"/>
            </w:pPr>
            <w:r>
              <w:rPr>
                <w:rFonts w:ascii="仿宋_GB2312" w:hAnsi="仿宋_GB2312" w:cs="仿宋_GB2312" w:eastAsia="仿宋_GB2312"/>
                <w:sz w:val="28"/>
              </w:rPr>
              <w:t>（六）代为拟定、审查改革方案中涉及的由采购人直接牵头制定或完善的各项国资管理制度。</w:t>
            </w:r>
          </w:p>
          <w:p>
            <w:pPr>
              <w:pStyle w:val="null3"/>
              <w:ind w:left="-105" w:firstLine="106"/>
              <w:jc w:val="both"/>
            </w:pPr>
            <w:r>
              <w:rPr>
                <w:rFonts w:ascii="仿宋_GB2312" w:hAnsi="仿宋_GB2312" w:cs="仿宋_GB2312" w:eastAsia="仿宋_GB2312"/>
                <w:sz w:val="28"/>
              </w:rPr>
              <w:t>（七）根据采购人的要求，出席必要决策会议、协调会议、工作推进会议</w:t>
            </w:r>
            <w:r>
              <w:rPr>
                <w:rFonts w:ascii="仿宋_GB2312" w:hAnsi="仿宋_GB2312" w:cs="仿宋_GB2312" w:eastAsia="仿宋_GB2312"/>
                <w:sz w:val="28"/>
              </w:rPr>
              <w:t>。</w:t>
            </w:r>
          </w:p>
          <w:p>
            <w:pPr>
              <w:pStyle w:val="null3"/>
              <w:ind w:left="-105" w:firstLine="106"/>
              <w:jc w:val="both"/>
            </w:pPr>
            <w:r>
              <w:rPr>
                <w:rFonts w:ascii="仿宋_GB2312" w:hAnsi="仿宋_GB2312" w:cs="仿宋_GB2312" w:eastAsia="仿宋_GB2312"/>
                <w:sz w:val="28"/>
              </w:rPr>
              <w:t>（八）根据采购人的要求和需求，及时汇报项目进度情况</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（九）针对涉改</w:t>
            </w:r>
            <w:r>
              <w:rPr>
                <w:rFonts w:ascii="仿宋_GB2312" w:hAnsi="仿宋_GB2312" w:cs="仿宋_GB2312" w:eastAsia="仿宋_GB2312"/>
                <w:sz w:val="28"/>
              </w:rPr>
              <w:t>6</w:t>
            </w:r>
            <w:r>
              <w:rPr>
                <w:rFonts w:ascii="仿宋_GB2312" w:hAnsi="仿宋_GB2312" w:cs="仿宋_GB2312" w:eastAsia="仿宋_GB2312"/>
                <w:sz w:val="28"/>
              </w:rPr>
              <w:t>家企业，协助采购人完成的其他必要事项。</w:t>
            </w:r>
          </w:p>
        </w:tc>
      </w:tr>
    </w:tbl>
    <w:p>
      <w:pPr>
        <w:pStyle w:val="null3"/>
        <w:jc w:val="left"/>
      </w:pPr>
      <w:r>
        <w:rPr>
          <w:rFonts w:ascii="仿宋_GB2312" w:hAnsi="仿宋_GB2312" w:cs="仿宋_GB2312" w:eastAsia="仿宋_GB2312"/>
        </w:rPr>
        <w:t>标的名称：专项清产核资审计服务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专项清产核资审计服务</w:t>
            </w:r>
          </w:p>
        </w:tc>
        <w:tc>
          <w:tcPr>
            <w:tcW w:type="dxa" w:w="5814"/>
          </w:tcPr>
          <w:p>
            <w:pPr>
              <w:pStyle w:val="null3"/>
              <w:ind w:left="-105" w:firstLine="106"/>
              <w:jc w:val="both"/>
            </w:pPr>
            <w:r>
              <w:rPr>
                <w:rFonts w:ascii="仿宋_GB2312" w:hAnsi="仿宋_GB2312" w:cs="仿宋_GB2312" w:eastAsia="仿宋_GB2312"/>
                <w:sz w:val="28"/>
              </w:rPr>
              <w:t>（一）依据现行法律法规、会计政策规定对本次涉改的</w:t>
            </w:r>
            <w:r>
              <w:rPr>
                <w:rFonts w:ascii="仿宋_GB2312" w:hAnsi="仿宋_GB2312" w:cs="仿宋_GB2312" w:eastAsia="仿宋_GB2312"/>
                <w:sz w:val="28"/>
              </w:rPr>
              <w:t>6</w:t>
            </w:r>
            <w:r>
              <w:rPr>
                <w:rFonts w:ascii="仿宋_GB2312" w:hAnsi="仿宋_GB2312" w:cs="仿宋_GB2312" w:eastAsia="仿宋_GB2312"/>
                <w:sz w:val="28"/>
              </w:rPr>
              <w:t>家国有企业（九龙县新跃测绘有限公司、四川省九龙县物资总公司、四川省九龙县志合人力资源有限公司、九龙县隆跃城市管理服务有限公司、九龙县国有资产投资经营有限责任公司、九龙县大成砂石销售有限责任公司）进行清产核资并单独编制《清产核资专项审计报告》</w:t>
            </w:r>
            <w:r>
              <w:rPr>
                <w:rFonts w:ascii="仿宋_GB2312" w:hAnsi="仿宋_GB2312" w:cs="仿宋_GB2312" w:eastAsia="仿宋_GB2312"/>
                <w:sz w:val="28"/>
              </w:rPr>
              <w:t>，并将报告的电子档</w:t>
            </w:r>
            <w:r>
              <w:rPr>
                <w:rFonts w:ascii="仿宋_GB2312" w:hAnsi="仿宋_GB2312" w:cs="仿宋_GB2312" w:eastAsia="仿宋_GB2312"/>
                <w:sz w:val="28"/>
              </w:rPr>
              <w:t>1</w:t>
            </w:r>
            <w:r>
              <w:rPr>
                <w:rFonts w:ascii="仿宋_GB2312" w:hAnsi="仿宋_GB2312" w:cs="仿宋_GB2312" w:eastAsia="仿宋_GB2312"/>
                <w:sz w:val="28"/>
              </w:rPr>
              <w:t>份、纸质资料</w:t>
            </w:r>
            <w:r>
              <w:rPr>
                <w:rFonts w:ascii="仿宋_GB2312" w:hAnsi="仿宋_GB2312" w:cs="仿宋_GB2312" w:eastAsia="仿宋_GB2312"/>
                <w:sz w:val="28"/>
              </w:rPr>
              <w:t>3</w:t>
            </w:r>
            <w:r>
              <w:rPr>
                <w:rFonts w:ascii="仿宋_GB2312" w:hAnsi="仿宋_GB2312" w:cs="仿宋_GB2312" w:eastAsia="仿宋_GB2312"/>
                <w:sz w:val="28"/>
              </w:rPr>
              <w:t>份移交至采购人</w:t>
            </w:r>
            <w:r>
              <w:rPr>
                <w:rFonts w:ascii="仿宋_GB2312" w:hAnsi="仿宋_GB2312" w:cs="仿宋_GB2312" w:eastAsia="仿宋_GB2312"/>
                <w:sz w:val="28"/>
              </w:rPr>
              <w:t>。</w:t>
            </w:r>
          </w:p>
          <w:p>
            <w:pPr>
              <w:pStyle w:val="null3"/>
              <w:ind w:left="-105" w:firstLine="106"/>
              <w:jc w:val="both"/>
            </w:pPr>
            <w:r>
              <w:rPr>
                <w:rFonts w:ascii="仿宋_GB2312" w:hAnsi="仿宋_GB2312" w:cs="仿宋_GB2312" w:eastAsia="仿宋_GB2312"/>
                <w:sz w:val="28"/>
              </w:rPr>
              <w:t>（二）对本项目所涉财务事项、税务事项提供咨询服务。</w:t>
            </w:r>
          </w:p>
          <w:p>
            <w:pPr>
              <w:pStyle w:val="null3"/>
              <w:ind w:left="-105" w:firstLine="106"/>
              <w:jc w:val="both"/>
            </w:pPr>
            <w:r>
              <w:rPr>
                <w:rFonts w:ascii="仿宋_GB2312" w:hAnsi="仿宋_GB2312" w:cs="仿宋_GB2312" w:eastAsia="仿宋_GB2312"/>
                <w:sz w:val="28"/>
              </w:rPr>
              <w:t>（三）根据采购人要求，出席必要的工作决策会、协调会、工作推进会。</w:t>
            </w:r>
          </w:p>
          <w:p>
            <w:pPr>
              <w:pStyle w:val="null3"/>
              <w:ind w:left="-105" w:firstLine="106"/>
              <w:jc w:val="both"/>
            </w:pPr>
            <w:r>
              <w:rPr>
                <w:rFonts w:ascii="仿宋_GB2312" w:hAnsi="仿宋_GB2312" w:cs="仿宋_GB2312" w:eastAsia="仿宋_GB2312"/>
                <w:sz w:val="28"/>
              </w:rPr>
              <w:t>（四）针对清查出的各项问题提出相关解决建议与意见。</w:t>
            </w:r>
          </w:p>
          <w:p>
            <w:pPr>
              <w:pStyle w:val="null3"/>
              <w:ind w:left="-105" w:firstLine="106"/>
              <w:jc w:val="both"/>
            </w:pPr>
            <w:r>
              <w:rPr>
                <w:rFonts w:ascii="仿宋_GB2312" w:hAnsi="仿宋_GB2312" w:cs="仿宋_GB2312" w:eastAsia="仿宋_GB2312"/>
                <w:sz w:val="28"/>
              </w:rPr>
              <w:t>（五）配合调查涉改企业财务相关风险事项。</w:t>
            </w:r>
          </w:p>
          <w:p>
            <w:pPr>
              <w:pStyle w:val="null3"/>
              <w:ind w:left="-105" w:firstLine="106"/>
              <w:jc w:val="both"/>
            </w:pPr>
            <w:r>
              <w:rPr>
                <w:rFonts w:ascii="仿宋_GB2312" w:hAnsi="仿宋_GB2312" w:cs="仿宋_GB2312" w:eastAsia="仿宋_GB2312"/>
                <w:sz w:val="28"/>
              </w:rPr>
              <w:t>（六）对重组后的资产划转及账务调整提供指导等。</w:t>
            </w:r>
          </w:p>
          <w:p>
            <w:pPr>
              <w:pStyle w:val="null3"/>
              <w:ind w:left="-105" w:firstLine="106"/>
              <w:jc w:val="both"/>
            </w:pPr>
            <w:r>
              <w:rPr>
                <w:rFonts w:ascii="仿宋_GB2312" w:hAnsi="仿宋_GB2312" w:cs="仿宋_GB2312" w:eastAsia="仿宋_GB2312"/>
                <w:sz w:val="28"/>
              </w:rPr>
              <w:t>（七）根据采购人的要求和需求，及时汇报项目进度情况。</w:t>
            </w:r>
          </w:p>
          <w:p>
            <w:pPr>
              <w:pStyle w:val="null3"/>
              <w:jc w:val="both"/>
            </w:pPr>
            <w:r>
              <w:rPr>
                <w:rFonts w:ascii="仿宋_GB2312" w:hAnsi="仿宋_GB2312" w:cs="仿宋_GB2312" w:eastAsia="仿宋_GB2312"/>
                <w:sz w:val="28"/>
              </w:rPr>
              <w:t>（八）针对涉改</w:t>
            </w:r>
            <w:r>
              <w:rPr>
                <w:rFonts w:ascii="仿宋_GB2312" w:hAnsi="仿宋_GB2312" w:cs="仿宋_GB2312" w:eastAsia="仿宋_GB2312"/>
                <w:sz w:val="28"/>
              </w:rPr>
              <w:t>6</w:t>
            </w:r>
            <w:r>
              <w:rPr>
                <w:rFonts w:ascii="仿宋_GB2312" w:hAnsi="仿宋_GB2312" w:cs="仿宋_GB2312" w:eastAsia="仿宋_GB2312"/>
                <w:sz w:val="28"/>
              </w:rPr>
              <w:t>家企业，协助采购人完成的其他必要事项。</w:t>
            </w:r>
          </w:p>
        </w:tc>
      </w:tr>
    </w:tbl>
    <w:p>
      <w:pPr>
        <w:pStyle w:val="null3"/>
        <w:jc w:val="left"/>
      </w:pPr>
      <w:r>
        <w:rPr>
          <w:rFonts w:ascii="仿宋_GB2312" w:hAnsi="仿宋_GB2312" w:cs="仿宋_GB2312" w:eastAsia="仿宋_GB2312"/>
        </w:rPr>
        <w:t>标的名称：社会稳定风险评估服务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社会稳定风险评估服务</w:t>
            </w:r>
          </w:p>
        </w:tc>
        <w:tc>
          <w:tcPr>
            <w:tcW w:type="dxa" w:w="5814"/>
          </w:tcPr>
          <w:p>
            <w:pPr>
              <w:pStyle w:val="null3"/>
              <w:ind w:left="-105" w:firstLine="106"/>
              <w:jc w:val="both"/>
            </w:pPr>
            <w:r>
              <w:rPr>
                <w:rFonts w:ascii="仿宋_GB2312" w:hAnsi="仿宋_GB2312" w:cs="仿宋_GB2312" w:eastAsia="仿宋_GB2312"/>
                <w:sz w:val="28"/>
              </w:rPr>
              <w:t>（一）政府重大决策层面</w:t>
            </w:r>
          </w:p>
          <w:p>
            <w:pPr>
              <w:pStyle w:val="null3"/>
              <w:ind w:left="-105" w:firstLine="106"/>
              <w:jc w:val="both"/>
            </w:pPr>
            <w:r>
              <w:rPr>
                <w:rFonts w:ascii="仿宋_GB2312" w:hAnsi="仿宋_GB2312" w:cs="仿宋_GB2312" w:eastAsia="仿宋_GB2312"/>
                <w:sz w:val="28"/>
              </w:rPr>
              <w:t>1.</w:t>
            </w:r>
            <w:r>
              <w:rPr>
                <w:rFonts w:ascii="仿宋_GB2312" w:hAnsi="仿宋_GB2312" w:cs="仿宋_GB2312" w:eastAsia="仿宋_GB2312"/>
                <w:sz w:val="28"/>
              </w:rPr>
              <w:t>针对本次国企改革方案，制定社会稳定风险评估工作方案；</w:t>
            </w:r>
          </w:p>
          <w:p>
            <w:pPr>
              <w:pStyle w:val="null3"/>
              <w:ind w:left="-105" w:firstLine="106"/>
              <w:jc w:val="both"/>
            </w:pPr>
            <w:r>
              <w:rPr>
                <w:rFonts w:ascii="仿宋_GB2312" w:hAnsi="仿宋_GB2312" w:cs="仿宋_GB2312" w:eastAsia="仿宋_GB2312"/>
                <w:sz w:val="28"/>
              </w:rPr>
              <w:t>2.</w:t>
            </w:r>
            <w:r>
              <w:rPr>
                <w:rFonts w:ascii="仿宋_GB2312" w:hAnsi="仿宋_GB2312" w:cs="仿宋_GB2312" w:eastAsia="仿宋_GB2312"/>
                <w:sz w:val="28"/>
              </w:rPr>
              <w:t>根据相关信息对社会稳定风险因素进行识别、分析，确定社会稳定风险因素类别、概率、范围；</w:t>
            </w:r>
          </w:p>
          <w:p>
            <w:pPr>
              <w:pStyle w:val="null3"/>
              <w:ind w:left="-105" w:firstLine="106"/>
              <w:jc w:val="both"/>
            </w:pPr>
            <w:r>
              <w:rPr>
                <w:rFonts w:ascii="仿宋_GB2312" w:hAnsi="仿宋_GB2312" w:cs="仿宋_GB2312" w:eastAsia="仿宋_GB2312"/>
                <w:sz w:val="28"/>
              </w:rPr>
              <w:t>3.</w:t>
            </w:r>
            <w:r>
              <w:rPr>
                <w:rFonts w:ascii="仿宋_GB2312" w:hAnsi="仿宋_GB2312" w:cs="仿宋_GB2312" w:eastAsia="仿宋_GB2312"/>
                <w:sz w:val="28"/>
              </w:rPr>
              <w:t>针对决策是否符合现行法律、法规、规章，是否符合党和国家的方针政策，是否符合国家、省委省政府的战略部署、重大决策以及暂行办法进行评估；</w:t>
            </w:r>
          </w:p>
          <w:p>
            <w:pPr>
              <w:pStyle w:val="null3"/>
              <w:ind w:left="-105" w:firstLine="106"/>
              <w:jc w:val="both"/>
            </w:pPr>
            <w:r>
              <w:rPr>
                <w:rFonts w:ascii="仿宋_GB2312" w:hAnsi="仿宋_GB2312" w:cs="仿宋_GB2312" w:eastAsia="仿宋_GB2312"/>
                <w:sz w:val="28"/>
              </w:rPr>
              <w:t>4.</w:t>
            </w:r>
            <w:r>
              <w:rPr>
                <w:rFonts w:ascii="仿宋_GB2312" w:hAnsi="仿宋_GB2312" w:cs="仿宋_GB2312" w:eastAsia="仿宋_GB2312"/>
                <w:sz w:val="28"/>
              </w:rPr>
              <w:t>针对决策是否符合本省、本州、本县近期和长远发展规划，是否符合经济社会发展规律，是否符合以人为本的科学发展观，是否兼顾了各方利益群体的不同需求，是否考虑了地区的平衡性、社会的稳定性、发展的可持续性进行评估；</w:t>
            </w:r>
          </w:p>
          <w:p>
            <w:pPr>
              <w:pStyle w:val="null3"/>
              <w:ind w:left="-105" w:firstLine="106"/>
              <w:jc w:val="both"/>
            </w:pPr>
            <w:r>
              <w:rPr>
                <w:rFonts w:ascii="仿宋_GB2312" w:hAnsi="仿宋_GB2312" w:cs="仿宋_GB2312" w:eastAsia="仿宋_GB2312"/>
                <w:sz w:val="28"/>
              </w:rPr>
              <w:t>5.</w:t>
            </w:r>
            <w:r>
              <w:rPr>
                <w:rFonts w:ascii="仿宋_GB2312" w:hAnsi="仿宋_GB2312" w:cs="仿宋_GB2312" w:eastAsia="仿宋_GB2312"/>
                <w:sz w:val="28"/>
              </w:rPr>
              <w:t>针对决策是否经过充分论证，是否符合大多数人民群众的意愿，所需的人力、财力、物力是否在可承受的范围内并且有保障，是否能确保连续性和稳定性，时机是否成熟等内容进行评估；</w:t>
            </w:r>
          </w:p>
          <w:p>
            <w:pPr>
              <w:pStyle w:val="null3"/>
              <w:ind w:left="-105" w:firstLine="106"/>
              <w:jc w:val="both"/>
            </w:pPr>
            <w:r>
              <w:rPr>
                <w:rFonts w:ascii="仿宋_GB2312" w:hAnsi="仿宋_GB2312" w:cs="仿宋_GB2312" w:eastAsia="仿宋_GB2312"/>
                <w:sz w:val="28"/>
              </w:rPr>
              <w:t>（二）涉改企业重组层面</w:t>
            </w:r>
          </w:p>
          <w:p>
            <w:pPr>
              <w:pStyle w:val="null3"/>
              <w:ind w:left="-105" w:firstLine="106"/>
              <w:jc w:val="both"/>
            </w:pPr>
            <w:r>
              <w:rPr>
                <w:rFonts w:ascii="仿宋_GB2312" w:hAnsi="仿宋_GB2312" w:cs="仿宋_GB2312" w:eastAsia="仿宋_GB2312"/>
                <w:sz w:val="28"/>
              </w:rPr>
              <w:t>针对本次涉改的</w:t>
            </w:r>
            <w:r>
              <w:rPr>
                <w:rFonts w:ascii="仿宋_GB2312" w:hAnsi="仿宋_GB2312" w:cs="仿宋_GB2312" w:eastAsia="仿宋_GB2312"/>
                <w:sz w:val="28"/>
              </w:rPr>
              <w:t>6</w:t>
            </w:r>
            <w:r>
              <w:rPr>
                <w:rFonts w:ascii="仿宋_GB2312" w:hAnsi="仿宋_GB2312" w:cs="仿宋_GB2312" w:eastAsia="仿宋_GB2312"/>
                <w:sz w:val="28"/>
              </w:rPr>
              <w:t>家企业（九龙县新跃测绘有限公司、四川省九龙县物资总公司、四川省九龙县志合人力资源有限公司、九龙县隆跃城市管理服务有限公司、九龙县国有资产投资经营有限责任公司、九龙县大成砂石销售有限责任公司），就重组的内外部环境、利益相关方、重组方案、职工安置方案等重点环节和重要因素进行社会稳定风险评估</w:t>
            </w:r>
          </w:p>
          <w:p>
            <w:pPr>
              <w:pStyle w:val="null3"/>
              <w:jc w:val="both"/>
            </w:pPr>
            <w:r>
              <w:rPr>
                <w:rFonts w:ascii="仿宋_GB2312" w:hAnsi="仿宋_GB2312" w:cs="仿宋_GB2312" w:eastAsia="仿宋_GB2312"/>
                <w:sz w:val="28"/>
              </w:rPr>
              <w:t>根据前述风险评估的内容，</w:t>
            </w:r>
            <w:r>
              <w:rPr>
                <w:rFonts w:ascii="仿宋_GB2312" w:hAnsi="仿宋_GB2312" w:cs="仿宋_GB2312" w:eastAsia="仿宋_GB2312"/>
                <w:sz w:val="28"/>
              </w:rPr>
              <w:t>编制社会稳定风险评估报告</w:t>
            </w:r>
            <w:r>
              <w:rPr>
                <w:rFonts w:ascii="仿宋_GB2312" w:hAnsi="仿宋_GB2312" w:cs="仿宋_GB2312" w:eastAsia="仿宋_GB2312"/>
                <w:sz w:val="28"/>
              </w:rPr>
              <w:t>，并将报告的电子档</w:t>
            </w:r>
            <w:r>
              <w:rPr>
                <w:rFonts w:ascii="仿宋_GB2312" w:hAnsi="仿宋_GB2312" w:cs="仿宋_GB2312" w:eastAsia="仿宋_GB2312"/>
                <w:sz w:val="28"/>
              </w:rPr>
              <w:t>1</w:t>
            </w:r>
            <w:r>
              <w:rPr>
                <w:rFonts w:ascii="仿宋_GB2312" w:hAnsi="仿宋_GB2312" w:cs="仿宋_GB2312" w:eastAsia="仿宋_GB2312"/>
                <w:sz w:val="28"/>
              </w:rPr>
              <w:t>份、纸质资料</w:t>
            </w:r>
            <w:r>
              <w:rPr>
                <w:rFonts w:ascii="仿宋_GB2312" w:hAnsi="仿宋_GB2312" w:cs="仿宋_GB2312" w:eastAsia="仿宋_GB2312"/>
                <w:sz w:val="28"/>
              </w:rPr>
              <w:t>3</w:t>
            </w:r>
            <w:r>
              <w:rPr>
                <w:rFonts w:ascii="仿宋_GB2312" w:hAnsi="仿宋_GB2312" w:cs="仿宋_GB2312" w:eastAsia="仿宋_GB2312"/>
                <w:sz w:val="28"/>
              </w:rPr>
              <w:t>份移交至采购人</w:t>
            </w:r>
            <w:r>
              <w:rPr>
                <w:rFonts w:ascii="仿宋_GB2312" w:hAnsi="仿宋_GB2312" w:cs="仿宋_GB2312" w:eastAsia="仿宋_GB2312"/>
                <w:sz w:val="28"/>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合同签订后至2026年6月30日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四川省甘孜藏族自治州九龙县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（7）履约验收时间：成交供应商完成项目所有工作内容提出验收申请之日起，达到验收条件起15日内，验收合同总金额的100.00%。 （8）验收组织的其他事项：无。 （9）技术履约验收内容：按照本项目采购文件中“技术、服务要求”及成交供应商的响应文件进行验收。 （10）商务履约验收内容：按照本项目采购文件中“商务要求”及成交供应商的响应文件进行验收。 （11）履约验收标准：按国家相关法律、行业标准验收。 （12）履约验收其他事项：未尽事宜将按照《财政部关于进一步加强政府采购需求和履约验收管理的指导意见》(财库(2016)205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1、合同签订后采购人收到成交供应商开具的等额发票后，达到付款条件起10日内，支付合同总金额的50.00%</w:t>
            </w:r>
          </w:p>
          <w:p>
            <w:pPr>
              <w:pStyle w:val="null3"/>
              <w:jc w:val="left"/>
            </w:pPr>
            <w:r>
              <w:rPr>
                <w:rFonts w:ascii="仿宋_GB2312" w:hAnsi="仿宋_GB2312" w:cs="仿宋_GB2312" w:eastAsia="仿宋_GB2312"/>
              </w:rPr>
              <w:t>2、均出具正式报告后，采购人收到成交供应商开具的等额发票后，达到付款条件起10日内，支付合同总金额的50.00%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2.供应商提供的服务不符合采购文件、响应文件或本合同规定的，每出现一次违约（合同涉及“日期”和“天数”的，每逾期一天或少一天，视为一次违约），供应商须向采购人支付本合同总价1%的违约金并且按采购人要求进行整改，出现违约3次及以上或未按采购人要求整改的，采购人有权无条件解除本合同并要求供应商退还已收取的费用。3.采购人无正当理由逾期未按照合同约定付款的，则每日按未付款金额的1‰向供应商偿付违约金，但累计违约金总额不超过未付款总额的1％。 4.合同签订后，若供应商存在违法违规行为的，采购人有权无条件解除本合同并要求供应商退还已获得的全部费用。 解决争议：在执行本合同中发生的或与本合同有关的争端，双方应通过友好协商解决，经协商在天内不能达成一致时，应选择以下第 2 种解决方式： 1.提交仲裁委员会依照其现行有效的仲裁规则进行仲裁； 2.向采购人所在地有管辖权的法院提起诉讼，诉讼产生相应的费用应由败诉方负担。 在法院审理和仲裁期间，除有争议部分外，本合同其他部分可以履行的仍应按合同条款继续履行。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相关要求：1.供应商针对本项目提供服务方案，内容包含：①项目进度计划；②对项目的研究思路；③服务团队人员分工；④服务保密保障措施；⑤服务应急措施。2.供应商针对本项目提供质量保障方案，内容包含：①服务技术支撑；②项目实施资料收集方案；③项目过程资料管理方案；④质量内控制度。3.人员配置：（1）拟派项目负责人（1人）：具有律师执业证书或注册会计师资格证书或高级会计师职称。 （2）拟派项目团队人员（项目负责人除外）：具有律师执业证书；具有会计师职称或审计师职称；具有高级会计师职称或高级审计师职称。4.供应商从2022年1月1日（含1日）至响应文件递交截止之日，具有类似项目业绩的（类似项目业绩指第一类法律咨询服务、第二类社会稳定风险评估服务、第三类专项清产核资审计服务类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响应文件封面,供应商应提交的相关资格证明材料,投标（响应）函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联合体参与</w:t>
            </w:r>
          </w:p>
        </w:tc>
        <w:tc>
          <w:tcPr>
            <w:tcW w:type="dxa" w:w="3322"/>
          </w:tcPr>
          <w:p>
            <w:pPr>
              <w:pStyle w:val="null3"/>
              <w:jc w:val="left"/>
            </w:pPr>
            <w:r>
              <w:rPr>
                <w:rFonts w:ascii="仿宋_GB2312" w:hAnsi="仿宋_GB2312" w:cs="仿宋_GB2312" w:eastAsia="仿宋_GB2312"/>
              </w:rPr>
              <w:t>本项目允许联合体参加：（1）联合体成员不超过3家（含牵头人）；（2）以联合体形式参加磋商的，联合体各方均应当符合《中华人民共和国政府采购法》第二十二条第一款规定的条件，并提交联合体协议，载明联合体各方承担的工作和相应的责任。【电子响应文件编制要求：①联合体各方均须按要求填写《投标（响应）函》，其中联合体牵头单位需在投标客户端中按要求在线填写《投标（响应）函》并进行电子签章；联合体成员单位须按照第六章响应文件格式《投标（响应）函》线下填写并加盖公章，盖章完成后扫描上传编制于第六章响应文件格式《供应商应提交的相关资格证明材料》。②因系统原因，联合体协议需线下签订并加盖各方公章，签订完成后，扫描上传并编制于第六章响应文件格式《供应商应提交的相关资格证明材料》】（3）联合体中有同类资质的供应商按照联合体分工承担相同工作的，应当按照资质等级较低的供应商确定资质等级。（4）同一个包内联合体各方不得再单独参加或者与其他供应商另外组成联合体参加同一合同项下的政府采购活动。</w:t>
            </w:r>
          </w:p>
        </w:tc>
        <w:tc>
          <w:tcPr>
            <w:tcW w:type="dxa" w:w="1910"/>
          </w:tcPr>
          <w:p>
            <w:pPr>
              <w:pStyle w:val="null3"/>
              <w:jc w:val="left"/>
            </w:pPr>
            <w:r>
              <w:rPr>
                <w:rFonts w:ascii="仿宋_GB2312" w:hAnsi="仿宋_GB2312" w:cs="仿宋_GB2312" w:eastAsia="仿宋_GB2312"/>
              </w:rPr>
              <w:t>供应商应提交的相关资格证明材料,联合体协议书</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供应商（或联合体成员）具有司法行政机关核发且经年检合格的《律师事务所执业许可证》</w:t>
            </w:r>
          </w:p>
        </w:tc>
        <w:tc>
          <w:tcPr>
            <w:tcW w:type="dxa" w:w="3322"/>
          </w:tcPr>
          <w:p>
            <w:pPr>
              <w:pStyle w:val="null3"/>
              <w:jc w:val="left"/>
            </w:pPr>
            <w:r>
              <w:rPr>
                <w:rFonts w:ascii="仿宋_GB2312" w:hAnsi="仿宋_GB2312" w:cs="仿宋_GB2312" w:eastAsia="仿宋_GB2312"/>
              </w:rPr>
              <w:t>提供司法行政机关核发且经年检合格的《律师事务所执业许可证》的证书扫描件并加盖供应商电子公章。</w:t>
            </w:r>
          </w:p>
        </w:tc>
        <w:tc>
          <w:tcPr>
            <w:tcW w:type="dxa" w:w="1910"/>
          </w:tcPr>
          <w:p>
            <w:pPr>
              <w:pStyle w:val="null3"/>
              <w:jc w:val="left"/>
            </w:pPr>
            <w:r>
              <w:rPr>
                <w:rFonts w:ascii="仿宋_GB2312" w:hAnsi="仿宋_GB2312" w:cs="仿宋_GB2312" w:eastAsia="仿宋_GB2312"/>
              </w:rPr>
              <w:t>供应商应提交的相关资格证明材料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供应商（或联合体成员）具有行政主管部门颁发的有效期内的《会计师事务所执业证书》</w:t>
            </w:r>
          </w:p>
        </w:tc>
        <w:tc>
          <w:tcPr>
            <w:tcW w:type="dxa" w:w="3322"/>
          </w:tcPr>
          <w:p>
            <w:pPr>
              <w:pStyle w:val="null3"/>
              <w:jc w:val="left"/>
            </w:pPr>
            <w:r>
              <w:rPr>
                <w:rFonts w:ascii="仿宋_GB2312" w:hAnsi="仿宋_GB2312" w:cs="仿宋_GB2312" w:eastAsia="仿宋_GB2312"/>
              </w:rPr>
              <w:t>行政主管部门颁发的有效期内的《会计师事务所执业证书》的证书扫描件并加盖供应商电子公章。</w:t>
            </w:r>
          </w:p>
        </w:tc>
        <w:tc>
          <w:tcPr>
            <w:tcW w:type="dxa" w:w="1910"/>
          </w:tcPr>
          <w:p>
            <w:pPr>
              <w:pStyle w:val="null3"/>
              <w:jc w:val="left"/>
            </w:pPr>
            <w:r>
              <w:rPr>
                <w:rFonts w:ascii="仿宋_GB2312" w:hAnsi="仿宋_GB2312" w:cs="仿宋_GB2312" w:eastAsia="仿宋_GB2312"/>
              </w:rPr>
              <w:t>供应商应提交的相关资格证明材料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投标（响应）函,关于磋商文件第二章中实质性要求的承诺函（实质性要求）</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第三章 技术、服务及其他要求中的“3.2.技术要求”中标注“★”的要求均为实质性要求，不允许有负偏离。</w:t>
            </w:r>
          </w:p>
        </w:tc>
        <w:tc>
          <w:tcPr>
            <w:tcW w:type="dxa" w:w="1910"/>
          </w:tcPr>
          <w:p>
            <w:pPr>
              <w:pStyle w:val="null3"/>
              <w:jc w:val="left"/>
            </w:pPr>
            <w:r>
              <w:rPr>
                <w:rFonts w:ascii="仿宋_GB2312" w:hAnsi="仿宋_GB2312" w:cs="仿宋_GB2312" w:eastAsia="仿宋_GB2312"/>
              </w:rPr>
              <w:t>技术要求应答表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3.3.2.商务要求</w:t>
            </w:r>
          </w:p>
        </w:tc>
        <w:tc>
          <w:tcPr>
            <w:tcW w:type="dxa" w:w="3322"/>
          </w:tcPr>
          <w:p>
            <w:pPr>
              <w:pStyle w:val="null3"/>
              <w:jc w:val="left"/>
            </w:pPr>
            <w:r>
              <w:rPr>
                <w:rFonts w:ascii="仿宋_GB2312" w:hAnsi="仿宋_GB2312" w:cs="仿宋_GB2312" w:eastAsia="仿宋_GB2312"/>
              </w:rPr>
              <w:t>第三章 技术、服务及其他要求的“3.3.2.商务要求”中标注“★”的要求均为实质性要求，不允许有负偏离。</w:t>
            </w:r>
          </w:p>
        </w:tc>
        <w:tc>
          <w:tcPr>
            <w:tcW w:type="dxa" w:w="1910"/>
          </w:tcPr>
          <w:p>
            <w:pPr>
              <w:pStyle w:val="null3"/>
              <w:jc w:val="left"/>
            </w:pPr>
            <w:r>
              <w:rPr>
                <w:rFonts w:ascii="仿宋_GB2312" w:hAnsi="仿宋_GB2312" w:cs="仿宋_GB2312" w:eastAsia="仿宋_GB2312"/>
              </w:rPr>
              <w:t>服务要求应答表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审委员会依据本磋商文件的其他的实质性要求，对符合资格的响应文件进行审查，以确定其是否满足本磋商文件的其他要求。本项目符合性审查事项仅限于本磋商文件的明确规定。响应文件是否满足磋商文件的实质性要求，必须以本磋商文件的明确规定作为依据，否则，不能对响应文件作为无效处理，评审委员会不得臆测符合性审查事项。</w:t>
            </w:r>
          </w:p>
        </w:tc>
        <w:tc>
          <w:tcPr>
            <w:tcW w:type="dxa" w:w="1910"/>
          </w:tcPr>
          <w:p>
            <w:pPr>
              <w:pStyle w:val="null3"/>
              <w:jc w:val="left"/>
            </w:pPr>
            <w:r>
              <w:rPr>
                <w:rFonts w:ascii="仿宋_GB2312" w:hAnsi="仿宋_GB2312" w:cs="仿宋_GB2312" w:eastAsia="仿宋_GB2312"/>
              </w:rPr>
              <w:t>供应商应提供的其他相关证明材料,报价表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质量保障方案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针对本项目的服务方案进行评审，内容包含：①项目进度计划；②对项目的研究思路；③服务团队人员分工；④服务保密保障措施；⑤服务应急措施。涵盖以上内容且不存在缺陷得35分，在此基础上，每缺少一项内容扣7分，每有一处内容存在缺陷扣3.5分，扣完为止。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提供的针对本项目的质量保障方案进行评审，内容包含：①服务技术支撑；②项目实施资料收集方案；③项目过程资料管理方案；④质量内控制度。涵盖以上内容且不存在缺陷得28分，在此基础上，每缺少一项内容扣7分，每有一处内容存在缺陷扣3.5分，扣完为止。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质量保障方案</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1.拟派项目负责人（1人）：具有律师执业证书或注册会计师资格证书或高级会计师职称的得2分。 2.拟派项目团队人员（项目负责人除外）：每有1人具有律师执业证书的得2分，最多得6分；每有1人具有会计师职称或审计师职称的得1分，具有高级会计师职称或高级审计师职称的得2分，最多得4分。注：以上1-2项人员：1.拟派人员需提供有效的相关证书或职称扫描件；2.提供以上人员在职证明或合法雇佣关系证明或承诺函（承诺：以上人员在中标后并在签订政府采购合同前向采购人出具与该人员签订的在职证明或合法雇佣关系证明）并加盖投标人公章；3.以上人员不得兼职，同一人员提供多个证书以就高不就低计算，无有效证明材料的相应项不得分。4.以联合体形式投标的，联合体各方提供的人员均认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从2022年1月1日（含1日）至响应文件递交截止之日，具有类似项目业绩的，提供第一类业绩1个得5分，提供第二类业绩1个得5分，提供第三类业绩1个得5分，本项最多得15分。（类似项目业绩指第一类法律咨询服务、第二类社会稳定风险评估服务、第三类专项清产核资审计服务类业绩）注：以联合体形式投标的，联合体各方提供的合同均认可，提供合同扫描件并加盖供应商公章。提供合同的以合同签订时间为准。未提供者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10分。其他供应商的价格分统一按照下列公式计算：磋商报价得分=（磋商基准价/最后磋商报价）×10×100%。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-6%）；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中小企业声明函,残疾人福利性单位声明函,报价表,监狱企业的证明文件,联合体协议书</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详见附件：供应商应提供的其他相关证明材料</w:t>
      </w:r>
    </w:p>
    <w:p>
      <w:pPr>
        <w:pStyle w:val="null3"/>
        <w:ind w:firstLine="960"/>
        <w:jc w:val="left"/>
      </w:pPr>
      <w:r>
        <w:rPr>
          <w:rFonts w:ascii="仿宋_GB2312" w:hAnsi="仿宋_GB2312" w:cs="仿宋_GB2312" w:eastAsia="仿宋_GB2312"/>
        </w:rPr>
        <w:t>详见附件：关于磋商文件第二章中实质性要求的承诺函（实质性要求）</w:t>
      </w:r>
    </w:p>
    <w:p>
      <w:pPr>
        <w:pStyle w:val="null3"/>
        <w:ind w:firstLine="960"/>
        <w:jc w:val="left"/>
      </w:pPr>
      <w:r>
        <w:rPr>
          <w:rFonts w:ascii="仿宋_GB2312" w:hAnsi="仿宋_GB2312" w:cs="仿宋_GB2312" w:eastAsia="仿宋_GB2312"/>
        </w:rPr>
        <w:t>详见附件：联合体协议书</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详见附件：质量保障方案</w:t>
      </w:r>
    </w:p>
    <w:p>
      <w:pPr>
        <w:pStyle w:val="null3"/>
        <w:ind w:firstLine="960"/>
        <w:jc w:val="left"/>
      </w:pPr>
      <w:r>
        <w:rPr>
          <w:rFonts w:ascii="仿宋_GB2312" w:hAnsi="仿宋_GB2312" w:cs="仿宋_GB2312" w:eastAsia="仿宋_GB2312"/>
        </w:rPr>
        <w:t>详见附件：类似业绩</w:t>
      </w:r>
    </w:p>
    <w:p>
      <w:pPr>
        <w:pStyle w:val="null3"/>
        <w:ind w:firstLine="960"/>
        <w:jc w:val="left"/>
      </w:pPr>
      <w:r>
        <w:rPr>
          <w:rFonts w:ascii="仿宋_GB2312" w:hAnsi="仿宋_GB2312" w:cs="仿宋_GB2312" w:eastAsia="仿宋_GB2312"/>
        </w:rPr>
        <w:t>详见附件：人员配置</w:t>
      </w:r>
    </w:p>
    <w:p>
      <w:pPr>
        <w:pStyle w:val="null3"/>
        <w:ind w:firstLine="960"/>
        <w:jc w:val="left"/>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