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3D2040">
      <w:pPr>
        <w:adjustRightInd w:val="0"/>
        <w:snapToGrid w:val="0"/>
        <w:spacing w:after="156" w:afterLines="50" w:line="360" w:lineRule="auto"/>
        <w:jc w:val="center"/>
        <w:outlineLvl w:val="0"/>
        <w:rPr>
          <w:rFonts w:ascii="黑体" w:eastAsia="黑体"/>
          <w:b/>
          <w:kern w:val="44"/>
          <w:sz w:val="48"/>
          <w:szCs w:val="20"/>
        </w:rPr>
      </w:pPr>
      <w:bookmarkStart w:id="3" w:name="_GoBack"/>
      <w:bookmarkEnd w:id="3"/>
      <w:bookmarkStart w:id="0" w:name="_Toc129880039"/>
      <w:bookmarkStart w:id="1" w:name="_Toc512937852"/>
      <w:r>
        <w:rPr>
          <w:rFonts w:hint="eastAsia" w:ascii="宋体" w:hAnsi="宋体"/>
          <w:b/>
          <w:sz w:val="30"/>
          <w:szCs w:val="30"/>
        </w:rPr>
        <w:t>第八部分 采购需求</w:t>
      </w:r>
      <w:bookmarkEnd w:id="0"/>
    </w:p>
    <w:bookmarkEnd w:id="1"/>
    <w:p w14:paraId="600B1104">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2398A829">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43"/>
        <w:gridCol w:w="3544"/>
        <w:gridCol w:w="1417"/>
        <w:gridCol w:w="1792"/>
      </w:tblGrid>
      <w:tr w14:paraId="174AD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843" w:type="dxa"/>
            <w:vAlign w:val="center"/>
          </w:tcPr>
          <w:p w14:paraId="32780157">
            <w:pPr>
              <w:jc w:val="center"/>
              <w:rPr>
                <w:rFonts w:ascii="宋体" w:hAnsi="Bookman Old Style"/>
                <w:sz w:val="24"/>
              </w:rPr>
            </w:pPr>
            <w:r>
              <w:rPr>
                <w:rFonts w:hint="eastAsia" w:ascii="宋体" w:hAnsi="Bookman Old Style"/>
                <w:sz w:val="24"/>
              </w:rPr>
              <w:t>包号</w:t>
            </w:r>
          </w:p>
        </w:tc>
        <w:tc>
          <w:tcPr>
            <w:tcW w:w="3544" w:type="dxa"/>
            <w:vAlign w:val="center"/>
          </w:tcPr>
          <w:p w14:paraId="40D83548">
            <w:pPr>
              <w:jc w:val="center"/>
              <w:rPr>
                <w:rFonts w:ascii="宋体" w:hAnsi="Bookman Old Style"/>
                <w:sz w:val="24"/>
              </w:rPr>
            </w:pPr>
            <w:r>
              <w:rPr>
                <w:rFonts w:hint="eastAsia" w:ascii="宋体" w:hAnsi="Bookman Old Style"/>
                <w:sz w:val="24"/>
              </w:rPr>
              <w:t>货物名称</w:t>
            </w:r>
          </w:p>
        </w:tc>
        <w:tc>
          <w:tcPr>
            <w:tcW w:w="1417" w:type="dxa"/>
            <w:vAlign w:val="center"/>
          </w:tcPr>
          <w:p w14:paraId="4180DA5B">
            <w:pPr>
              <w:jc w:val="center"/>
              <w:rPr>
                <w:rFonts w:ascii="宋体" w:hAnsi="Bookman Old Style"/>
                <w:sz w:val="24"/>
              </w:rPr>
            </w:pPr>
            <w:r>
              <w:rPr>
                <w:rFonts w:hint="eastAsia" w:ascii="宋体" w:hAnsi="Bookman Old Style"/>
                <w:sz w:val="24"/>
              </w:rPr>
              <w:t>数量</w:t>
            </w:r>
          </w:p>
        </w:tc>
        <w:tc>
          <w:tcPr>
            <w:tcW w:w="1792" w:type="dxa"/>
            <w:vAlign w:val="center"/>
          </w:tcPr>
          <w:p w14:paraId="0745AEAD">
            <w:pPr>
              <w:jc w:val="center"/>
              <w:rPr>
                <w:rFonts w:ascii="宋体" w:hAnsi="Bookman Old Style"/>
                <w:sz w:val="24"/>
              </w:rPr>
            </w:pPr>
            <w:r>
              <w:rPr>
                <w:rFonts w:hint="eastAsia" w:ascii="宋体" w:hAnsi="Bookman Old Style"/>
                <w:sz w:val="24"/>
              </w:rPr>
              <w:t>是否接受进口</w:t>
            </w:r>
          </w:p>
        </w:tc>
      </w:tr>
      <w:tr w14:paraId="33FBB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1" w:hRule="atLeast"/>
          <w:jc w:val="center"/>
        </w:trPr>
        <w:tc>
          <w:tcPr>
            <w:tcW w:w="843" w:type="dxa"/>
            <w:vAlign w:val="center"/>
          </w:tcPr>
          <w:p w14:paraId="2E716FCA">
            <w:pPr>
              <w:jc w:val="center"/>
              <w:rPr>
                <w:rFonts w:ascii="宋体"/>
                <w:sz w:val="24"/>
              </w:rPr>
            </w:pPr>
            <w:r>
              <w:rPr>
                <w:rFonts w:hint="eastAsia" w:ascii="宋体"/>
                <w:sz w:val="24"/>
              </w:rPr>
              <w:t>1</w:t>
            </w:r>
          </w:p>
        </w:tc>
        <w:tc>
          <w:tcPr>
            <w:tcW w:w="3544" w:type="dxa"/>
            <w:vAlign w:val="center"/>
          </w:tcPr>
          <w:p w14:paraId="50DA657C">
            <w:pPr>
              <w:jc w:val="center"/>
              <w:rPr>
                <w:rFonts w:ascii="Bookman Old Style" w:hAnsi="Bookman Old Style"/>
                <w:sz w:val="24"/>
              </w:rPr>
            </w:pPr>
            <w:r>
              <w:rPr>
                <w:rFonts w:hint="eastAsia" w:ascii="宋体" w:hAnsi="宋体" w:cs="等线"/>
                <w:color w:val="000000"/>
                <w:kern w:val="0"/>
                <w:sz w:val="24"/>
                <w:lang w:bidi="ar"/>
              </w:rPr>
              <w:t>多功能进样系统</w:t>
            </w:r>
          </w:p>
        </w:tc>
        <w:tc>
          <w:tcPr>
            <w:tcW w:w="1417" w:type="dxa"/>
            <w:vAlign w:val="center"/>
          </w:tcPr>
          <w:p w14:paraId="65741C5D">
            <w:pPr>
              <w:jc w:val="center"/>
              <w:rPr>
                <w:rFonts w:ascii="宋体" w:hAnsi="Bookman Old Style"/>
                <w:sz w:val="24"/>
              </w:rPr>
            </w:pPr>
            <w:r>
              <w:rPr>
                <w:rFonts w:hint="eastAsia" w:ascii="宋体" w:hAnsi="宋体"/>
                <w:sz w:val="24"/>
              </w:rPr>
              <w:t>1套</w:t>
            </w:r>
          </w:p>
        </w:tc>
        <w:tc>
          <w:tcPr>
            <w:tcW w:w="1792" w:type="dxa"/>
            <w:vAlign w:val="center"/>
          </w:tcPr>
          <w:p w14:paraId="3270FF37">
            <w:pPr>
              <w:jc w:val="center"/>
              <w:rPr>
                <w:rFonts w:ascii="宋体" w:hAnsi="Bookman Old Style"/>
                <w:sz w:val="24"/>
              </w:rPr>
            </w:pPr>
            <w:r>
              <w:rPr>
                <w:rFonts w:hint="eastAsia" w:ascii="宋体" w:hAnsi="Bookman Old Style"/>
                <w:sz w:val="24"/>
              </w:rPr>
              <w:t>否</w:t>
            </w:r>
          </w:p>
        </w:tc>
      </w:tr>
    </w:tbl>
    <w:p w14:paraId="5B717981">
      <w:pPr>
        <w:adjustRightInd w:val="0"/>
        <w:snapToGrid w:val="0"/>
        <w:jc w:val="center"/>
        <w:rPr>
          <w:rFonts w:hint="eastAsia" w:ascii="宋体" w:hAnsi="宋体"/>
          <w:b/>
          <w:sz w:val="30"/>
          <w:szCs w:val="30"/>
        </w:rPr>
      </w:pPr>
    </w:p>
    <w:p w14:paraId="2B4F21AE">
      <w:pPr>
        <w:adjustRightInd w:val="0"/>
        <w:snapToGrid w:val="0"/>
        <w:jc w:val="center"/>
        <w:rPr>
          <w:rFonts w:hint="eastAsia" w:ascii="宋体" w:hAnsi="宋体"/>
          <w:b/>
          <w:sz w:val="30"/>
          <w:szCs w:val="30"/>
        </w:rPr>
      </w:pPr>
    </w:p>
    <w:p w14:paraId="15CBE58F">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4A324E27">
      <w:pPr>
        <w:adjustRightInd w:val="0"/>
        <w:snapToGrid w:val="0"/>
        <w:rPr>
          <w:rFonts w:hint="eastAsia" w:ascii="宋体" w:hAnsi="宋体"/>
          <w:szCs w:val="21"/>
        </w:rPr>
      </w:pPr>
    </w:p>
    <w:p w14:paraId="06ED18A5">
      <w:pPr>
        <w:adjustRightInd w:val="0"/>
        <w:snapToGrid w:val="0"/>
        <w:rPr>
          <w:rFonts w:hint="eastAsia" w:ascii="宋体" w:hAnsi="宋体"/>
          <w:szCs w:val="21"/>
        </w:rPr>
      </w:pPr>
    </w:p>
    <w:p w14:paraId="50D729B0">
      <w:pPr>
        <w:adjustRightInd w:val="0"/>
        <w:snapToGrid w:val="0"/>
        <w:rPr>
          <w:rFonts w:hint="eastAsia" w:ascii="宋体" w:hAnsi="宋体"/>
          <w:szCs w:val="21"/>
        </w:rPr>
      </w:pPr>
    </w:p>
    <w:p w14:paraId="6967242B">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34E380A8">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16CB6A40">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14B7DC17">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C8312BA">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7B72687F">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6F1FC4F3">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30D37F03">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3CBC5CBF">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213EF03E">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069340BC">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5A272757">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2B1D138B">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1583744B">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6F112EF2">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w:t>
      </w:r>
      <w:r>
        <w:rPr>
          <w:rFonts w:hint="eastAsia" w:ascii="宋体" w:hAnsi="宋体"/>
          <w:b/>
          <w:sz w:val="24"/>
        </w:rPr>
        <w:t>2</w:t>
      </w:r>
      <w:r>
        <w:rPr>
          <w:rFonts w:ascii="宋体" w:hAnsi="宋体"/>
          <w:b/>
          <w:sz w:val="24"/>
        </w:rPr>
        <w:t>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0142E19E">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7DD62CDB">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1C83D22F">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0823276D">
      <w:pPr>
        <w:rPr>
          <w:rFonts w:eastAsia="黑体"/>
          <w:b/>
          <w:bCs/>
          <w:kern w:val="44"/>
          <w:sz w:val="24"/>
        </w:rPr>
      </w:pPr>
    </w:p>
    <w:p w14:paraId="47AC259D">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322BC789">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5492A1E5">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1859A0D7">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417C18FE">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50D7ADA7">
      <w:pPr>
        <w:pStyle w:val="20"/>
        <w:spacing w:line="360" w:lineRule="auto"/>
        <w:ind w:left="410" w:hanging="410" w:hangingChars="170"/>
        <w:rPr>
          <w:rFonts w:hint="eastAsia" w:hAnsi="宋体"/>
          <w:b/>
          <w:sz w:val="24"/>
          <w:szCs w:val="24"/>
        </w:rPr>
      </w:pPr>
    </w:p>
    <w:p w14:paraId="7D2DB04A">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5CD0F1CE">
      <w:pPr>
        <w:adjustRightInd w:val="0"/>
        <w:snapToGrid w:val="0"/>
        <w:spacing w:line="360" w:lineRule="auto"/>
        <w:rPr>
          <w:rFonts w:hint="eastAsia" w:ascii="宋体" w:hAnsi="宋体"/>
          <w:b/>
          <w:sz w:val="24"/>
        </w:rPr>
      </w:pPr>
    </w:p>
    <w:p w14:paraId="56D94D77">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697DC211">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188AFF56">
      <w:pPr>
        <w:jc w:val="center"/>
        <w:rPr>
          <w:b/>
          <w:sz w:val="24"/>
        </w:rPr>
      </w:pPr>
      <w:r>
        <w:rPr>
          <w:rFonts w:hint="eastAsia"/>
          <w:b/>
          <w:sz w:val="24"/>
        </w:rPr>
        <w:t>第1包 多功能进样系统</w:t>
      </w:r>
    </w:p>
    <w:p w14:paraId="27725512">
      <w:pPr>
        <w:rPr>
          <w:b/>
          <w:sz w:val="24"/>
        </w:rPr>
      </w:pPr>
    </w:p>
    <w:p w14:paraId="68364A4F">
      <w:pPr>
        <w:spacing w:line="360" w:lineRule="auto"/>
        <w:rPr>
          <w:rFonts w:hint="eastAsia" w:ascii="宋体" w:hAnsi="宋体" w:cs="宋体"/>
          <w:b/>
          <w:bCs/>
          <w:sz w:val="24"/>
        </w:rPr>
      </w:pPr>
      <w:r>
        <w:rPr>
          <w:rFonts w:ascii="宋体" w:hAnsi="宋体" w:cs="宋体"/>
          <w:b/>
          <w:bCs/>
          <w:sz w:val="24"/>
        </w:rPr>
        <w:t>（一）技术要求：</w:t>
      </w:r>
    </w:p>
    <w:p w14:paraId="05CDB070">
      <w:pPr>
        <w:spacing w:line="360" w:lineRule="auto"/>
        <w:rPr>
          <w:rFonts w:hint="eastAsia" w:ascii="宋体" w:hAnsi="宋体" w:cs="宋体"/>
          <w:b/>
          <w:bCs/>
          <w:sz w:val="24"/>
        </w:rPr>
      </w:pPr>
      <w:r>
        <w:rPr>
          <w:rFonts w:ascii="宋体" w:hAnsi="宋体" w:cs="宋体"/>
          <w:b/>
          <w:bCs/>
          <w:sz w:val="24"/>
        </w:rPr>
        <w:t>1.</w:t>
      </w:r>
      <w:r>
        <w:rPr>
          <w:rFonts w:hint="eastAsia" w:ascii="宋体" w:hAnsi="宋体" w:cs="宋体"/>
          <w:b/>
          <w:bCs/>
          <w:sz w:val="24"/>
        </w:rPr>
        <w:t>设备名称</w:t>
      </w:r>
      <w:r>
        <w:rPr>
          <w:rFonts w:ascii="宋体" w:hAnsi="宋体" w:cs="宋体"/>
          <w:b/>
          <w:bCs/>
          <w:sz w:val="24"/>
        </w:rPr>
        <w:t>：</w:t>
      </w:r>
    </w:p>
    <w:p w14:paraId="3EF67634">
      <w:pPr>
        <w:spacing w:line="360" w:lineRule="auto"/>
        <w:ind w:firstLine="420"/>
        <w:rPr>
          <w:rFonts w:hint="eastAsia" w:ascii="宋体" w:hAnsi="宋体" w:cs="宋体"/>
          <w:sz w:val="24"/>
        </w:rPr>
      </w:pPr>
      <w:r>
        <w:rPr>
          <w:rFonts w:hint="eastAsia" w:ascii="宋体" w:hAnsi="宋体" w:cs="宋体"/>
          <w:sz w:val="24"/>
        </w:rPr>
        <w:t>多功能进样系统</w:t>
      </w:r>
    </w:p>
    <w:p w14:paraId="1021879A">
      <w:pPr>
        <w:spacing w:line="360" w:lineRule="auto"/>
        <w:rPr>
          <w:rFonts w:hint="eastAsia" w:ascii="宋体" w:hAnsi="宋体" w:cs="宋体"/>
          <w:sz w:val="24"/>
        </w:rPr>
      </w:pPr>
    </w:p>
    <w:p w14:paraId="715BE932">
      <w:pPr>
        <w:spacing w:line="360" w:lineRule="auto"/>
        <w:rPr>
          <w:rFonts w:hint="eastAsia" w:ascii="宋体" w:hAnsi="宋体" w:cs="宋体"/>
          <w:b/>
          <w:bCs/>
          <w:sz w:val="24"/>
        </w:rPr>
      </w:pPr>
      <w:r>
        <w:rPr>
          <w:rFonts w:ascii="宋体" w:hAnsi="宋体" w:cs="宋体"/>
          <w:b/>
          <w:bCs/>
          <w:sz w:val="24"/>
        </w:rPr>
        <w:t>2.设备用途：</w:t>
      </w:r>
    </w:p>
    <w:p w14:paraId="6E0E2397">
      <w:pPr>
        <w:spacing w:line="360" w:lineRule="auto"/>
        <w:ind w:firstLine="420"/>
        <w:rPr>
          <w:rFonts w:hint="eastAsia" w:ascii="宋体" w:hAnsi="宋体" w:cs="宋体"/>
          <w:sz w:val="24"/>
        </w:rPr>
      </w:pPr>
      <w:r>
        <w:rPr>
          <w:rFonts w:ascii="宋体" w:hAnsi="宋体" w:cs="宋体"/>
          <w:sz w:val="24"/>
        </w:rPr>
        <w:t>解决温室气体检测中多手段的自动化进样要求，通过气密针的形式从多类型样品瓶和气袋中取样，并自动触发多达两套气相色谱质谱联用仪，完成整套流程自动化。</w:t>
      </w:r>
    </w:p>
    <w:p w14:paraId="2F783E95">
      <w:pPr>
        <w:spacing w:line="360" w:lineRule="auto"/>
        <w:rPr>
          <w:rFonts w:hint="eastAsia" w:ascii="宋体" w:hAnsi="宋体" w:cs="宋体"/>
          <w:sz w:val="24"/>
        </w:rPr>
      </w:pPr>
    </w:p>
    <w:p w14:paraId="3305B52B">
      <w:pPr>
        <w:adjustRightInd w:val="0"/>
        <w:snapToGrid w:val="0"/>
        <w:spacing w:line="360" w:lineRule="auto"/>
        <w:rPr>
          <w:rFonts w:cs="宋体"/>
          <w:b/>
          <w:bCs/>
          <w:sz w:val="24"/>
        </w:rPr>
      </w:pPr>
      <w:bookmarkStart w:id="2" w:name="_Hlk215335407"/>
      <w:r>
        <w:rPr>
          <w:rFonts w:cs="宋体"/>
          <w:b/>
          <w:bCs/>
          <w:sz w:val="24"/>
        </w:rPr>
        <w:t>3.技术规格：</w:t>
      </w:r>
    </w:p>
    <w:bookmarkEnd w:id="2"/>
    <w:p w14:paraId="7D0400B1">
      <w:pPr>
        <w:adjustRightInd w:val="0"/>
        <w:snapToGrid w:val="0"/>
        <w:spacing w:line="360" w:lineRule="auto"/>
        <w:ind w:firstLine="420"/>
        <w:rPr>
          <w:rFonts w:cs="宋体"/>
          <w:sz w:val="24"/>
        </w:rPr>
      </w:pPr>
      <w:r>
        <w:rPr>
          <w:rFonts w:cs="宋体"/>
          <w:sz w:val="24"/>
        </w:rPr>
        <w:t>投标人提供的货物须是成熟的全新的产品，其技术规格应符合招标文件的要求。如与招标文件的技术规格有偏差，应提供技术规格偏差的量值或说明（偏离表）。</w:t>
      </w:r>
    </w:p>
    <w:p w14:paraId="741082C3">
      <w:pPr>
        <w:adjustRightInd w:val="0"/>
        <w:snapToGrid w:val="0"/>
        <w:spacing w:line="360" w:lineRule="auto"/>
        <w:ind w:firstLine="420"/>
        <w:rPr>
          <w:rFonts w:cs="宋体"/>
          <w:sz w:val="24"/>
        </w:rPr>
      </w:pPr>
      <w:r>
        <w:rPr>
          <w:rFonts w:cs="宋体"/>
          <w:sz w:val="24"/>
        </w:rPr>
        <w:t>全自动多功能进样平台，挂载长度1.6米，具备顶空瓶气体自动化进样，实现18位气袋自动化进样功能。样品支架含45位20ml顶空瓶托盘或36位40ml样品瓶托盘，具备功能模块扩展、一带二功能，全平台色谱品牌支持。</w:t>
      </w:r>
    </w:p>
    <w:p w14:paraId="387559F1">
      <w:pPr>
        <w:adjustRightInd w:val="0"/>
        <w:snapToGrid w:val="0"/>
        <w:spacing w:line="360" w:lineRule="auto"/>
        <w:rPr>
          <w:rFonts w:cs="宋体"/>
          <w:b/>
          <w:bCs/>
          <w:sz w:val="24"/>
        </w:rPr>
      </w:pPr>
      <w:r>
        <w:rPr>
          <w:rFonts w:hint="eastAsia" w:cs="宋体"/>
          <w:b/>
          <w:bCs/>
          <w:sz w:val="24"/>
        </w:rPr>
        <w:t xml:space="preserve">3.1 </w:t>
      </w:r>
      <w:r>
        <w:rPr>
          <w:rFonts w:cs="宋体"/>
          <w:b/>
          <w:bCs/>
          <w:sz w:val="24"/>
        </w:rPr>
        <w:t>总体指标</w:t>
      </w:r>
    </w:p>
    <w:p w14:paraId="090849FF">
      <w:pPr>
        <w:adjustRightInd w:val="0"/>
        <w:snapToGrid w:val="0"/>
        <w:spacing w:line="360" w:lineRule="auto"/>
        <w:rPr>
          <w:rFonts w:cs="宋体"/>
          <w:sz w:val="24"/>
        </w:rPr>
      </w:pPr>
      <w:r>
        <w:rPr>
          <w:rFonts w:hint="eastAsia"/>
          <w:b/>
          <w:bCs/>
          <w:sz w:val="24"/>
          <w:highlight w:val="yellow"/>
        </w:rPr>
        <w:t>#</w:t>
      </w:r>
      <w:r>
        <w:rPr>
          <w:rFonts w:hint="eastAsia" w:cs="宋体"/>
          <w:sz w:val="24"/>
          <w:highlight w:val="yellow"/>
        </w:rPr>
        <w:t>3.</w:t>
      </w:r>
      <w:r>
        <w:rPr>
          <w:rFonts w:cs="宋体"/>
          <w:sz w:val="24"/>
          <w:highlight w:val="yellow"/>
        </w:rPr>
        <w:t>1.1</w:t>
      </w:r>
      <w:r>
        <w:rPr>
          <w:rFonts w:hint="eastAsia" w:cs="宋体"/>
          <w:sz w:val="24"/>
        </w:rPr>
        <w:t xml:space="preserve"> </w:t>
      </w:r>
      <w:r>
        <w:rPr>
          <w:rFonts w:cs="宋体"/>
          <w:sz w:val="24"/>
        </w:rPr>
        <w:t>采用伺服马达控制运动单元的运动，主轴长度≥160cm，精度0.1mm；</w:t>
      </w:r>
    </w:p>
    <w:p w14:paraId="1E0B6E24">
      <w:pPr>
        <w:adjustRightInd w:val="0"/>
        <w:snapToGrid w:val="0"/>
        <w:spacing w:line="360" w:lineRule="auto"/>
        <w:rPr>
          <w:rFonts w:cs="宋体"/>
          <w:sz w:val="24"/>
        </w:rPr>
      </w:pPr>
      <w:r>
        <w:rPr>
          <w:rFonts w:hint="eastAsia" w:cs="宋体"/>
          <w:sz w:val="24"/>
        </w:rPr>
        <w:t>3.</w:t>
      </w:r>
      <w:r>
        <w:rPr>
          <w:rFonts w:cs="宋体"/>
          <w:sz w:val="24"/>
        </w:rPr>
        <w:t>1.2</w:t>
      </w:r>
      <w:r>
        <w:rPr>
          <w:rFonts w:hint="eastAsia" w:cs="宋体"/>
          <w:sz w:val="24"/>
        </w:rPr>
        <w:t xml:space="preserve"> </w:t>
      </w:r>
      <w:r>
        <w:rPr>
          <w:rFonts w:cs="宋体"/>
          <w:sz w:val="24"/>
        </w:rPr>
        <w:t>在同一个平台上可扩展实现实现液体进样模块、顶空进样模块、固相微萃取、箭形固相微萃取、动态顶空、热脱附、液氮/电子冷阱、气袋进样、低温控温槽、涡旋混合、在线超声、自动配标、自动衍生化、自动微固相萃取、在线离心、在线SPE、在线氮吹浓缩、仪器状态在线监测、分层液面自动识别、吹扫捕集自动进样、一带二自动进样等功能，自动更换10支以上固相微萃取头等功能。</w:t>
      </w:r>
    </w:p>
    <w:p w14:paraId="378D1EE4">
      <w:pPr>
        <w:adjustRightInd w:val="0"/>
        <w:snapToGrid w:val="0"/>
        <w:spacing w:line="360" w:lineRule="auto"/>
        <w:rPr>
          <w:rFonts w:cs="宋体"/>
          <w:sz w:val="24"/>
        </w:rPr>
      </w:pPr>
      <w:r>
        <w:rPr>
          <w:rFonts w:hint="eastAsia" w:cs="宋体"/>
          <w:sz w:val="24"/>
        </w:rPr>
        <w:t>3.</w:t>
      </w:r>
      <w:r>
        <w:rPr>
          <w:rFonts w:cs="宋体"/>
          <w:sz w:val="24"/>
        </w:rPr>
        <w:t>1.3</w:t>
      </w:r>
      <w:r>
        <w:rPr>
          <w:rFonts w:hint="eastAsia" w:cs="宋体"/>
          <w:sz w:val="24"/>
        </w:rPr>
        <w:t xml:space="preserve"> </w:t>
      </w:r>
      <w:r>
        <w:rPr>
          <w:rFonts w:cs="宋体"/>
          <w:sz w:val="24"/>
        </w:rPr>
        <w:t>最新版的IL SII智能主机系统，运行更稳定快捷，可智能识别和追溯进样针、萃取头等消耗品的使用信息，兼容安捷伦、岛津、赛默飞、Waters、SCIEX和禾信等不同品牌的色谱仪器。</w:t>
      </w:r>
    </w:p>
    <w:p w14:paraId="3BE6D311">
      <w:pPr>
        <w:adjustRightInd w:val="0"/>
        <w:snapToGrid w:val="0"/>
        <w:spacing w:line="360" w:lineRule="auto"/>
        <w:rPr>
          <w:rFonts w:cs="宋体"/>
          <w:b/>
          <w:bCs/>
          <w:sz w:val="24"/>
        </w:rPr>
      </w:pPr>
      <w:r>
        <w:rPr>
          <w:rFonts w:hint="eastAsia" w:cs="宋体"/>
          <w:b/>
          <w:bCs/>
          <w:sz w:val="24"/>
        </w:rPr>
        <w:t>3.</w:t>
      </w:r>
      <w:r>
        <w:rPr>
          <w:rFonts w:cs="宋体"/>
          <w:b/>
          <w:bCs/>
          <w:sz w:val="24"/>
        </w:rPr>
        <w:t>2</w:t>
      </w:r>
      <w:r>
        <w:rPr>
          <w:rFonts w:hint="eastAsia" w:cs="宋体"/>
          <w:b/>
          <w:bCs/>
          <w:sz w:val="24"/>
        </w:rPr>
        <w:t xml:space="preserve"> </w:t>
      </w:r>
      <w:r>
        <w:rPr>
          <w:rFonts w:cs="宋体"/>
          <w:b/>
          <w:bCs/>
          <w:sz w:val="24"/>
        </w:rPr>
        <w:t>一带二自动进样模块</w:t>
      </w:r>
    </w:p>
    <w:p w14:paraId="213BFC88">
      <w:pPr>
        <w:adjustRightInd w:val="0"/>
        <w:snapToGrid w:val="0"/>
        <w:spacing w:line="360" w:lineRule="auto"/>
        <w:rPr>
          <w:rFonts w:cs="宋体"/>
          <w:sz w:val="24"/>
        </w:rPr>
      </w:pPr>
      <w:r>
        <w:rPr>
          <w:rFonts w:hint="eastAsia"/>
          <w:b/>
          <w:bCs/>
          <w:sz w:val="24"/>
        </w:rPr>
        <w:t>★</w:t>
      </w:r>
      <w:r>
        <w:rPr>
          <w:rFonts w:hint="eastAsia" w:cs="宋体"/>
          <w:sz w:val="24"/>
        </w:rPr>
        <w:t>3.</w:t>
      </w:r>
      <w:r>
        <w:rPr>
          <w:rFonts w:cs="宋体"/>
          <w:sz w:val="24"/>
        </w:rPr>
        <w:t>2.1 同步信号控制模块，包含2路TTL输入信号，4路闭合信号输出</w:t>
      </w:r>
    </w:p>
    <w:p w14:paraId="1553C094">
      <w:pPr>
        <w:adjustRightInd w:val="0"/>
        <w:snapToGrid w:val="0"/>
        <w:spacing w:line="360" w:lineRule="auto"/>
        <w:rPr>
          <w:rFonts w:cs="宋体"/>
          <w:sz w:val="24"/>
        </w:rPr>
      </w:pPr>
      <w:r>
        <w:rPr>
          <w:rFonts w:hint="eastAsia" w:cs="宋体"/>
          <w:sz w:val="24"/>
        </w:rPr>
        <w:t>3.</w:t>
      </w:r>
      <w:r>
        <w:rPr>
          <w:rFonts w:cs="宋体"/>
          <w:sz w:val="24"/>
        </w:rPr>
        <w:t>2.2</w:t>
      </w:r>
      <w:r>
        <w:rPr>
          <w:rFonts w:hint="eastAsia" w:cs="宋体"/>
          <w:sz w:val="24"/>
        </w:rPr>
        <w:t xml:space="preserve"> </w:t>
      </w:r>
      <w:r>
        <w:rPr>
          <w:rFonts w:cs="宋体"/>
          <w:sz w:val="24"/>
        </w:rPr>
        <w:t>同步信号控制模块，供电电压12V，24v 功率48w 长宽高 170mm*75mm*130mm,可挂载到x轴上实现2套色谱系统的预运行、就绪和进样的协同触发。</w:t>
      </w:r>
    </w:p>
    <w:p w14:paraId="490FB911">
      <w:pPr>
        <w:adjustRightInd w:val="0"/>
        <w:snapToGrid w:val="0"/>
        <w:spacing w:line="360" w:lineRule="auto"/>
        <w:rPr>
          <w:rFonts w:cs="宋体"/>
          <w:sz w:val="24"/>
        </w:rPr>
      </w:pPr>
      <w:r>
        <w:rPr>
          <w:rFonts w:hint="eastAsia" w:cs="宋体"/>
          <w:sz w:val="24"/>
        </w:rPr>
        <w:t>3.</w:t>
      </w:r>
      <w:r>
        <w:rPr>
          <w:rFonts w:cs="宋体"/>
          <w:sz w:val="24"/>
        </w:rPr>
        <w:t>2.3</w:t>
      </w:r>
      <w:r>
        <w:rPr>
          <w:rFonts w:hint="eastAsia" w:cs="宋体" w:asciiTheme="minorEastAsia" w:hAnsiTheme="minorEastAsia" w:eastAsiaTheme="minorEastAsia"/>
          <w:sz w:val="24"/>
        </w:rPr>
        <w:t xml:space="preserve"> </w:t>
      </w:r>
      <w:r>
        <w:rPr>
          <w:rFonts w:cs="宋体"/>
          <w:sz w:val="24"/>
        </w:rPr>
        <w:t>2套控制软件，可同时独立控制多功能自动进样及前处理平台。</w:t>
      </w:r>
    </w:p>
    <w:p w14:paraId="7B3BB011">
      <w:pPr>
        <w:adjustRightInd w:val="0"/>
        <w:snapToGrid w:val="0"/>
        <w:spacing w:line="360" w:lineRule="auto"/>
        <w:rPr>
          <w:rFonts w:cs="宋体"/>
          <w:sz w:val="24"/>
        </w:rPr>
      </w:pPr>
      <w:r>
        <w:rPr>
          <w:rFonts w:hint="eastAsia"/>
          <w:b/>
          <w:bCs/>
          <w:sz w:val="24"/>
          <w:highlight w:val="yellow"/>
        </w:rPr>
        <w:t>#</w:t>
      </w:r>
      <w:r>
        <w:rPr>
          <w:rFonts w:hint="eastAsia" w:cs="宋体"/>
          <w:sz w:val="24"/>
          <w:highlight w:val="yellow"/>
        </w:rPr>
        <w:t>3.</w:t>
      </w:r>
      <w:r>
        <w:rPr>
          <w:rFonts w:cs="宋体"/>
          <w:sz w:val="24"/>
          <w:highlight w:val="yellow"/>
        </w:rPr>
        <w:t>2.4</w:t>
      </w:r>
      <w:r>
        <w:rPr>
          <w:rFonts w:hint="eastAsia" w:cs="宋体"/>
          <w:sz w:val="24"/>
        </w:rPr>
        <w:t xml:space="preserve"> </w:t>
      </w:r>
      <w:r>
        <w:rPr>
          <w:rFonts w:cs="宋体"/>
          <w:sz w:val="24"/>
        </w:rPr>
        <w:t>两个色谱工作站使用者可以同时独立编辑各自样品表并上传至各自色谱系统，系统可自行根据两台色谱进样方法进行时间重叠优化运行。</w:t>
      </w:r>
    </w:p>
    <w:p w14:paraId="3BDE75C9">
      <w:pPr>
        <w:adjustRightInd w:val="0"/>
        <w:snapToGrid w:val="0"/>
        <w:spacing w:line="360" w:lineRule="auto"/>
        <w:rPr>
          <w:rFonts w:cs="宋体"/>
          <w:b/>
          <w:bCs/>
          <w:sz w:val="24"/>
        </w:rPr>
      </w:pPr>
      <w:r>
        <w:rPr>
          <w:rFonts w:hint="eastAsia" w:cs="宋体"/>
          <w:b/>
          <w:bCs/>
          <w:sz w:val="24"/>
        </w:rPr>
        <w:t>3.</w:t>
      </w:r>
      <w:r>
        <w:rPr>
          <w:rFonts w:cs="宋体"/>
          <w:b/>
          <w:bCs/>
          <w:sz w:val="24"/>
        </w:rPr>
        <w:t>3</w:t>
      </w:r>
      <w:r>
        <w:rPr>
          <w:rFonts w:hint="eastAsia" w:cs="宋体"/>
          <w:b/>
          <w:bCs/>
          <w:sz w:val="24"/>
        </w:rPr>
        <w:t xml:space="preserve"> </w:t>
      </w:r>
      <w:r>
        <w:rPr>
          <w:rFonts w:cs="宋体"/>
          <w:b/>
          <w:bCs/>
          <w:sz w:val="24"/>
        </w:rPr>
        <w:t>气袋进样模块</w:t>
      </w:r>
    </w:p>
    <w:p w14:paraId="6059725D">
      <w:pPr>
        <w:adjustRightInd w:val="0"/>
        <w:snapToGrid w:val="0"/>
        <w:spacing w:line="360" w:lineRule="auto"/>
        <w:rPr>
          <w:rFonts w:cs="宋体"/>
          <w:sz w:val="24"/>
        </w:rPr>
      </w:pPr>
      <w:r>
        <w:rPr>
          <w:rFonts w:hint="eastAsia"/>
          <w:b/>
          <w:bCs/>
          <w:sz w:val="24"/>
        </w:rPr>
        <w:t>★</w:t>
      </w:r>
      <w:r>
        <w:rPr>
          <w:rFonts w:hint="eastAsia" w:cs="宋体"/>
          <w:sz w:val="24"/>
        </w:rPr>
        <w:t>3.</w:t>
      </w:r>
      <w:r>
        <w:rPr>
          <w:rFonts w:cs="宋体"/>
          <w:sz w:val="24"/>
        </w:rPr>
        <w:t>3.1</w:t>
      </w:r>
      <w:r>
        <w:rPr>
          <w:rFonts w:hint="eastAsia" w:cs="宋体"/>
          <w:sz w:val="24"/>
        </w:rPr>
        <w:t xml:space="preserve"> </w:t>
      </w:r>
      <w:r>
        <w:rPr>
          <w:rFonts w:cs="宋体"/>
          <w:sz w:val="24"/>
        </w:rPr>
        <w:t>采样气袋：气袋固定托盘可固定铝箔复合膜采样气袋和透明采样气袋，容积0.5L，1L和3L可选。</w:t>
      </w:r>
    </w:p>
    <w:p w14:paraId="62854B86">
      <w:pPr>
        <w:adjustRightInd w:val="0"/>
        <w:snapToGrid w:val="0"/>
        <w:spacing w:line="360" w:lineRule="auto"/>
        <w:rPr>
          <w:rFonts w:cs="宋体"/>
          <w:sz w:val="24"/>
        </w:rPr>
      </w:pPr>
      <w:r>
        <w:rPr>
          <w:rFonts w:hint="eastAsia" w:cs="宋体"/>
          <w:sz w:val="24"/>
        </w:rPr>
        <w:t>3.</w:t>
      </w:r>
      <w:r>
        <w:rPr>
          <w:rFonts w:cs="宋体"/>
          <w:sz w:val="24"/>
        </w:rPr>
        <w:t>3.2</w:t>
      </w:r>
      <w:r>
        <w:rPr>
          <w:rFonts w:hint="eastAsia" w:cs="宋体"/>
          <w:sz w:val="24"/>
        </w:rPr>
        <w:t xml:space="preserve"> </w:t>
      </w:r>
      <w:r>
        <w:rPr>
          <w:rFonts w:cs="宋体"/>
          <w:sz w:val="24"/>
        </w:rPr>
        <w:t>固定位： 12(6)个，可固定12(6)个0.5L和1L的采样气袋，或4(2)个3L的铝箔复合膜采样气袋。</w:t>
      </w:r>
    </w:p>
    <w:p w14:paraId="2EAF498B">
      <w:pPr>
        <w:adjustRightInd w:val="0"/>
        <w:snapToGrid w:val="0"/>
        <w:spacing w:line="360" w:lineRule="auto"/>
        <w:rPr>
          <w:rFonts w:cs="宋体"/>
          <w:sz w:val="24"/>
        </w:rPr>
      </w:pPr>
      <w:r>
        <w:rPr>
          <w:rFonts w:hint="eastAsia" w:cs="宋体"/>
          <w:sz w:val="24"/>
        </w:rPr>
        <w:t>3.</w:t>
      </w:r>
      <w:r>
        <w:rPr>
          <w:rFonts w:cs="宋体"/>
          <w:sz w:val="24"/>
        </w:rPr>
        <w:t>3.3</w:t>
      </w:r>
      <w:r>
        <w:rPr>
          <w:rFonts w:hint="eastAsia" w:cs="宋体"/>
          <w:sz w:val="24"/>
        </w:rPr>
        <w:t xml:space="preserve"> </w:t>
      </w:r>
      <w:r>
        <w:rPr>
          <w:rFonts w:cs="宋体"/>
          <w:sz w:val="24"/>
        </w:rPr>
        <w:t>托盘上固定位可留空，用户放置1-12个采样气袋，均可进行实验。</w:t>
      </w:r>
    </w:p>
    <w:p w14:paraId="15A528A0">
      <w:pPr>
        <w:adjustRightInd w:val="0"/>
        <w:snapToGrid w:val="0"/>
        <w:spacing w:line="360" w:lineRule="auto"/>
        <w:rPr>
          <w:rFonts w:cs="宋体"/>
          <w:sz w:val="24"/>
        </w:rPr>
      </w:pPr>
      <w:r>
        <w:rPr>
          <w:rFonts w:hint="eastAsia" w:cs="宋体"/>
          <w:sz w:val="24"/>
        </w:rPr>
        <w:t>3.</w:t>
      </w:r>
      <w:r>
        <w:rPr>
          <w:rFonts w:cs="宋体"/>
          <w:sz w:val="24"/>
        </w:rPr>
        <w:t>3.4</w:t>
      </w:r>
      <w:r>
        <w:rPr>
          <w:rFonts w:hint="eastAsia" w:cs="宋体"/>
          <w:sz w:val="24"/>
        </w:rPr>
        <w:t xml:space="preserve"> </w:t>
      </w:r>
      <w:r>
        <w:rPr>
          <w:rFonts w:cs="宋体"/>
          <w:sz w:val="24"/>
        </w:rPr>
        <w:t>特殊设计的气袋进样口导针器，保证进样针扎入气袋进样口不会偏移。</w:t>
      </w:r>
    </w:p>
    <w:p w14:paraId="7C142E67">
      <w:pPr>
        <w:adjustRightInd w:val="0"/>
        <w:snapToGrid w:val="0"/>
        <w:spacing w:line="360" w:lineRule="auto"/>
        <w:rPr>
          <w:rFonts w:cs="宋体"/>
          <w:sz w:val="24"/>
        </w:rPr>
      </w:pPr>
      <w:r>
        <w:rPr>
          <w:rFonts w:hint="eastAsia"/>
          <w:b/>
          <w:bCs/>
          <w:sz w:val="24"/>
        </w:rPr>
        <w:t>★</w:t>
      </w:r>
      <w:r>
        <w:rPr>
          <w:rFonts w:hint="eastAsia" w:cs="宋体"/>
          <w:sz w:val="24"/>
        </w:rPr>
        <w:t>3.</w:t>
      </w:r>
      <w:r>
        <w:rPr>
          <w:rFonts w:cs="宋体"/>
          <w:sz w:val="24"/>
        </w:rPr>
        <w:t>3.5</w:t>
      </w:r>
      <w:r>
        <w:rPr>
          <w:rFonts w:hint="eastAsia" w:cs="宋体"/>
          <w:sz w:val="24"/>
        </w:rPr>
        <w:t xml:space="preserve"> </w:t>
      </w:r>
      <w:r>
        <w:rPr>
          <w:rFonts w:cs="宋体"/>
          <w:sz w:val="24"/>
        </w:rPr>
        <w:t>用户在软件中设定的气袋采样顺序，自动顺序完成采样和进样，气袋进样支持顶空/固相微萃取/动态顶空等等进样方式。</w:t>
      </w:r>
    </w:p>
    <w:p w14:paraId="2D453309">
      <w:pPr>
        <w:adjustRightInd w:val="0"/>
        <w:snapToGrid w:val="0"/>
        <w:spacing w:line="360" w:lineRule="auto"/>
        <w:rPr>
          <w:rFonts w:cs="宋体"/>
          <w:b/>
          <w:bCs/>
          <w:sz w:val="24"/>
        </w:rPr>
      </w:pPr>
      <w:r>
        <w:rPr>
          <w:rFonts w:hint="eastAsia" w:cs="宋体"/>
          <w:b/>
          <w:bCs/>
          <w:sz w:val="24"/>
        </w:rPr>
        <w:t>3.</w:t>
      </w:r>
      <w:r>
        <w:rPr>
          <w:rFonts w:cs="宋体"/>
          <w:b/>
          <w:bCs/>
          <w:sz w:val="24"/>
        </w:rPr>
        <w:t>4</w:t>
      </w:r>
      <w:r>
        <w:rPr>
          <w:rFonts w:hint="eastAsia" w:cs="宋体"/>
          <w:b/>
          <w:bCs/>
          <w:sz w:val="24"/>
        </w:rPr>
        <w:t xml:space="preserve"> </w:t>
      </w:r>
      <w:r>
        <w:rPr>
          <w:rFonts w:cs="宋体"/>
          <w:b/>
          <w:bCs/>
          <w:sz w:val="24"/>
        </w:rPr>
        <w:t>软件控制</w:t>
      </w:r>
    </w:p>
    <w:p w14:paraId="52C39F6F">
      <w:pPr>
        <w:adjustRightInd w:val="0"/>
        <w:snapToGrid w:val="0"/>
        <w:spacing w:line="360" w:lineRule="auto"/>
        <w:rPr>
          <w:rFonts w:cs="宋体"/>
          <w:sz w:val="24"/>
        </w:rPr>
      </w:pPr>
      <w:r>
        <w:rPr>
          <w:rFonts w:hint="eastAsia"/>
          <w:b/>
          <w:bCs/>
          <w:sz w:val="24"/>
        </w:rPr>
        <w:t>★</w:t>
      </w:r>
      <w:r>
        <w:rPr>
          <w:rFonts w:hint="eastAsia" w:cs="宋体"/>
          <w:sz w:val="24"/>
        </w:rPr>
        <w:t>3.</w:t>
      </w:r>
      <w:r>
        <w:rPr>
          <w:rFonts w:cs="宋体"/>
          <w:sz w:val="24"/>
        </w:rPr>
        <w:t>4.1</w:t>
      </w:r>
      <w:r>
        <w:rPr>
          <w:rFonts w:hint="eastAsia" w:cs="宋体"/>
          <w:sz w:val="24"/>
        </w:rPr>
        <w:t xml:space="preserve"> </w:t>
      </w:r>
      <w:r>
        <w:rPr>
          <w:rFonts w:cs="宋体"/>
          <w:sz w:val="24"/>
        </w:rPr>
        <w:t>系统所配置的所有功能只需一套控制软件，并且可以与色谱仪或色谱质谱仪软件实现同步通讯，实现液体进样批处理和定位步骤的全面控制；</w:t>
      </w:r>
    </w:p>
    <w:p w14:paraId="35C843E2">
      <w:pPr>
        <w:adjustRightInd w:val="0"/>
        <w:snapToGrid w:val="0"/>
        <w:spacing w:line="360" w:lineRule="auto"/>
        <w:rPr>
          <w:rFonts w:cs="宋体"/>
          <w:sz w:val="24"/>
        </w:rPr>
      </w:pPr>
      <w:r>
        <w:rPr>
          <w:rFonts w:hint="eastAsia"/>
          <w:b/>
          <w:bCs/>
          <w:sz w:val="24"/>
          <w:highlight w:val="yellow"/>
        </w:rPr>
        <w:t>#</w:t>
      </w:r>
      <w:r>
        <w:rPr>
          <w:rFonts w:hint="eastAsia" w:cs="宋体"/>
          <w:sz w:val="24"/>
          <w:highlight w:val="yellow"/>
        </w:rPr>
        <w:t>3.</w:t>
      </w:r>
      <w:r>
        <w:rPr>
          <w:rFonts w:cs="宋体"/>
          <w:sz w:val="24"/>
          <w:highlight w:val="yellow"/>
        </w:rPr>
        <w:t>4.2</w:t>
      </w:r>
      <w:r>
        <w:rPr>
          <w:rFonts w:hint="eastAsia" w:cs="宋体"/>
          <w:sz w:val="24"/>
        </w:rPr>
        <w:t xml:space="preserve"> </w:t>
      </w:r>
      <w:r>
        <w:rPr>
          <w:rFonts w:cs="宋体"/>
          <w:sz w:val="24"/>
        </w:rPr>
        <w:t>可同时兼容安捷伦、赛默飞、岛津、SCIEX、沃特世与禾信等不同品牌色谱质谱仪器的工作站，通过升级一带二自动进样功能，可实现两个不同品牌的色谱仪器工作站的同步通信。</w:t>
      </w:r>
    </w:p>
    <w:p w14:paraId="5EE117C8">
      <w:pPr>
        <w:adjustRightInd w:val="0"/>
        <w:snapToGrid w:val="0"/>
        <w:spacing w:line="360" w:lineRule="auto"/>
        <w:rPr>
          <w:rFonts w:cs="宋体"/>
          <w:sz w:val="24"/>
        </w:rPr>
      </w:pPr>
      <w:r>
        <w:rPr>
          <w:rFonts w:hint="eastAsia" w:cs="宋体"/>
          <w:sz w:val="24"/>
        </w:rPr>
        <w:t>3.</w:t>
      </w:r>
      <w:r>
        <w:rPr>
          <w:rFonts w:cs="宋体"/>
          <w:sz w:val="24"/>
        </w:rPr>
        <w:t>4.3</w:t>
      </w:r>
      <w:r>
        <w:rPr>
          <w:rFonts w:hint="eastAsia" w:cs="宋体"/>
          <w:sz w:val="24"/>
        </w:rPr>
        <w:t xml:space="preserve"> </w:t>
      </w:r>
      <w:r>
        <w:rPr>
          <w:rFonts w:cs="宋体"/>
          <w:sz w:val="24"/>
        </w:rPr>
        <w:t>支持宏命令，具有可扩展的功能模块开发空间，可对控制过程进行自定义，可根据用户要求进行二次开发，为以后添加新的模块提供足可能性。</w:t>
      </w:r>
    </w:p>
    <w:p w14:paraId="7C5A35F5">
      <w:pPr>
        <w:adjustRightInd w:val="0"/>
        <w:snapToGrid w:val="0"/>
        <w:spacing w:line="360" w:lineRule="auto"/>
        <w:rPr>
          <w:rFonts w:cs="宋体"/>
          <w:sz w:val="24"/>
        </w:rPr>
      </w:pPr>
      <w:r>
        <w:rPr>
          <w:rFonts w:hint="eastAsia" w:cs="宋体"/>
          <w:sz w:val="24"/>
        </w:rPr>
        <w:t>3.</w:t>
      </w:r>
      <w:r>
        <w:rPr>
          <w:rFonts w:cs="宋体"/>
          <w:sz w:val="24"/>
        </w:rPr>
        <w:t>4.4</w:t>
      </w:r>
      <w:r>
        <w:rPr>
          <w:rFonts w:hint="eastAsia" w:cs="宋体"/>
          <w:sz w:val="24"/>
        </w:rPr>
        <w:t xml:space="preserve"> </w:t>
      </w:r>
      <w:r>
        <w:rPr>
          <w:rFonts w:cs="宋体"/>
          <w:sz w:val="24"/>
        </w:rPr>
        <w:t>控制软件具备操作员、主管、管理员三级权限管理功能；</w:t>
      </w:r>
    </w:p>
    <w:p w14:paraId="2BD50432">
      <w:pPr>
        <w:adjustRightInd w:val="0"/>
        <w:snapToGrid w:val="0"/>
        <w:spacing w:line="360" w:lineRule="auto"/>
        <w:rPr>
          <w:rFonts w:cs="宋体"/>
          <w:sz w:val="24"/>
        </w:rPr>
      </w:pPr>
      <w:r>
        <w:rPr>
          <w:rFonts w:hint="eastAsia" w:cs="宋体"/>
          <w:sz w:val="24"/>
        </w:rPr>
        <w:t>3.</w:t>
      </w:r>
      <w:r>
        <w:rPr>
          <w:rFonts w:cs="宋体"/>
          <w:sz w:val="24"/>
        </w:rPr>
        <w:t>4.5</w:t>
      </w:r>
      <w:r>
        <w:rPr>
          <w:rFonts w:hint="eastAsia" w:cs="宋体"/>
          <w:sz w:val="24"/>
        </w:rPr>
        <w:t xml:space="preserve"> </w:t>
      </w:r>
      <w:r>
        <w:rPr>
          <w:rFonts w:cs="宋体"/>
          <w:sz w:val="24"/>
        </w:rPr>
        <w:t>仪器运行日志文件可自动存档，存档日期1天~1年可设置，并且日志可被其它系统抓取，便于审计追踪。</w:t>
      </w:r>
    </w:p>
    <w:p w14:paraId="260EC64F">
      <w:pPr>
        <w:adjustRightInd w:val="0"/>
        <w:snapToGrid w:val="0"/>
        <w:spacing w:line="360" w:lineRule="auto"/>
        <w:rPr>
          <w:rFonts w:cs="宋体"/>
          <w:sz w:val="24"/>
        </w:rPr>
      </w:pPr>
    </w:p>
    <w:p w14:paraId="1FDA9DDE">
      <w:pPr>
        <w:adjustRightInd w:val="0"/>
        <w:snapToGrid w:val="0"/>
        <w:spacing w:line="360" w:lineRule="auto"/>
        <w:rPr>
          <w:rFonts w:cs="宋体"/>
          <w:b/>
          <w:bCs/>
          <w:sz w:val="24"/>
        </w:rPr>
      </w:pPr>
      <w:r>
        <w:rPr>
          <w:rFonts w:hint="eastAsia" w:cs="宋体"/>
          <w:b/>
          <w:bCs/>
          <w:sz w:val="24"/>
        </w:rPr>
        <w:t>4、配置清单</w:t>
      </w:r>
    </w:p>
    <w:tbl>
      <w:tblPr>
        <w:tblStyle w:val="38"/>
        <w:tblW w:w="7261" w:type="dxa"/>
        <w:tblInd w:w="88" w:type="dxa"/>
        <w:tblLayout w:type="fixed"/>
        <w:tblCellMar>
          <w:top w:w="0" w:type="dxa"/>
          <w:left w:w="108" w:type="dxa"/>
          <w:bottom w:w="0" w:type="dxa"/>
          <w:right w:w="108" w:type="dxa"/>
        </w:tblCellMar>
      </w:tblPr>
      <w:tblGrid>
        <w:gridCol w:w="876"/>
        <w:gridCol w:w="4021"/>
        <w:gridCol w:w="1188"/>
        <w:gridCol w:w="1176"/>
      </w:tblGrid>
      <w:tr w14:paraId="2761B89B">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20E706F9">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序号</w:t>
            </w:r>
          </w:p>
        </w:tc>
        <w:tc>
          <w:tcPr>
            <w:tcW w:w="4021" w:type="dxa"/>
            <w:tcBorders>
              <w:top w:val="nil"/>
              <w:left w:val="nil"/>
              <w:bottom w:val="nil"/>
              <w:right w:val="nil"/>
            </w:tcBorders>
            <w:noWrap/>
            <w:vAlign w:val="center"/>
          </w:tcPr>
          <w:p w14:paraId="5A033035">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产品</w:t>
            </w:r>
          </w:p>
        </w:tc>
        <w:tc>
          <w:tcPr>
            <w:tcW w:w="1188" w:type="dxa"/>
            <w:tcBorders>
              <w:top w:val="nil"/>
              <w:left w:val="nil"/>
              <w:bottom w:val="nil"/>
              <w:right w:val="nil"/>
            </w:tcBorders>
            <w:noWrap/>
            <w:vAlign w:val="center"/>
          </w:tcPr>
          <w:p w14:paraId="475D5278">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数量</w:t>
            </w:r>
          </w:p>
        </w:tc>
        <w:tc>
          <w:tcPr>
            <w:tcW w:w="1176" w:type="dxa"/>
            <w:tcBorders>
              <w:top w:val="nil"/>
              <w:left w:val="nil"/>
              <w:bottom w:val="nil"/>
              <w:right w:val="nil"/>
            </w:tcBorders>
            <w:noWrap/>
            <w:vAlign w:val="center"/>
          </w:tcPr>
          <w:p w14:paraId="6231B10A">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单位</w:t>
            </w:r>
          </w:p>
        </w:tc>
      </w:tr>
      <w:tr w14:paraId="47339846">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6AF3E254">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4021" w:type="dxa"/>
            <w:tcBorders>
              <w:top w:val="nil"/>
              <w:left w:val="nil"/>
              <w:bottom w:val="nil"/>
              <w:right w:val="nil"/>
            </w:tcBorders>
            <w:noWrap/>
            <w:vAlign w:val="center"/>
          </w:tcPr>
          <w:p w14:paraId="293EB06C">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160cm气相版主机</w:t>
            </w:r>
          </w:p>
        </w:tc>
        <w:tc>
          <w:tcPr>
            <w:tcW w:w="1188" w:type="dxa"/>
            <w:tcBorders>
              <w:top w:val="nil"/>
              <w:left w:val="nil"/>
              <w:bottom w:val="nil"/>
              <w:right w:val="nil"/>
            </w:tcBorders>
            <w:noWrap/>
            <w:vAlign w:val="center"/>
          </w:tcPr>
          <w:p w14:paraId="6502D51B">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38B65DA7">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套</w:t>
            </w:r>
          </w:p>
        </w:tc>
      </w:tr>
      <w:tr w14:paraId="65273DF3">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21658FA5">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2、</w:t>
            </w:r>
          </w:p>
        </w:tc>
        <w:tc>
          <w:tcPr>
            <w:tcW w:w="4021" w:type="dxa"/>
            <w:tcBorders>
              <w:top w:val="nil"/>
              <w:left w:val="nil"/>
              <w:bottom w:val="nil"/>
              <w:right w:val="nil"/>
            </w:tcBorders>
            <w:noWrap/>
            <w:vAlign w:val="center"/>
          </w:tcPr>
          <w:p w14:paraId="50447B17">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一带二安装套装</w:t>
            </w:r>
          </w:p>
        </w:tc>
        <w:tc>
          <w:tcPr>
            <w:tcW w:w="1188" w:type="dxa"/>
            <w:tcBorders>
              <w:top w:val="nil"/>
              <w:left w:val="nil"/>
              <w:bottom w:val="nil"/>
              <w:right w:val="nil"/>
            </w:tcBorders>
            <w:noWrap/>
            <w:vAlign w:val="center"/>
          </w:tcPr>
          <w:p w14:paraId="6E330C80">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377380F6">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套</w:t>
            </w:r>
          </w:p>
        </w:tc>
      </w:tr>
      <w:tr w14:paraId="3E2E82A7">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2D80724A">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3、</w:t>
            </w:r>
          </w:p>
        </w:tc>
        <w:tc>
          <w:tcPr>
            <w:tcW w:w="4021" w:type="dxa"/>
            <w:tcBorders>
              <w:top w:val="nil"/>
              <w:left w:val="nil"/>
              <w:bottom w:val="nil"/>
              <w:right w:val="nil"/>
            </w:tcBorders>
            <w:noWrap/>
            <w:vAlign w:val="center"/>
          </w:tcPr>
          <w:p w14:paraId="33AD40A6">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初始安装包</w:t>
            </w:r>
          </w:p>
        </w:tc>
        <w:tc>
          <w:tcPr>
            <w:tcW w:w="1188" w:type="dxa"/>
            <w:tcBorders>
              <w:top w:val="nil"/>
              <w:left w:val="nil"/>
              <w:bottom w:val="nil"/>
              <w:right w:val="nil"/>
            </w:tcBorders>
            <w:noWrap/>
            <w:vAlign w:val="center"/>
          </w:tcPr>
          <w:p w14:paraId="1895E9E3">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4A3A6B2D">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套</w:t>
            </w:r>
          </w:p>
        </w:tc>
      </w:tr>
      <w:tr w14:paraId="05A58922">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19570A53">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4、</w:t>
            </w:r>
          </w:p>
        </w:tc>
        <w:tc>
          <w:tcPr>
            <w:tcW w:w="4021" w:type="dxa"/>
            <w:tcBorders>
              <w:top w:val="nil"/>
              <w:left w:val="nil"/>
              <w:bottom w:val="nil"/>
              <w:right w:val="nil"/>
            </w:tcBorders>
            <w:noWrap/>
            <w:vAlign w:val="center"/>
          </w:tcPr>
          <w:p w14:paraId="3B33DAD5">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在线前处理进样平台控制软件</w:t>
            </w:r>
          </w:p>
        </w:tc>
        <w:tc>
          <w:tcPr>
            <w:tcW w:w="1188" w:type="dxa"/>
            <w:tcBorders>
              <w:top w:val="nil"/>
              <w:left w:val="nil"/>
              <w:bottom w:val="nil"/>
              <w:right w:val="nil"/>
            </w:tcBorders>
            <w:noWrap/>
            <w:vAlign w:val="center"/>
          </w:tcPr>
          <w:p w14:paraId="4F5EFE8F">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0A58A458">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套</w:t>
            </w:r>
          </w:p>
        </w:tc>
      </w:tr>
      <w:tr w14:paraId="7B04EF76">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3A8A8391">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5、</w:t>
            </w:r>
          </w:p>
        </w:tc>
        <w:tc>
          <w:tcPr>
            <w:tcW w:w="4021" w:type="dxa"/>
            <w:tcBorders>
              <w:top w:val="nil"/>
              <w:left w:val="nil"/>
              <w:bottom w:val="nil"/>
              <w:right w:val="nil"/>
            </w:tcBorders>
            <w:noWrap/>
            <w:vAlign w:val="center"/>
          </w:tcPr>
          <w:p w14:paraId="6EE61D93">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顶装支架</w:t>
            </w:r>
          </w:p>
        </w:tc>
        <w:tc>
          <w:tcPr>
            <w:tcW w:w="1188" w:type="dxa"/>
            <w:tcBorders>
              <w:top w:val="nil"/>
              <w:left w:val="nil"/>
              <w:bottom w:val="nil"/>
              <w:right w:val="nil"/>
            </w:tcBorders>
            <w:noWrap/>
            <w:vAlign w:val="center"/>
          </w:tcPr>
          <w:p w14:paraId="0D0990AF">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43003BDA">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套</w:t>
            </w:r>
          </w:p>
        </w:tc>
      </w:tr>
      <w:tr w14:paraId="4E34DC3F">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076376D6">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6、</w:t>
            </w:r>
          </w:p>
        </w:tc>
        <w:tc>
          <w:tcPr>
            <w:tcW w:w="4021" w:type="dxa"/>
            <w:tcBorders>
              <w:top w:val="nil"/>
              <w:left w:val="nil"/>
              <w:bottom w:val="nil"/>
              <w:right w:val="nil"/>
            </w:tcBorders>
            <w:noWrap/>
            <w:vAlign w:val="center"/>
          </w:tcPr>
          <w:p w14:paraId="0DD291B0">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2.5mL顶空针座</w:t>
            </w:r>
          </w:p>
        </w:tc>
        <w:tc>
          <w:tcPr>
            <w:tcW w:w="1188" w:type="dxa"/>
            <w:tcBorders>
              <w:top w:val="nil"/>
              <w:left w:val="nil"/>
              <w:bottom w:val="nil"/>
              <w:right w:val="nil"/>
            </w:tcBorders>
            <w:noWrap/>
            <w:vAlign w:val="center"/>
          </w:tcPr>
          <w:p w14:paraId="622BCB47">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4522416D">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个</w:t>
            </w:r>
          </w:p>
        </w:tc>
      </w:tr>
      <w:tr w14:paraId="1AC89DF4">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5CF23B12">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7、</w:t>
            </w:r>
          </w:p>
        </w:tc>
        <w:tc>
          <w:tcPr>
            <w:tcW w:w="4021" w:type="dxa"/>
            <w:tcBorders>
              <w:top w:val="nil"/>
              <w:left w:val="nil"/>
              <w:bottom w:val="nil"/>
              <w:right w:val="nil"/>
            </w:tcBorders>
            <w:noWrap/>
            <w:vAlign w:val="center"/>
          </w:tcPr>
          <w:p w14:paraId="53D107BE">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2.5mL顶空进样针</w:t>
            </w:r>
          </w:p>
        </w:tc>
        <w:tc>
          <w:tcPr>
            <w:tcW w:w="1188" w:type="dxa"/>
            <w:tcBorders>
              <w:top w:val="nil"/>
              <w:left w:val="nil"/>
              <w:bottom w:val="nil"/>
              <w:right w:val="nil"/>
            </w:tcBorders>
            <w:noWrap/>
            <w:vAlign w:val="center"/>
          </w:tcPr>
          <w:p w14:paraId="1522D493">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7441C8FE">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支</w:t>
            </w:r>
          </w:p>
        </w:tc>
      </w:tr>
      <w:tr w14:paraId="56CCA870">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1D605FDA">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8、</w:t>
            </w:r>
          </w:p>
        </w:tc>
        <w:tc>
          <w:tcPr>
            <w:tcW w:w="4021" w:type="dxa"/>
            <w:tcBorders>
              <w:top w:val="nil"/>
              <w:left w:val="nil"/>
              <w:bottom w:val="nil"/>
              <w:right w:val="nil"/>
            </w:tcBorders>
            <w:noWrap/>
            <w:vAlign w:val="center"/>
          </w:tcPr>
          <w:p w14:paraId="1549E93E">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标准样品盘支架</w:t>
            </w:r>
          </w:p>
        </w:tc>
        <w:tc>
          <w:tcPr>
            <w:tcW w:w="1188" w:type="dxa"/>
            <w:tcBorders>
              <w:top w:val="nil"/>
              <w:left w:val="nil"/>
              <w:bottom w:val="nil"/>
              <w:right w:val="nil"/>
            </w:tcBorders>
            <w:noWrap/>
            <w:vAlign w:val="center"/>
          </w:tcPr>
          <w:p w14:paraId="4F85A818">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558E7FE0">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个</w:t>
            </w:r>
          </w:p>
        </w:tc>
      </w:tr>
      <w:tr w14:paraId="0D633AEC">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0466B864">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9、</w:t>
            </w:r>
          </w:p>
        </w:tc>
        <w:tc>
          <w:tcPr>
            <w:tcW w:w="4021" w:type="dxa"/>
            <w:tcBorders>
              <w:top w:val="nil"/>
              <w:left w:val="nil"/>
              <w:bottom w:val="nil"/>
              <w:right w:val="nil"/>
            </w:tcBorders>
            <w:noWrap/>
            <w:vAlign w:val="center"/>
          </w:tcPr>
          <w:p w14:paraId="73BC96C9">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12位40mL样品盘</w:t>
            </w:r>
          </w:p>
        </w:tc>
        <w:tc>
          <w:tcPr>
            <w:tcW w:w="1188" w:type="dxa"/>
            <w:tcBorders>
              <w:top w:val="nil"/>
              <w:left w:val="nil"/>
              <w:bottom w:val="nil"/>
              <w:right w:val="nil"/>
            </w:tcBorders>
            <w:noWrap/>
            <w:vAlign w:val="center"/>
          </w:tcPr>
          <w:p w14:paraId="24F1A1A5">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3</w:t>
            </w:r>
          </w:p>
        </w:tc>
        <w:tc>
          <w:tcPr>
            <w:tcW w:w="1176" w:type="dxa"/>
            <w:tcBorders>
              <w:top w:val="nil"/>
              <w:left w:val="nil"/>
              <w:bottom w:val="nil"/>
              <w:right w:val="nil"/>
            </w:tcBorders>
            <w:vAlign w:val="center"/>
          </w:tcPr>
          <w:p w14:paraId="64D2FDE6">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个</w:t>
            </w:r>
          </w:p>
        </w:tc>
      </w:tr>
      <w:tr w14:paraId="718D04DA">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32D82576">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10、</w:t>
            </w:r>
          </w:p>
        </w:tc>
        <w:tc>
          <w:tcPr>
            <w:tcW w:w="4021" w:type="dxa"/>
            <w:tcBorders>
              <w:top w:val="nil"/>
              <w:left w:val="nil"/>
              <w:bottom w:val="nil"/>
              <w:right w:val="nil"/>
            </w:tcBorders>
            <w:noWrap/>
            <w:vAlign w:val="center"/>
          </w:tcPr>
          <w:p w14:paraId="2921DC69">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15位20mL样品盘</w:t>
            </w:r>
          </w:p>
        </w:tc>
        <w:tc>
          <w:tcPr>
            <w:tcW w:w="1188" w:type="dxa"/>
            <w:tcBorders>
              <w:top w:val="nil"/>
              <w:left w:val="nil"/>
              <w:bottom w:val="nil"/>
              <w:right w:val="nil"/>
            </w:tcBorders>
            <w:noWrap/>
            <w:vAlign w:val="center"/>
          </w:tcPr>
          <w:p w14:paraId="131178FF">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3</w:t>
            </w:r>
          </w:p>
        </w:tc>
        <w:tc>
          <w:tcPr>
            <w:tcW w:w="1176" w:type="dxa"/>
            <w:tcBorders>
              <w:top w:val="nil"/>
              <w:left w:val="nil"/>
              <w:bottom w:val="nil"/>
              <w:right w:val="nil"/>
            </w:tcBorders>
            <w:vAlign w:val="center"/>
          </w:tcPr>
          <w:p w14:paraId="205B81BD">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个</w:t>
            </w:r>
          </w:p>
        </w:tc>
      </w:tr>
      <w:tr w14:paraId="7C294C0B">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4A000D31">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11、</w:t>
            </w:r>
          </w:p>
        </w:tc>
        <w:tc>
          <w:tcPr>
            <w:tcW w:w="4021" w:type="dxa"/>
            <w:tcBorders>
              <w:top w:val="nil"/>
              <w:left w:val="nil"/>
              <w:bottom w:val="nil"/>
              <w:right w:val="nil"/>
            </w:tcBorders>
            <w:noWrap/>
            <w:vAlign w:val="center"/>
          </w:tcPr>
          <w:p w14:paraId="7F06DD26">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12位气袋进样支架</w:t>
            </w:r>
          </w:p>
        </w:tc>
        <w:tc>
          <w:tcPr>
            <w:tcW w:w="1188" w:type="dxa"/>
            <w:tcBorders>
              <w:top w:val="nil"/>
              <w:left w:val="nil"/>
              <w:bottom w:val="nil"/>
              <w:right w:val="nil"/>
            </w:tcBorders>
            <w:noWrap/>
            <w:vAlign w:val="center"/>
          </w:tcPr>
          <w:p w14:paraId="455EFE87">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2</w:t>
            </w:r>
          </w:p>
        </w:tc>
        <w:tc>
          <w:tcPr>
            <w:tcW w:w="1176" w:type="dxa"/>
            <w:tcBorders>
              <w:top w:val="nil"/>
              <w:left w:val="nil"/>
              <w:bottom w:val="nil"/>
              <w:right w:val="nil"/>
            </w:tcBorders>
            <w:vAlign w:val="center"/>
          </w:tcPr>
          <w:p w14:paraId="68576778">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个</w:t>
            </w:r>
          </w:p>
        </w:tc>
      </w:tr>
      <w:tr w14:paraId="6E86F277">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57573FF3">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12、</w:t>
            </w:r>
          </w:p>
        </w:tc>
        <w:tc>
          <w:tcPr>
            <w:tcW w:w="4021" w:type="dxa"/>
            <w:tcBorders>
              <w:top w:val="nil"/>
              <w:left w:val="nil"/>
              <w:bottom w:val="nil"/>
              <w:right w:val="nil"/>
            </w:tcBorders>
            <w:vAlign w:val="center"/>
          </w:tcPr>
          <w:p w14:paraId="493D3427">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6位气袋进样支架</w:t>
            </w:r>
          </w:p>
        </w:tc>
        <w:tc>
          <w:tcPr>
            <w:tcW w:w="1188" w:type="dxa"/>
            <w:tcBorders>
              <w:top w:val="nil"/>
              <w:left w:val="nil"/>
              <w:bottom w:val="nil"/>
              <w:right w:val="nil"/>
            </w:tcBorders>
            <w:noWrap/>
            <w:vAlign w:val="center"/>
          </w:tcPr>
          <w:p w14:paraId="4C06A511">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35F76268">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个</w:t>
            </w:r>
          </w:p>
        </w:tc>
      </w:tr>
      <w:tr w14:paraId="64602F51">
        <w:tblPrEx>
          <w:tblCellMar>
            <w:top w:w="0" w:type="dxa"/>
            <w:left w:w="108" w:type="dxa"/>
            <w:bottom w:w="0" w:type="dxa"/>
            <w:right w:w="108" w:type="dxa"/>
          </w:tblCellMar>
        </w:tblPrEx>
        <w:trPr>
          <w:trHeight w:val="512" w:hRule="atLeast"/>
        </w:trPr>
        <w:tc>
          <w:tcPr>
            <w:tcW w:w="876" w:type="dxa"/>
            <w:tcBorders>
              <w:top w:val="nil"/>
              <w:left w:val="nil"/>
              <w:bottom w:val="nil"/>
              <w:right w:val="nil"/>
            </w:tcBorders>
            <w:noWrap/>
            <w:vAlign w:val="center"/>
          </w:tcPr>
          <w:p w14:paraId="4A10B265">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13、</w:t>
            </w:r>
          </w:p>
        </w:tc>
        <w:tc>
          <w:tcPr>
            <w:tcW w:w="4021" w:type="dxa"/>
            <w:tcBorders>
              <w:top w:val="nil"/>
              <w:left w:val="nil"/>
              <w:bottom w:val="nil"/>
              <w:right w:val="nil"/>
            </w:tcBorders>
            <w:vAlign w:val="center"/>
          </w:tcPr>
          <w:p w14:paraId="7D98AD92">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40mL棕色样品瓶</w:t>
            </w:r>
          </w:p>
        </w:tc>
        <w:tc>
          <w:tcPr>
            <w:tcW w:w="1188" w:type="dxa"/>
            <w:tcBorders>
              <w:top w:val="nil"/>
              <w:left w:val="nil"/>
              <w:bottom w:val="nil"/>
              <w:right w:val="nil"/>
            </w:tcBorders>
            <w:noWrap/>
            <w:vAlign w:val="center"/>
          </w:tcPr>
          <w:p w14:paraId="6547B4EB">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vAlign w:val="center"/>
          </w:tcPr>
          <w:p w14:paraId="0AF49762">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包</w:t>
            </w:r>
          </w:p>
        </w:tc>
      </w:tr>
      <w:tr w14:paraId="06F2A0F5">
        <w:tblPrEx>
          <w:tblCellMar>
            <w:top w:w="0" w:type="dxa"/>
            <w:left w:w="108" w:type="dxa"/>
            <w:bottom w:w="0" w:type="dxa"/>
            <w:right w:w="108" w:type="dxa"/>
          </w:tblCellMar>
        </w:tblPrEx>
        <w:trPr>
          <w:trHeight w:val="340" w:hRule="atLeast"/>
        </w:trPr>
        <w:tc>
          <w:tcPr>
            <w:tcW w:w="876" w:type="dxa"/>
            <w:tcBorders>
              <w:top w:val="nil"/>
              <w:left w:val="nil"/>
              <w:bottom w:val="nil"/>
              <w:right w:val="nil"/>
            </w:tcBorders>
            <w:noWrap/>
            <w:vAlign w:val="center"/>
          </w:tcPr>
          <w:p w14:paraId="5904106A">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14、</w:t>
            </w:r>
          </w:p>
        </w:tc>
        <w:tc>
          <w:tcPr>
            <w:tcW w:w="4021" w:type="dxa"/>
            <w:tcBorders>
              <w:top w:val="nil"/>
              <w:left w:val="nil"/>
              <w:bottom w:val="nil"/>
              <w:right w:val="nil"/>
            </w:tcBorders>
            <w:vAlign w:val="center"/>
          </w:tcPr>
          <w:p w14:paraId="0BF6921F">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40mL螺口样品瓶盖垫</w:t>
            </w:r>
          </w:p>
        </w:tc>
        <w:tc>
          <w:tcPr>
            <w:tcW w:w="1188" w:type="dxa"/>
            <w:tcBorders>
              <w:top w:val="nil"/>
              <w:left w:val="nil"/>
              <w:bottom w:val="nil"/>
              <w:right w:val="nil"/>
            </w:tcBorders>
            <w:noWrap/>
            <w:vAlign w:val="center"/>
          </w:tcPr>
          <w:p w14:paraId="0D505A0D">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noWrap/>
            <w:vAlign w:val="center"/>
          </w:tcPr>
          <w:p w14:paraId="5E9B4D55">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包</w:t>
            </w:r>
          </w:p>
        </w:tc>
      </w:tr>
      <w:tr w14:paraId="60663ED4">
        <w:tblPrEx>
          <w:tblCellMar>
            <w:top w:w="0" w:type="dxa"/>
            <w:left w:w="108" w:type="dxa"/>
            <w:bottom w:w="0" w:type="dxa"/>
            <w:right w:w="108" w:type="dxa"/>
          </w:tblCellMar>
        </w:tblPrEx>
        <w:trPr>
          <w:trHeight w:val="340" w:hRule="atLeast"/>
        </w:trPr>
        <w:tc>
          <w:tcPr>
            <w:tcW w:w="876" w:type="dxa"/>
            <w:tcBorders>
              <w:top w:val="nil"/>
              <w:left w:val="nil"/>
              <w:bottom w:val="nil"/>
              <w:right w:val="nil"/>
            </w:tcBorders>
            <w:noWrap/>
            <w:vAlign w:val="center"/>
          </w:tcPr>
          <w:p w14:paraId="251579C6">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15、</w:t>
            </w:r>
          </w:p>
        </w:tc>
        <w:tc>
          <w:tcPr>
            <w:tcW w:w="4021" w:type="dxa"/>
            <w:tcBorders>
              <w:top w:val="nil"/>
              <w:left w:val="nil"/>
              <w:bottom w:val="nil"/>
              <w:right w:val="nil"/>
            </w:tcBorders>
            <w:vAlign w:val="center"/>
          </w:tcPr>
          <w:p w14:paraId="43ED5F32">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20ml螺纹透明样品瓶</w:t>
            </w:r>
          </w:p>
        </w:tc>
        <w:tc>
          <w:tcPr>
            <w:tcW w:w="1188" w:type="dxa"/>
            <w:tcBorders>
              <w:top w:val="nil"/>
              <w:left w:val="nil"/>
              <w:bottom w:val="nil"/>
              <w:right w:val="nil"/>
            </w:tcBorders>
            <w:noWrap/>
            <w:vAlign w:val="center"/>
          </w:tcPr>
          <w:p w14:paraId="0469D8D6">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noWrap/>
            <w:vAlign w:val="center"/>
          </w:tcPr>
          <w:p w14:paraId="6BB02AC9">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包</w:t>
            </w:r>
          </w:p>
        </w:tc>
      </w:tr>
      <w:tr w14:paraId="09EDDCB9">
        <w:tblPrEx>
          <w:tblCellMar>
            <w:top w:w="0" w:type="dxa"/>
            <w:left w:w="108" w:type="dxa"/>
            <w:bottom w:w="0" w:type="dxa"/>
            <w:right w:w="108" w:type="dxa"/>
          </w:tblCellMar>
        </w:tblPrEx>
        <w:trPr>
          <w:trHeight w:val="340" w:hRule="atLeast"/>
        </w:trPr>
        <w:tc>
          <w:tcPr>
            <w:tcW w:w="876" w:type="dxa"/>
            <w:tcBorders>
              <w:top w:val="nil"/>
              <w:left w:val="nil"/>
              <w:bottom w:val="nil"/>
              <w:right w:val="nil"/>
            </w:tcBorders>
            <w:noWrap/>
            <w:vAlign w:val="center"/>
          </w:tcPr>
          <w:p w14:paraId="4D8534BD">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16、</w:t>
            </w:r>
          </w:p>
        </w:tc>
        <w:tc>
          <w:tcPr>
            <w:tcW w:w="4021" w:type="dxa"/>
            <w:tcBorders>
              <w:top w:val="nil"/>
              <w:left w:val="nil"/>
              <w:bottom w:val="nil"/>
              <w:right w:val="nil"/>
            </w:tcBorders>
            <w:vAlign w:val="center"/>
          </w:tcPr>
          <w:p w14:paraId="0A451BD1">
            <w:pPr>
              <w:widowControl/>
              <w:adjustRightInd w:val="0"/>
              <w:snapToGrid w:val="0"/>
              <w:spacing w:line="360" w:lineRule="auto"/>
              <w:jc w:val="left"/>
              <w:textAlignment w:val="center"/>
              <w:rPr>
                <w:rFonts w:cs="宋体"/>
                <w:color w:val="000000"/>
                <w:sz w:val="24"/>
              </w:rPr>
            </w:pPr>
            <w:r>
              <w:rPr>
                <w:rFonts w:hint="eastAsia" w:cs="宋体"/>
                <w:color w:val="000000"/>
                <w:kern w:val="0"/>
                <w:sz w:val="24"/>
                <w:lang w:bidi="ar"/>
              </w:rPr>
              <w:t>20ml螺纹透明样品瓶盖垫</w:t>
            </w:r>
          </w:p>
        </w:tc>
        <w:tc>
          <w:tcPr>
            <w:tcW w:w="1188" w:type="dxa"/>
            <w:tcBorders>
              <w:top w:val="nil"/>
              <w:left w:val="nil"/>
              <w:bottom w:val="nil"/>
              <w:right w:val="nil"/>
            </w:tcBorders>
            <w:noWrap/>
            <w:vAlign w:val="center"/>
          </w:tcPr>
          <w:p w14:paraId="1848DCA5">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1</w:t>
            </w:r>
          </w:p>
        </w:tc>
        <w:tc>
          <w:tcPr>
            <w:tcW w:w="1176" w:type="dxa"/>
            <w:tcBorders>
              <w:top w:val="nil"/>
              <w:left w:val="nil"/>
              <w:bottom w:val="nil"/>
              <w:right w:val="nil"/>
            </w:tcBorders>
            <w:noWrap/>
            <w:vAlign w:val="center"/>
          </w:tcPr>
          <w:p w14:paraId="3E4576DD">
            <w:pPr>
              <w:widowControl/>
              <w:adjustRightInd w:val="0"/>
              <w:snapToGrid w:val="0"/>
              <w:spacing w:line="360" w:lineRule="auto"/>
              <w:jc w:val="center"/>
              <w:textAlignment w:val="center"/>
              <w:rPr>
                <w:rFonts w:cs="宋体"/>
                <w:color w:val="000000"/>
                <w:sz w:val="24"/>
              </w:rPr>
            </w:pPr>
            <w:r>
              <w:rPr>
                <w:rFonts w:hint="eastAsia" w:cs="宋体"/>
                <w:color w:val="000000"/>
                <w:kern w:val="0"/>
                <w:sz w:val="24"/>
                <w:lang w:bidi="ar"/>
              </w:rPr>
              <w:t>包</w:t>
            </w:r>
          </w:p>
        </w:tc>
      </w:tr>
    </w:tbl>
    <w:p w14:paraId="05394FEC">
      <w:pPr>
        <w:adjustRightInd w:val="0"/>
        <w:snapToGrid w:val="0"/>
        <w:spacing w:line="360" w:lineRule="auto"/>
        <w:rPr>
          <w:rFonts w:cs="宋体"/>
          <w:b/>
          <w:sz w:val="24"/>
        </w:rPr>
      </w:pPr>
    </w:p>
    <w:p w14:paraId="02BBB262">
      <w:pPr>
        <w:adjustRightInd w:val="0"/>
        <w:snapToGrid w:val="0"/>
        <w:spacing w:line="360" w:lineRule="auto"/>
        <w:rPr>
          <w:rFonts w:cs="宋体"/>
          <w:sz w:val="24"/>
        </w:rPr>
      </w:pPr>
      <w:r>
        <w:rPr>
          <w:rFonts w:hint="eastAsia" w:cs="宋体"/>
          <w:b/>
          <w:sz w:val="24"/>
        </w:rPr>
        <w:t>（二）质保及售后服务：</w:t>
      </w:r>
    </w:p>
    <w:p w14:paraId="75B6FC11">
      <w:pPr>
        <w:adjustRightInd w:val="0"/>
        <w:snapToGrid w:val="0"/>
        <w:spacing w:line="360" w:lineRule="auto"/>
        <w:rPr>
          <w:rFonts w:cs="宋体"/>
          <w:b/>
          <w:bCs/>
          <w:sz w:val="24"/>
        </w:rPr>
      </w:pPr>
      <w:r>
        <w:rPr>
          <w:rFonts w:hint="eastAsia" w:cs="宋体"/>
          <w:b/>
          <w:bCs/>
          <w:sz w:val="24"/>
        </w:rPr>
        <w:t>1. 安装调试的要求</w:t>
      </w:r>
    </w:p>
    <w:p w14:paraId="07F1074D">
      <w:pPr>
        <w:adjustRightInd w:val="0"/>
        <w:snapToGrid w:val="0"/>
        <w:spacing w:line="360" w:lineRule="auto"/>
        <w:rPr>
          <w:rFonts w:cs="宋体"/>
          <w:sz w:val="24"/>
        </w:rPr>
      </w:pPr>
      <w:r>
        <w:rPr>
          <w:rFonts w:hint="eastAsia" w:cs="宋体"/>
          <w:sz w:val="24"/>
        </w:rPr>
        <w:t>1.1仪器设备运抵安装现场后，在七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14:paraId="44B1C766">
      <w:pPr>
        <w:adjustRightInd w:val="0"/>
        <w:snapToGrid w:val="0"/>
        <w:spacing w:line="360" w:lineRule="auto"/>
        <w:rPr>
          <w:rFonts w:cs="宋体"/>
          <w:sz w:val="24"/>
        </w:rPr>
      </w:pPr>
      <w:r>
        <w:rPr>
          <w:rFonts w:hint="eastAsia" w:cs="宋体"/>
          <w:sz w:val="24"/>
        </w:rPr>
        <w:t>1.2验收由采购人及相关人员依国家有关标准、合同及有关附件要求进行，验收完毕由采购人在验收报告上签名。</w:t>
      </w:r>
    </w:p>
    <w:p w14:paraId="733B7742">
      <w:pPr>
        <w:adjustRightInd w:val="0"/>
        <w:snapToGrid w:val="0"/>
        <w:spacing w:line="360" w:lineRule="auto"/>
        <w:rPr>
          <w:rFonts w:cs="宋体"/>
          <w:sz w:val="24"/>
        </w:rPr>
      </w:pPr>
    </w:p>
    <w:p w14:paraId="4B5B0BB2">
      <w:pPr>
        <w:adjustRightInd w:val="0"/>
        <w:snapToGrid w:val="0"/>
        <w:spacing w:line="360" w:lineRule="auto"/>
        <w:rPr>
          <w:rFonts w:cs="宋体"/>
          <w:sz w:val="24"/>
        </w:rPr>
      </w:pPr>
      <w:r>
        <w:rPr>
          <w:rFonts w:hint="eastAsia" w:cs="宋体"/>
          <w:b/>
          <w:bCs/>
          <w:sz w:val="24"/>
        </w:rPr>
        <w:t>2. 技术培训</w:t>
      </w:r>
    </w:p>
    <w:p w14:paraId="7EDC9B14">
      <w:pPr>
        <w:adjustRightInd w:val="0"/>
        <w:snapToGrid w:val="0"/>
        <w:spacing w:line="360" w:lineRule="auto"/>
        <w:rPr>
          <w:rFonts w:cs="宋体"/>
          <w:sz w:val="24"/>
        </w:rPr>
      </w:pPr>
      <w:r>
        <w:rPr>
          <w:rFonts w:hint="eastAsia" w:cs="宋体"/>
          <w:sz w:val="24"/>
        </w:rPr>
        <w:t>2.1现场培训：在安装仪器时由专业工程师进行免费安装调试和现场培训。讲解仪器内部构造、仪器维护保养以及简单的故障排除方法，直至用户技术人员熟练使用仪器以及会应用仪器完成整个分析检测工作。</w:t>
      </w:r>
    </w:p>
    <w:p w14:paraId="70365249">
      <w:pPr>
        <w:adjustRightInd w:val="0"/>
        <w:snapToGrid w:val="0"/>
        <w:spacing w:line="360" w:lineRule="auto"/>
        <w:rPr>
          <w:rFonts w:cs="宋体"/>
          <w:sz w:val="24"/>
        </w:rPr>
      </w:pPr>
      <w:r>
        <w:rPr>
          <w:rFonts w:hint="eastAsia" w:cs="宋体"/>
          <w:sz w:val="24"/>
        </w:rPr>
        <w:t>2.2现场回访培训。根据用户使用情况及需求，供应商不定期安排专业应用工程师免费对用户的使用情况进行提高培训，帮助客户解决遇到的问题和项目开发，并进行技术提高和方法开发等高级培训。</w:t>
      </w:r>
    </w:p>
    <w:p w14:paraId="6EFFBCD1">
      <w:pPr>
        <w:adjustRightInd w:val="0"/>
        <w:snapToGrid w:val="0"/>
        <w:spacing w:line="360" w:lineRule="auto"/>
        <w:rPr>
          <w:rFonts w:cs="宋体"/>
          <w:sz w:val="24"/>
        </w:rPr>
      </w:pPr>
    </w:p>
    <w:p w14:paraId="63FB9955">
      <w:pPr>
        <w:adjustRightInd w:val="0"/>
        <w:snapToGrid w:val="0"/>
        <w:spacing w:line="360" w:lineRule="auto"/>
        <w:rPr>
          <w:rFonts w:cs="宋体"/>
          <w:sz w:val="24"/>
        </w:rPr>
      </w:pPr>
      <w:r>
        <w:rPr>
          <w:rFonts w:hint="eastAsia" w:cs="宋体"/>
          <w:b/>
          <w:bCs/>
          <w:sz w:val="24"/>
        </w:rPr>
        <w:t>3. 质保期</w:t>
      </w:r>
    </w:p>
    <w:p w14:paraId="46363203">
      <w:pPr>
        <w:adjustRightInd w:val="0"/>
        <w:snapToGrid w:val="0"/>
        <w:spacing w:line="360" w:lineRule="auto"/>
        <w:ind w:firstLine="420"/>
        <w:rPr>
          <w:rFonts w:cs="宋体"/>
          <w:sz w:val="24"/>
        </w:rPr>
      </w:pPr>
      <w:r>
        <w:rPr>
          <w:rFonts w:hint="eastAsia" w:cs="宋体"/>
          <w:sz w:val="24"/>
          <w:highlight w:val="yellow"/>
        </w:rPr>
        <w:t>提供2年的免费质保服务。</w:t>
      </w:r>
      <w:r>
        <w:rPr>
          <w:rFonts w:hint="eastAsia" w:cs="宋体"/>
          <w:sz w:val="24"/>
        </w:rPr>
        <w:t>包含维修工时费及维修所需的基本耗材，制造商在国内的技术服务中心（包括维修中心）应当提供所有的服务，包括备有零件及易耗品。</w:t>
      </w:r>
    </w:p>
    <w:p w14:paraId="282978A7">
      <w:pPr>
        <w:adjustRightInd w:val="0"/>
        <w:snapToGrid w:val="0"/>
        <w:spacing w:line="360" w:lineRule="auto"/>
        <w:rPr>
          <w:rFonts w:cs="宋体"/>
          <w:sz w:val="24"/>
        </w:rPr>
      </w:pPr>
    </w:p>
    <w:p w14:paraId="5A067728">
      <w:pPr>
        <w:adjustRightInd w:val="0"/>
        <w:snapToGrid w:val="0"/>
        <w:spacing w:line="360" w:lineRule="auto"/>
        <w:rPr>
          <w:rFonts w:cs="宋体"/>
          <w:sz w:val="24"/>
        </w:rPr>
      </w:pPr>
      <w:r>
        <w:rPr>
          <w:rFonts w:hint="eastAsia" w:cs="宋体"/>
          <w:b/>
          <w:bCs/>
          <w:sz w:val="24"/>
        </w:rPr>
        <w:t>4.售后服务</w:t>
      </w:r>
    </w:p>
    <w:p w14:paraId="4516273A">
      <w:pPr>
        <w:adjustRightInd w:val="0"/>
        <w:snapToGrid w:val="0"/>
        <w:spacing w:line="360" w:lineRule="auto"/>
        <w:rPr>
          <w:sz w:val="24"/>
        </w:rPr>
      </w:pPr>
      <w:r>
        <w:rPr>
          <w:rFonts w:hint="eastAsia"/>
          <w:sz w:val="24"/>
        </w:rPr>
        <w:t>4.1 供应商在中国境内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14:paraId="7DEBB2E9">
      <w:pPr>
        <w:adjustRightInd w:val="0"/>
        <w:snapToGrid w:val="0"/>
        <w:spacing w:line="360" w:lineRule="auto"/>
        <w:ind w:firstLine="420"/>
        <w:rPr>
          <w:sz w:val="24"/>
        </w:rPr>
      </w:pPr>
      <w:r>
        <w:rPr>
          <w:rFonts w:hint="eastAsia"/>
          <w:sz w:val="24"/>
        </w:rPr>
        <w:t>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14:paraId="563B827D">
      <w:pPr>
        <w:adjustRightInd w:val="0"/>
        <w:snapToGrid w:val="0"/>
        <w:spacing w:line="360" w:lineRule="auto"/>
        <w:rPr>
          <w:sz w:val="24"/>
        </w:rPr>
      </w:pPr>
      <w:r>
        <w:rPr>
          <w:rFonts w:hint="eastAsia"/>
          <w:sz w:val="24"/>
        </w:rPr>
        <w:t>4.2 后期更换配件及易耗品成本价提供。保障投标设备停产后10年的关键零部件（包括易耗品）供应。</w:t>
      </w:r>
    </w:p>
    <w:p w14:paraId="4409DA57">
      <w:pPr>
        <w:adjustRightInd w:val="0"/>
        <w:snapToGrid w:val="0"/>
        <w:spacing w:line="360" w:lineRule="auto"/>
        <w:rPr>
          <w:rFonts w:cs="宋体"/>
          <w:sz w:val="24"/>
        </w:rPr>
      </w:pPr>
    </w:p>
    <w:p w14:paraId="490A08C8">
      <w:pPr>
        <w:adjustRightInd w:val="0"/>
        <w:snapToGrid w:val="0"/>
        <w:spacing w:line="360" w:lineRule="auto"/>
        <w:rPr>
          <w:rFonts w:cs="宋体"/>
          <w:b/>
          <w:sz w:val="24"/>
        </w:rPr>
      </w:pPr>
      <w:r>
        <w:rPr>
          <w:rFonts w:hint="eastAsia" w:cs="宋体"/>
          <w:b/>
          <w:sz w:val="24"/>
        </w:rPr>
        <w:t>（三） 订货数量：</w:t>
      </w:r>
    </w:p>
    <w:p w14:paraId="20FFBDF2">
      <w:pPr>
        <w:adjustRightInd w:val="0"/>
        <w:snapToGrid w:val="0"/>
        <w:spacing w:line="360" w:lineRule="auto"/>
        <w:ind w:firstLine="480" w:firstLineChars="200"/>
        <w:rPr>
          <w:rFonts w:cs="宋体"/>
          <w:sz w:val="24"/>
        </w:rPr>
      </w:pPr>
      <w:r>
        <w:rPr>
          <w:rFonts w:hint="eastAsia" w:cs="宋体"/>
          <w:sz w:val="24"/>
        </w:rPr>
        <w:t>1套</w:t>
      </w:r>
    </w:p>
    <w:p w14:paraId="0E26A5DD">
      <w:pPr>
        <w:adjustRightInd w:val="0"/>
        <w:snapToGrid w:val="0"/>
        <w:spacing w:line="360" w:lineRule="auto"/>
        <w:rPr>
          <w:rFonts w:cs="宋体"/>
          <w:sz w:val="24"/>
        </w:rPr>
      </w:pPr>
    </w:p>
    <w:p w14:paraId="7BB5C48E">
      <w:pPr>
        <w:adjustRightInd w:val="0"/>
        <w:snapToGrid w:val="0"/>
        <w:spacing w:line="360" w:lineRule="auto"/>
        <w:rPr>
          <w:rFonts w:cs="宋体"/>
          <w:b/>
          <w:sz w:val="24"/>
        </w:rPr>
      </w:pPr>
      <w:r>
        <w:rPr>
          <w:rFonts w:hint="eastAsia" w:cs="宋体"/>
          <w:b/>
          <w:sz w:val="24"/>
        </w:rPr>
        <w:t>（四）交货地：</w:t>
      </w:r>
    </w:p>
    <w:p w14:paraId="07428169">
      <w:pPr>
        <w:adjustRightInd w:val="0"/>
        <w:snapToGrid w:val="0"/>
        <w:spacing w:line="360" w:lineRule="auto"/>
        <w:ind w:firstLine="470" w:firstLineChars="196"/>
        <w:rPr>
          <w:sz w:val="24"/>
        </w:rPr>
      </w:pPr>
      <w:r>
        <w:rPr>
          <w:rFonts w:hint="eastAsia"/>
          <w:sz w:val="24"/>
        </w:rPr>
        <w:t>用户指定地点</w:t>
      </w:r>
    </w:p>
    <w:p w14:paraId="1D6B5C82">
      <w:pPr>
        <w:adjustRightInd w:val="0"/>
        <w:snapToGrid w:val="0"/>
        <w:spacing w:line="360" w:lineRule="auto"/>
        <w:rPr>
          <w:sz w:val="24"/>
        </w:rPr>
      </w:pPr>
    </w:p>
    <w:p w14:paraId="3AC8A604">
      <w:pPr>
        <w:adjustRightInd w:val="0"/>
        <w:snapToGrid w:val="0"/>
        <w:spacing w:line="360" w:lineRule="auto"/>
        <w:rPr>
          <w:rFonts w:cs="宋体"/>
          <w:b/>
          <w:sz w:val="24"/>
        </w:rPr>
      </w:pPr>
      <w:r>
        <w:rPr>
          <w:rFonts w:hint="eastAsia" w:cs="宋体"/>
          <w:b/>
          <w:sz w:val="24"/>
        </w:rPr>
        <w:t>（五）交货日期：</w:t>
      </w:r>
    </w:p>
    <w:p w14:paraId="3E95C989">
      <w:pPr>
        <w:adjustRightInd w:val="0"/>
        <w:snapToGrid w:val="0"/>
        <w:spacing w:line="360" w:lineRule="auto"/>
        <w:ind w:firstLine="470" w:firstLineChars="196"/>
        <w:rPr>
          <w:rFonts w:cs="宋体"/>
          <w:sz w:val="24"/>
        </w:rPr>
      </w:pPr>
      <w:r>
        <w:rPr>
          <w:rFonts w:hint="eastAsia" w:cs="宋体"/>
          <w:sz w:val="24"/>
        </w:rPr>
        <w:t>合同生效后2个月</w:t>
      </w:r>
    </w:p>
    <w:p w14:paraId="13615DB2">
      <w:pPr>
        <w:adjustRightInd w:val="0"/>
        <w:snapToGrid w:val="0"/>
        <w:spacing w:line="360" w:lineRule="auto"/>
        <w:rPr>
          <w:rFonts w:cs="宋体"/>
          <w:sz w:val="24"/>
        </w:rPr>
      </w:pPr>
    </w:p>
    <w:p w14:paraId="19542FBC">
      <w:pPr>
        <w:adjustRightInd w:val="0"/>
        <w:snapToGrid w:val="0"/>
        <w:spacing w:line="360" w:lineRule="auto"/>
        <w:rPr>
          <w:b/>
          <w:sz w:val="24"/>
        </w:rPr>
      </w:pPr>
      <w:r>
        <w:rPr>
          <w:rFonts w:hint="eastAsia"/>
          <w:b/>
          <w:sz w:val="24"/>
        </w:rPr>
        <w:t>（六）执行的相关标准</w:t>
      </w:r>
    </w:p>
    <w:p w14:paraId="4DB8105E">
      <w:pPr>
        <w:adjustRightInd w:val="0"/>
        <w:snapToGrid w:val="0"/>
        <w:spacing w:line="360" w:lineRule="auto"/>
        <w:ind w:firstLine="420"/>
        <w:rPr>
          <w:rFonts w:cs="宋体"/>
          <w:kern w:val="0"/>
          <w:sz w:val="24"/>
        </w:rPr>
      </w:pPr>
      <w:r>
        <w:rPr>
          <w:rFonts w:hint="eastAsia" w:cs="宋体"/>
          <w:kern w:val="0"/>
          <w:sz w:val="24"/>
        </w:rPr>
        <w:t>产品应满足相关国家标准及行业标准。</w:t>
      </w:r>
    </w:p>
    <w:p w14:paraId="2958D485">
      <w:pPr>
        <w:adjustRightInd w:val="0"/>
        <w:snapToGrid w:val="0"/>
        <w:spacing w:line="360" w:lineRule="auto"/>
        <w:rPr>
          <w:rFonts w:cs="宋体"/>
          <w:kern w:val="0"/>
          <w:sz w:val="24"/>
        </w:rPr>
      </w:pPr>
    </w:p>
    <w:p w14:paraId="4FDDBB25">
      <w:pPr>
        <w:adjustRightInd w:val="0"/>
        <w:snapToGrid w:val="0"/>
        <w:spacing w:line="360" w:lineRule="auto"/>
        <w:rPr>
          <w:rFonts w:cs="宋体"/>
          <w:b/>
          <w:bCs/>
          <w:kern w:val="0"/>
          <w:sz w:val="24"/>
        </w:rPr>
      </w:pPr>
      <w:r>
        <w:rPr>
          <w:rFonts w:hint="eastAsia" w:cs="宋体"/>
          <w:b/>
          <w:bCs/>
          <w:kern w:val="0"/>
          <w:sz w:val="24"/>
        </w:rPr>
        <w:t>（七）验收要求：</w:t>
      </w:r>
    </w:p>
    <w:p w14:paraId="08616990">
      <w:pPr>
        <w:adjustRightInd w:val="0"/>
        <w:snapToGrid w:val="0"/>
        <w:spacing w:line="360" w:lineRule="auto"/>
        <w:rPr>
          <w:sz w:val="24"/>
        </w:rPr>
      </w:pPr>
      <w:r>
        <w:rPr>
          <w:rFonts w:hint="eastAsia"/>
          <w:sz w:val="24"/>
          <w:szCs w:val="21"/>
        </w:rPr>
        <w:t>★</w:t>
      </w:r>
      <w:r>
        <w:rPr>
          <w:rFonts w:hint="eastAsia"/>
          <w:sz w:val="24"/>
        </w:rPr>
        <w:t>1. 设备的配置、功能和技术实质性指标必须满足招标文件要求，所有技术指标必须能够现场验收或提供第三方权威机构的证明材料，投标商需在投标文件中提供完备的现场验收方案，</w:t>
      </w:r>
      <w:r>
        <w:rPr>
          <w:rFonts w:hint="eastAsia"/>
          <w:b/>
          <w:bCs/>
          <w:sz w:val="24"/>
        </w:rPr>
        <w:t>未提交现场验收方案将作为废标处理。</w:t>
      </w:r>
    </w:p>
    <w:p w14:paraId="1C1B7B1A">
      <w:pPr>
        <w:adjustRightInd w:val="0"/>
        <w:snapToGrid w:val="0"/>
        <w:spacing w:line="360" w:lineRule="auto"/>
        <w:rPr>
          <w:sz w:val="24"/>
        </w:rPr>
      </w:pPr>
      <w:r>
        <w:rPr>
          <w:sz w:val="24"/>
        </w:rPr>
        <w:t>2.</w:t>
      </w:r>
      <w:r>
        <w:rPr>
          <w:rFonts w:hint="eastAsia"/>
          <w:sz w:val="24"/>
        </w:rPr>
        <w:t xml:space="preserve"> </w:t>
      </w:r>
      <w:r>
        <w:rPr>
          <w:sz w:val="24"/>
        </w:rPr>
        <w:t>技术指标现场验收方案科学</w:t>
      </w:r>
      <w:r>
        <w:rPr>
          <w:rFonts w:hint="eastAsia"/>
          <w:sz w:val="24"/>
        </w:rPr>
        <w:t>、</w:t>
      </w:r>
      <w:r>
        <w:rPr>
          <w:sz w:val="24"/>
        </w:rPr>
        <w:t>合理</w:t>
      </w:r>
      <w:r>
        <w:rPr>
          <w:rFonts w:hint="eastAsia"/>
          <w:sz w:val="24"/>
        </w:rPr>
        <w:t>，具有</w:t>
      </w:r>
      <w:r>
        <w:rPr>
          <w:sz w:val="24"/>
        </w:rPr>
        <w:t>可行性。</w:t>
      </w:r>
    </w:p>
    <w:p w14:paraId="654E5A5A">
      <w:pPr>
        <w:adjustRightInd w:val="0"/>
        <w:snapToGrid w:val="0"/>
        <w:spacing w:line="360" w:lineRule="auto"/>
        <w:rPr>
          <w:sz w:val="24"/>
        </w:rPr>
      </w:pPr>
    </w:p>
    <w:p w14:paraId="09ED1A98">
      <w:pPr>
        <w:adjustRightInd w:val="0"/>
        <w:snapToGrid w:val="0"/>
        <w:spacing w:line="360" w:lineRule="auto"/>
        <w:rPr>
          <w:rFonts w:cs="宋体"/>
          <w:b/>
          <w:bCs/>
          <w:kern w:val="0"/>
          <w:sz w:val="24"/>
        </w:rPr>
      </w:pPr>
      <w:r>
        <w:rPr>
          <w:rFonts w:hint="eastAsia" w:cs="宋体"/>
          <w:b/>
          <w:bCs/>
          <w:kern w:val="0"/>
          <w:sz w:val="24"/>
        </w:rPr>
        <w:t>（八）付款方式：</w:t>
      </w:r>
    </w:p>
    <w:p w14:paraId="68220246">
      <w:pPr>
        <w:adjustRightInd w:val="0"/>
        <w:snapToGrid w:val="0"/>
        <w:spacing w:line="360" w:lineRule="auto"/>
        <w:ind w:firstLine="480" w:firstLineChars="200"/>
        <w:rPr>
          <w:rFonts w:cs="宋体"/>
          <w:kern w:val="0"/>
          <w:sz w:val="24"/>
        </w:rPr>
      </w:pPr>
      <w:r>
        <w:rPr>
          <w:rFonts w:hint="eastAsia" w:cs="宋体"/>
          <w:kern w:val="0"/>
          <w:sz w:val="24"/>
        </w:rPr>
        <w:t>100%凭用户代表签字并加盖单位公章后的验收报告支付。</w:t>
      </w:r>
    </w:p>
    <w:p w14:paraId="7BBE1516">
      <w:pPr>
        <w:adjustRightInd w:val="0"/>
        <w:snapToGrid w:val="0"/>
        <w:spacing w:line="360" w:lineRule="auto"/>
        <w:ind w:firstLine="241" w:firstLineChars="100"/>
        <w:rPr>
          <w:b/>
          <w:sz w:val="24"/>
          <w:szCs w:val="30"/>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inherit">
    <w:altName w:val="宋体"/>
    <w:panose1 w:val="00000000000000000000"/>
    <w:charset w:val="00"/>
    <w:family w:val="roman"/>
    <w:pitch w:val="default"/>
    <w:sig w:usb0="00000000" w:usb1="00000000" w:usb2="00000000" w:usb3="00000000" w:csb0="00040001" w:csb1="00000000"/>
  </w:font>
  <w:font w:name="time of new roman">
    <w:altName w:val="宋体"/>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9398E">
    <w:pPr>
      <w:pStyle w:val="25"/>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87055">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00A8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1523F"/>
    <w:rsid w:val="00027C8D"/>
    <w:rsid w:val="00031774"/>
    <w:rsid w:val="0003766C"/>
    <w:rsid w:val="00040005"/>
    <w:rsid w:val="0005063A"/>
    <w:rsid w:val="000543E7"/>
    <w:rsid w:val="0006010D"/>
    <w:rsid w:val="000668DC"/>
    <w:rsid w:val="000678B4"/>
    <w:rsid w:val="00071927"/>
    <w:rsid w:val="00075649"/>
    <w:rsid w:val="00081ADD"/>
    <w:rsid w:val="00092A30"/>
    <w:rsid w:val="000933C0"/>
    <w:rsid w:val="000969BB"/>
    <w:rsid w:val="000973D2"/>
    <w:rsid w:val="000A6DF7"/>
    <w:rsid w:val="000B0D1B"/>
    <w:rsid w:val="000B12EC"/>
    <w:rsid w:val="000B636A"/>
    <w:rsid w:val="000C1F98"/>
    <w:rsid w:val="000C325D"/>
    <w:rsid w:val="000C505C"/>
    <w:rsid w:val="000D1A3C"/>
    <w:rsid w:val="000D6611"/>
    <w:rsid w:val="000E0B0C"/>
    <w:rsid w:val="000E17D4"/>
    <w:rsid w:val="000E4DA9"/>
    <w:rsid w:val="000F0512"/>
    <w:rsid w:val="000F4571"/>
    <w:rsid w:val="00103352"/>
    <w:rsid w:val="00105333"/>
    <w:rsid w:val="00107AF4"/>
    <w:rsid w:val="001140D0"/>
    <w:rsid w:val="001235CA"/>
    <w:rsid w:val="00123DC4"/>
    <w:rsid w:val="00137D93"/>
    <w:rsid w:val="001437EA"/>
    <w:rsid w:val="001444BD"/>
    <w:rsid w:val="00144505"/>
    <w:rsid w:val="00144DDA"/>
    <w:rsid w:val="00146924"/>
    <w:rsid w:val="0014761F"/>
    <w:rsid w:val="00151F81"/>
    <w:rsid w:val="00153F11"/>
    <w:rsid w:val="00154F47"/>
    <w:rsid w:val="00155A34"/>
    <w:rsid w:val="00157F37"/>
    <w:rsid w:val="00164E27"/>
    <w:rsid w:val="001660EA"/>
    <w:rsid w:val="001773D2"/>
    <w:rsid w:val="0018327F"/>
    <w:rsid w:val="00191AAE"/>
    <w:rsid w:val="001921CA"/>
    <w:rsid w:val="00194900"/>
    <w:rsid w:val="001A0E56"/>
    <w:rsid w:val="001A6E63"/>
    <w:rsid w:val="001A7A68"/>
    <w:rsid w:val="001B195C"/>
    <w:rsid w:val="001B62CC"/>
    <w:rsid w:val="001B66E1"/>
    <w:rsid w:val="001B6E57"/>
    <w:rsid w:val="001D7301"/>
    <w:rsid w:val="001E1467"/>
    <w:rsid w:val="001E152C"/>
    <w:rsid w:val="001E3480"/>
    <w:rsid w:val="001F18B7"/>
    <w:rsid w:val="001F1D2B"/>
    <w:rsid w:val="001F5FAD"/>
    <w:rsid w:val="001F79B6"/>
    <w:rsid w:val="002024C7"/>
    <w:rsid w:val="00206639"/>
    <w:rsid w:val="00207E43"/>
    <w:rsid w:val="0021259E"/>
    <w:rsid w:val="00213C28"/>
    <w:rsid w:val="00224FE7"/>
    <w:rsid w:val="00233C8A"/>
    <w:rsid w:val="0024086B"/>
    <w:rsid w:val="00240E7B"/>
    <w:rsid w:val="00241551"/>
    <w:rsid w:val="00247ED0"/>
    <w:rsid w:val="00251DB7"/>
    <w:rsid w:val="00256309"/>
    <w:rsid w:val="00265D68"/>
    <w:rsid w:val="002672D1"/>
    <w:rsid w:val="00275598"/>
    <w:rsid w:val="002761A3"/>
    <w:rsid w:val="0028124D"/>
    <w:rsid w:val="00282A80"/>
    <w:rsid w:val="00282F14"/>
    <w:rsid w:val="00292E0B"/>
    <w:rsid w:val="002B3C13"/>
    <w:rsid w:val="002B44BD"/>
    <w:rsid w:val="002B6E7A"/>
    <w:rsid w:val="002B7380"/>
    <w:rsid w:val="002C1FB1"/>
    <w:rsid w:val="002C47B5"/>
    <w:rsid w:val="002D5C47"/>
    <w:rsid w:val="002E03AA"/>
    <w:rsid w:val="002E6A76"/>
    <w:rsid w:val="002F1704"/>
    <w:rsid w:val="002F6DE0"/>
    <w:rsid w:val="002F6FCA"/>
    <w:rsid w:val="002F7EF8"/>
    <w:rsid w:val="00301191"/>
    <w:rsid w:val="00312431"/>
    <w:rsid w:val="00322611"/>
    <w:rsid w:val="003248D5"/>
    <w:rsid w:val="00326D72"/>
    <w:rsid w:val="0033189B"/>
    <w:rsid w:val="003442AE"/>
    <w:rsid w:val="0034443A"/>
    <w:rsid w:val="003474B8"/>
    <w:rsid w:val="00353E66"/>
    <w:rsid w:val="00357C16"/>
    <w:rsid w:val="003637C6"/>
    <w:rsid w:val="003732CC"/>
    <w:rsid w:val="00373B63"/>
    <w:rsid w:val="00374F9A"/>
    <w:rsid w:val="00377372"/>
    <w:rsid w:val="00382C0C"/>
    <w:rsid w:val="00397F24"/>
    <w:rsid w:val="003A18B5"/>
    <w:rsid w:val="003A298A"/>
    <w:rsid w:val="003A3939"/>
    <w:rsid w:val="003B4F45"/>
    <w:rsid w:val="003B6193"/>
    <w:rsid w:val="003C172D"/>
    <w:rsid w:val="003C7092"/>
    <w:rsid w:val="003C785A"/>
    <w:rsid w:val="003D2B81"/>
    <w:rsid w:val="003E410D"/>
    <w:rsid w:val="003E49F5"/>
    <w:rsid w:val="003F430D"/>
    <w:rsid w:val="003F5F7A"/>
    <w:rsid w:val="004043A2"/>
    <w:rsid w:val="00404EA5"/>
    <w:rsid w:val="00406CE3"/>
    <w:rsid w:val="00415144"/>
    <w:rsid w:val="00420D92"/>
    <w:rsid w:val="0042297A"/>
    <w:rsid w:val="004248D5"/>
    <w:rsid w:val="004333B8"/>
    <w:rsid w:val="004362C7"/>
    <w:rsid w:val="00437D39"/>
    <w:rsid w:val="0044106E"/>
    <w:rsid w:val="00446E68"/>
    <w:rsid w:val="00447503"/>
    <w:rsid w:val="00454AF1"/>
    <w:rsid w:val="00457522"/>
    <w:rsid w:val="0046038A"/>
    <w:rsid w:val="00460CF2"/>
    <w:rsid w:val="00471176"/>
    <w:rsid w:val="00473326"/>
    <w:rsid w:val="00484FF8"/>
    <w:rsid w:val="00486DD8"/>
    <w:rsid w:val="004A0EB1"/>
    <w:rsid w:val="004A3B49"/>
    <w:rsid w:val="004A5C14"/>
    <w:rsid w:val="004B3476"/>
    <w:rsid w:val="004B36B8"/>
    <w:rsid w:val="004C387C"/>
    <w:rsid w:val="004D0AB9"/>
    <w:rsid w:val="004E042A"/>
    <w:rsid w:val="004E4504"/>
    <w:rsid w:val="004F0FDE"/>
    <w:rsid w:val="004F3E07"/>
    <w:rsid w:val="00504FD3"/>
    <w:rsid w:val="00512882"/>
    <w:rsid w:val="005143FF"/>
    <w:rsid w:val="00516FEB"/>
    <w:rsid w:val="00517408"/>
    <w:rsid w:val="005244F5"/>
    <w:rsid w:val="00524665"/>
    <w:rsid w:val="00543C0A"/>
    <w:rsid w:val="0054699B"/>
    <w:rsid w:val="005515EB"/>
    <w:rsid w:val="0055226E"/>
    <w:rsid w:val="00552E7C"/>
    <w:rsid w:val="005601D0"/>
    <w:rsid w:val="005613B2"/>
    <w:rsid w:val="0056304A"/>
    <w:rsid w:val="00565357"/>
    <w:rsid w:val="00565B93"/>
    <w:rsid w:val="0057066D"/>
    <w:rsid w:val="00572671"/>
    <w:rsid w:val="00573E7D"/>
    <w:rsid w:val="0059014A"/>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3CB3"/>
    <w:rsid w:val="00614D00"/>
    <w:rsid w:val="006225E2"/>
    <w:rsid w:val="0062676A"/>
    <w:rsid w:val="00640DB1"/>
    <w:rsid w:val="006416E9"/>
    <w:rsid w:val="00641A29"/>
    <w:rsid w:val="0064545D"/>
    <w:rsid w:val="00646C82"/>
    <w:rsid w:val="00647CD5"/>
    <w:rsid w:val="006548A6"/>
    <w:rsid w:val="00655478"/>
    <w:rsid w:val="00664D7F"/>
    <w:rsid w:val="00673641"/>
    <w:rsid w:val="006858B6"/>
    <w:rsid w:val="006859BC"/>
    <w:rsid w:val="006942DE"/>
    <w:rsid w:val="0069730F"/>
    <w:rsid w:val="006A377B"/>
    <w:rsid w:val="006B0930"/>
    <w:rsid w:val="006C4384"/>
    <w:rsid w:val="006C5135"/>
    <w:rsid w:val="006C546E"/>
    <w:rsid w:val="006D29F2"/>
    <w:rsid w:val="006E2DE0"/>
    <w:rsid w:val="006E4080"/>
    <w:rsid w:val="006E5A8E"/>
    <w:rsid w:val="0070081C"/>
    <w:rsid w:val="0071653B"/>
    <w:rsid w:val="00721985"/>
    <w:rsid w:val="00724C84"/>
    <w:rsid w:val="007252A8"/>
    <w:rsid w:val="00725C0A"/>
    <w:rsid w:val="0073119D"/>
    <w:rsid w:val="0073199C"/>
    <w:rsid w:val="007376B0"/>
    <w:rsid w:val="00740508"/>
    <w:rsid w:val="00743776"/>
    <w:rsid w:val="00751428"/>
    <w:rsid w:val="0075674B"/>
    <w:rsid w:val="00761F2B"/>
    <w:rsid w:val="00763B74"/>
    <w:rsid w:val="007731D0"/>
    <w:rsid w:val="00775B16"/>
    <w:rsid w:val="00783049"/>
    <w:rsid w:val="00785A0A"/>
    <w:rsid w:val="00787CED"/>
    <w:rsid w:val="007967F8"/>
    <w:rsid w:val="007A3772"/>
    <w:rsid w:val="007C023B"/>
    <w:rsid w:val="007C2696"/>
    <w:rsid w:val="007C4C31"/>
    <w:rsid w:val="007C5EA5"/>
    <w:rsid w:val="007D381E"/>
    <w:rsid w:val="007D3EE2"/>
    <w:rsid w:val="007D489D"/>
    <w:rsid w:val="007E03CA"/>
    <w:rsid w:val="007E6193"/>
    <w:rsid w:val="007F2F97"/>
    <w:rsid w:val="007F387D"/>
    <w:rsid w:val="007F6A74"/>
    <w:rsid w:val="007F7152"/>
    <w:rsid w:val="0081061E"/>
    <w:rsid w:val="00814F29"/>
    <w:rsid w:val="00815919"/>
    <w:rsid w:val="008203E6"/>
    <w:rsid w:val="00822633"/>
    <w:rsid w:val="00830107"/>
    <w:rsid w:val="00831B02"/>
    <w:rsid w:val="00833174"/>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3362"/>
    <w:rsid w:val="008C36D3"/>
    <w:rsid w:val="008C6252"/>
    <w:rsid w:val="008D0675"/>
    <w:rsid w:val="008D1425"/>
    <w:rsid w:val="008D3BC8"/>
    <w:rsid w:val="008D6F23"/>
    <w:rsid w:val="008E5EB5"/>
    <w:rsid w:val="008E745A"/>
    <w:rsid w:val="008F04C7"/>
    <w:rsid w:val="008F21A5"/>
    <w:rsid w:val="008F2440"/>
    <w:rsid w:val="008F7526"/>
    <w:rsid w:val="00914619"/>
    <w:rsid w:val="009202C8"/>
    <w:rsid w:val="009246BA"/>
    <w:rsid w:val="00930CDE"/>
    <w:rsid w:val="00935AA1"/>
    <w:rsid w:val="009451DC"/>
    <w:rsid w:val="00945B5F"/>
    <w:rsid w:val="009467F2"/>
    <w:rsid w:val="00952E72"/>
    <w:rsid w:val="0095655E"/>
    <w:rsid w:val="0095732B"/>
    <w:rsid w:val="009718ED"/>
    <w:rsid w:val="0097297B"/>
    <w:rsid w:val="00974E8F"/>
    <w:rsid w:val="0098154C"/>
    <w:rsid w:val="0098549E"/>
    <w:rsid w:val="009857EF"/>
    <w:rsid w:val="009941D8"/>
    <w:rsid w:val="009963B1"/>
    <w:rsid w:val="009A2C18"/>
    <w:rsid w:val="009C0A0B"/>
    <w:rsid w:val="009C14BD"/>
    <w:rsid w:val="009D1AF8"/>
    <w:rsid w:val="009D32B1"/>
    <w:rsid w:val="009E1C84"/>
    <w:rsid w:val="009E2388"/>
    <w:rsid w:val="009E32D4"/>
    <w:rsid w:val="009E4080"/>
    <w:rsid w:val="009E4DCB"/>
    <w:rsid w:val="009E55AF"/>
    <w:rsid w:val="009E580F"/>
    <w:rsid w:val="009E686B"/>
    <w:rsid w:val="009F5A6A"/>
    <w:rsid w:val="009F716E"/>
    <w:rsid w:val="00A01B3A"/>
    <w:rsid w:val="00A0205F"/>
    <w:rsid w:val="00A03914"/>
    <w:rsid w:val="00A04E9D"/>
    <w:rsid w:val="00A06893"/>
    <w:rsid w:val="00A21886"/>
    <w:rsid w:val="00A25682"/>
    <w:rsid w:val="00A2638C"/>
    <w:rsid w:val="00A27417"/>
    <w:rsid w:val="00A27AFD"/>
    <w:rsid w:val="00A354A8"/>
    <w:rsid w:val="00A4031E"/>
    <w:rsid w:val="00A44A2B"/>
    <w:rsid w:val="00A46F60"/>
    <w:rsid w:val="00A47E73"/>
    <w:rsid w:val="00A507A2"/>
    <w:rsid w:val="00A53234"/>
    <w:rsid w:val="00A57F47"/>
    <w:rsid w:val="00A87CFF"/>
    <w:rsid w:val="00A90B20"/>
    <w:rsid w:val="00A97DF2"/>
    <w:rsid w:val="00AA776D"/>
    <w:rsid w:val="00AA7A0D"/>
    <w:rsid w:val="00AB113B"/>
    <w:rsid w:val="00AD2FD2"/>
    <w:rsid w:val="00AD41E6"/>
    <w:rsid w:val="00AD4ECF"/>
    <w:rsid w:val="00AD70C8"/>
    <w:rsid w:val="00AF6067"/>
    <w:rsid w:val="00B02352"/>
    <w:rsid w:val="00B0375A"/>
    <w:rsid w:val="00B04039"/>
    <w:rsid w:val="00B05C1F"/>
    <w:rsid w:val="00B07AAD"/>
    <w:rsid w:val="00B11B97"/>
    <w:rsid w:val="00B15273"/>
    <w:rsid w:val="00B16887"/>
    <w:rsid w:val="00B1746F"/>
    <w:rsid w:val="00B27A2B"/>
    <w:rsid w:val="00B30A24"/>
    <w:rsid w:val="00B31F00"/>
    <w:rsid w:val="00B351A2"/>
    <w:rsid w:val="00B41959"/>
    <w:rsid w:val="00B42C18"/>
    <w:rsid w:val="00B43CF7"/>
    <w:rsid w:val="00B44327"/>
    <w:rsid w:val="00B53944"/>
    <w:rsid w:val="00B61FDD"/>
    <w:rsid w:val="00B657D8"/>
    <w:rsid w:val="00B758E7"/>
    <w:rsid w:val="00B75B80"/>
    <w:rsid w:val="00B81149"/>
    <w:rsid w:val="00B83CEC"/>
    <w:rsid w:val="00B8672D"/>
    <w:rsid w:val="00B94FB1"/>
    <w:rsid w:val="00BC179B"/>
    <w:rsid w:val="00BC47F8"/>
    <w:rsid w:val="00BC7FBC"/>
    <w:rsid w:val="00BD11D6"/>
    <w:rsid w:val="00BD2A3B"/>
    <w:rsid w:val="00BD646D"/>
    <w:rsid w:val="00BD6A33"/>
    <w:rsid w:val="00BD7ED0"/>
    <w:rsid w:val="00BE5E06"/>
    <w:rsid w:val="00BE643E"/>
    <w:rsid w:val="00BE7CED"/>
    <w:rsid w:val="00BF2BB8"/>
    <w:rsid w:val="00BF59BF"/>
    <w:rsid w:val="00C056B5"/>
    <w:rsid w:val="00C10630"/>
    <w:rsid w:val="00C12939"/>
    <w:rsid w:val="00C14E3B"/>
    <w:rsid w:val="00C23BA4"/>
    <w:rsid w:val="00C241B2"/>
    <w:rsid w:val="00C34485"/>
    <w:rsid w:val="00C40AB3"/>
    <w:rsid w:val="00C43805"/>
    <w:rsid w:val="00C43E24"/>
    <w:rsid w:val="00C45235"/>
    <w:rsid w:val="00C60EF2"/>
    <w:rsid w:val="00C615B2"/>
    <w:rsid w:val="00C702F0"/>
    <w:rsid w:val="00C74553"/>
    <w:rsid w:val="00C75753"/>
    <w:rsid w:val="00C808B8"/>
    <w:rsid w:val="00C8112C"/>
    <w:rsid w:val="00C87EF4"/>
    <w:rsid w:val="00C954A4"/>
    <w:rsid w:val="00CA25D1"/>
    <w:rsid w:val="00CA623E"/>
    <w:rsid w:val="00CA630F"/>
    <w:rsid w:val="00CB4C32"/>
    <w:rsid w:val="00CB4EB2"/>
    <w:rsid w:val="00CB7A41"/>
    <w:rsid w:val="00CC7A0B"/>
    <w:rsid w:val="00CD0A52"/>
    <w:rsid w:val="00CD0EEF"/>
    <w:rsid w:val="00CD26E8"/>
    <w:rsid w:val="00CD64CD"/>
    <w:rsid w:val="00CE2041"/>
    <w:rsid w:val="00CE3059"/>
    <w:rsid w:val="00CE4960"/>
    <w:rsid w:val="00CE56FA"/>
    <w:rsid w:val="00CF0912"/>
    <w:rsid w:val="00CF414A"/>
    <w:rsid w:val="00D0060C"/>
    <w:rsid w:val="00D027B8"/>
    <w:rsid w:val="00D0409D"/>
    <w:rsid w:val="00D04134"/>
    <w:rsid w:val="00D0571C"/>
    <w:rsid w:val="00D0679B"/>
    <w:rsid w:val="00D11879"/>
    <w:rsid w:val="00D12547"/>
    <w:rsid w:val="00D15AAB"/>
    <w:rsid w:val="00D22D44"/>
    <w:rsid w:val="00D23040"/>
    <w:rsid w:val="00D37801"/>
    <w:rsid w:val="00D378BA"/>
    <w:rsid w:val="00D40668"/>
    <w:rsid w:val="00D51C13"/>
    <w:rsid w:val="00D54CDF"/>
    <w:rsid w:val="00D6263A"/>
    <w:rsid w:val="00D778D7"/>
    <w:rsid w:val="00D83934"/>
    <w:rsid w:val="00D861C3"/>
    <w:rsid w:val="00D91A0C"/>
    <w:rsid w:val="00D920BD"/>
    <w:rsid w:val="00D9239C"/>
    <w:rsid w:val="00D943EC"/>
    <w:rsid w:val="00D95955"/>
    <w:rsid w:val="00D979AB"/>
    <w:rsid w:val="00DA590C"/>
    <w:rsid w:val="00DA703D"/>
    <w:rsid w:val="00DB2FD0"/>
    <w:rsid w:val="00DB54CF"/>
    <w:rsid w:val="00DB7BA5"/>
    <w:rsid w:val="00DC1546"/>
    <w:rsid w:val="00DC7B14"/>
    <w:rsid w:val="00DD2172"/>
    <w:rsid w:val="00DD4A09"/>
    <w:rsid w:val="00DD4C25"/>
    <w:rsid w:val="00DD6A1F"/>
    <w:rsid w:val="00DE4C00"/>
    <w:rsid w:val="00DE5C67"/>
    <w:rsid w:val="00DF2449"/>
    <w:rsid w:val="00DF688E"/>
    <w:rsid w:val="00DF73FB"/>
    <w:rsid w:val="00DF7ACF"/>
    <w:rsid w:val="00E004CA"/>
    <w:rsid w:val="00E03391"/>
    <w:rsid w:val="00E0373B"/>
    <w:rsid w:val="00E07308"/>
    <w:rsid w:val="00E14474"/>
    <w:rsid w:val="00E179B5"/>
    <w:rsid w:val="00E26286"/>
    <w:rsid w:val="00E30AC2"/>
    <w:rsid w:val="00E33D84"/>
    <w:rsid w:val="00E34813"/>
    <w:rsid w:val="00E356D2"/>
    <w:rsid w:val="00E401B3"/>
    <w:rsid w:val="00E458DA"/>
    <w:rsid w:val="00E5272A"/>
    <w:rsid w:val="00E5687E"/>
    <w:rsid w:val="00E639CC"/>
    <w:rsid w:val="00E63D5B"/>
    <w:rsid w:val="00E671AD"/>
    <w:rsid w:val="00E83E40"/>
    <w:rsid w:val="00E857B8"/>
    <w:rsid w:val="00E907E5"/>
    <w:rsid w:val="00E92DC9"/>
    <w:rsid w:val="00E943B8"/>
    <w:rsid w:val="00EA11F7"/>
    <w:rsid w:val="00EA20B9"/>
    <w:rsid w:val="00EA4549"/>
    <w:rsid w:val="00EB6E5D"/>
    <w:rsid w:val="00ED04E8"/>
    <w:rsid w:val="00ED0B37"/>
    <w:rsid w:val="00ED22DF"/>
    <w:rsid w:val="00ED4C66"/>
    <w:rsid w:val="00ED6781"/>
    <w:rsid w:val="00EE3B36"/>
    <w:rsid w:val="00EE4BD8"/>
    <w:rsid w:val="00EF5BA0"/>
    <w:rsid w:val="00F11BF1"/>
    <w:rsid w:val="00F13600"/>
    <w:rsid w:val="00F15FC0"/>
    <w:rsid w:val="00F17042"/>
    <w:rsid w:val="00F175D1"/>
    <w:rsid w:val="00F21DA9"/>
    <w:rsid w:val="00F2208D"/>
    <w:rsid w:val="00F22A75"/>
    <w:rsid w:val="00F24E27"/>
    <w:rsid w:val="00F30C1E"/>
    <w:rsid w:val="00F3185D"/>
    <w:rsid w:val="00F33DCE"/>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661B"/>
    <w:rsid w:val="00FA6816"/>
    <w:rsid w:val="00FB5D79"/>
    <w:rsid w:val="00FD0031"/>
    <w:rsid w:val="00FE3D91"/>
    <w:rsid w:val="00FE55D2"/>
    <w:rsid w:val="00FF16D1"/>
    <w:rsid w:val="00FF5179"/>
    <w:rsid w:val="00FF728E"/>
    <w:rsid w:val="020B291A"/>
    <w:rsid w:val="02111A30"/>
    <w:rsid w:val="0538200B"/>
    <w:rsid w:val="053E2C54"/>
    <w:rsid w:val="0762073E"/>
    <w:rsid w:val="08A04AF6"/>
    <w:rsid w:val="09120680"/>
    <w:rsid w:val="094407AD"/>
    <w:rsid w:val="09A45050"/>
    <w:rsid w:val="09FA1199"/>
    <w:rsid w:val="0A182626"/>
    <w:rsid w:val="0A5B05D9"/>
    <w:rsid w:val="0A7730A6"/>
    <w:rsid w:val="0AE0030A"/>
    <w:rsid w:val="0D6B0DE4"/>
    <w:rsid w:val="0D8A6F81"/>
    <w:rsid w:val="0DFB64CD"/>
    <w:rsid w:val="0E39045D"/>
    <w:rsid w:val="0E865ECE"/>
    <w:rsid w:val="0E936CC2"/>
    <w:rsid w:val="0EE967FA"/>
    <w:rsid w:val="0F4075C9"/>
    <w:rsid w:val="0F4672D5"/>
    <w:rsid w:val="0F4E40DD"/>
    <w:rsid w:val="0F6F4465"/>
    <w:rsid w:val="10E279BE"/>
    <w:rsid w:val="11F50142"/>
    <w:rsid w:val="122E6778"/>
    <w:rsid w:val="124949E7"/>
    <w:rsid w:val="154649B5"/>
    <w:rsid w:val="15D708BB"/>
    <w:rsid w:val="15F52619"/>
    <w:rsid w:val="17CB6513"/>
    <w:rsid w:val="17E30B5F"/>
    <w:rsid w:val="17E30CEE"/>
    <w:rsid w:val="185D6BC0"/>
    <w:rsid w:val="195E346D"/>
    <w:rsid w:val="19A5164A"/>
    <w:rsid w:val="19AE7309"/>
    <w:rsid w:val="19BA4B96"/>
    <w:rsid w:val="1A18361C"/>
    <w:rsid w:val="1A902BB0"/>
    <w:rsid w:val="1B9E3D36"/>
    <w:rsid w:val="1BA06E8C"/>
    <w:rsid w:val="1BBA3A2F"/>
    <w:rsid w:val="1C686EB5"/>
    <w:rsid w:val="1C8F2A04"/>
    <w:rsid w:val="1D8B6157"/>
    <w:rsid w:val="20365C75"/>
    <w:rsid w:val="20863AF3"/>
    <w:rsid w:val="20FD3BD3"/>
    <w:rsid w:val="218B2C39"/>
    <w:rsid w:val="22597BF6"/>
    <w:rsid w:val="227819CB"/>
    <w:rsid w:val="22811364"/>
    <w:rsid w:val="23256975"/>
    <w:rsid w:val="23423424"/>
    <w:rsid w:val="240C4724"/>
    <w:rsid w:val="243F7370"/>
    <w:rsid w:val="2473547F"/>
    <w:rsid w:val="2488030D"/>
    <w:rsid w:val="2547125A"/>
    <w:rsid w:val="26053E04"/>
    <w:rsid w:val="26DD3CEE"/>
    <w:rsid w:val="270359EC"/>
    <w:rsid w:val="2734580E"/>
    <w:rsid w:val="27F05BD9"/>
    <w:rsid w:val="27F12816"/>
    <w:rsid w:val="28862099"/>
    <w:rsid w:val="2A03029E"/>
    <w:rsid w:val="2A8E004C"/>
    <w:rsid w:val="2ACC7B67"/>
    <w:rsid w:val="2B6A1BE2"/>
    <w:rsid w:val="2C425EFD"/>
    <w:rsid w:val="2CB90995"/>
    <w:rsid w:val="2D5179CF"/>
    <w:rsid w:val="2ED5581D"/>
    <w:rsid w:val="2F0A0AC9"/>
    <w:rsid w:val="2F25260C"/>
    <w:rsid w:val="2F633FA7"/>
    <w:rsid w:val="308A097E"/>
    <w:rsid w:val="30EF7EC2"/>
    <w:rsid w:val="319039E6"/>
    <w:rsid w:val="32085AE3"/>
    <w:rsid w:val="327F0D3B"/>
    <w:rsid w:val="331A4758"/>
    <w:rsid w:val="3369385E"/>
    <w:rsid w:val="33CA23C6"/>
    <w:rsid w:val="348B64F9"/>
    <w:rsid w:val="35C0542C"/>
    <w:rsid w:val="36483084"/>
    <w:rsid w:val="372B2789"/>
    <w:rsid w:val="384F06F9"/>
    <w:rsid w:val="395026E3"/>
    <w:rsid w:val="39904B26"/>
    <w:rsid w:val="39A43A9C"/>
    <w:rsid w:val="3AE72E6B"/>
    <w:rsid w:val="3AFF33E8"/>
    <w:rsid w:val="3B3E4CD7"/>
    <w:rsid w:val="3C1B2370"/>
    <w:rsid w:val="3C2D3B80"/>
    <w:rsid w:val="3D467226"/>
    <w:rsid w:val="3D476359"/>
    <w:rsid w:val="3D9A658C"/>
    <w:rsid w:val="3DE10046"/>
    <w:rsid w:val="3DEE1D80"/>
    <w:rsid w:val="3DF338D5"/>
    <w:rsid w:val="3EA378DA"/>
    <w:rsid w:val="3EF73899"/>
    <w:rsid w:val="3F651E10"/>
    <w:rsid w:val="41B16896"/>
    <w:rsid w:val="42380887"/>
    <w:rsid w:val="426C16E4"/>
    <w:rsid w:val="427A5EEA"/>
    <w:rsid w:val="42C41CE4"/>
    <w:rsid w:val="42D51FF3"/>
    <w:rsid w:val="43D85920"/>
    <w:rsid w:val="442742D8"/>
    <w:rsid w:val="442F62DC"/>
    <w:rsid w:val="443B5FD6"/>
    <w:rsid w:val="450779FD"/>
    <w:rsid w:val="459220B9"/>
    <w:rsid w:val="46DB7A17"/>
    <w:rsid w:val="48333FF5"/>
    <w:rsid w:val="485E6BC5"/>
    <w:rsid w:val="493D6FFD"/>
    <w:rsid w:val="49430615"/>
    <w:rsid w:val="49B72972"/>
    <w:rsid w:val="49FA5FEB"/>
    <w:rsid w:val="4A3E0C6F"/>
    <w:rsid w:val="4A4A7513"/>
    <w:rsid w:val="4ADE0F37"/>
    <w:rsid w:val="4B914BF5"/>
    <w:rsid w:val="4C3C2346"/>
    <w:rsid w:val="4C7D3400"/>
    <w:rsid w:val="4CB171D5"/>
    <w:rsid w:val="4CB230FF"/>
    <w:rsid w:val="4D180705"/>
    <w:rsid w:val="4D413CB4"/>
    <w:rsid w:val="4EE564B0"/>
    <w:rsid w:val="4FFC159D"/>
    <w:rsid w:val="50ED0658"/>
    <w:rsid w:val="50FC37C6"/>
    <w:rsid w:val="51832493"/>
    <w:rsid w:val="51CD3614"/>
    <w:rsid w:val="522400A9"/>
    <w:rsid w:val="529E0D9A"/>
    <w:rsid w:val="531539E5"/>
    <w:rsid w:val="53513FEC"/>
    <w:rsid w:val="53D55AFF"/>
    <w:rsid w:val="53FC6986"/>
    <w:rsid w:val="542F0A3D"/>
    <w:rsid w:val="54A038A5"/>
    <w:rsid w:val="54A60BE9"/>
    <w:rsid w:val="54E3684D"/>
    <w:rsid w:val="559A7000"/>
    <w:rsid w:val="5628185A"/>
    <w:rsid w:val="56770AFB"/>
    <w:rsid w:val="573C6F55"/>
    <w:rsid w:val="57D63A28"/>
    <w:rsid w:val="57F95C42"/>
    <w:rsid w:val="581B6CF3"/>
    <w:rsid w:val="583E0F9F"/>
    <w:rsid w:val="58527420"/>
    <w:rsid w:val="585F0652"/>
    <w:rsid w:val="591A5625"/>
    <w:rsid w:val="5978102D"/>
    <w:rsid w:val="5980136F"/>
    <w:rsid w:val="59DD58A1"/>
    <w:rsid w:val="5A8F0516"/>
    <w:rsid w:val="5AE900E2"/>
    <w:rsid w:val="5AE92129"/>
    <w:rsid w:val="5C7F1F93"/>
    <w:rsid w:val="5CFE2534"/>
    <w:rsid w:val="5E72647F"/>
    <w:rsid w:val="5E834DD9"/>
    <w:rsid w:val="5F236DE7"/>
    <w:rsid w:val="5F9D42E7"/>
    <w:rsid w:val="5FE76832"/>
    <w:rsid w:val="604D2EC1"/>
    <w:rsid w:val="608E3660"/>
    <w:rsid w:val="60A5089F"/>
    <w:rsid w:val="61201EA9"/>
    <w:rsid w:val="617B7B59"/>
    <w:rsid w:val="620B4DE2"/>
    <w:rsid w:val="621505DC"/>
    <w:rsid w:val="62307304"/>
    <w:rsid w:val="625D22A8"/>
    <w:rsid w:val="63025693"/>
    <w:rsid w:val="648D7D30"/>
    <w:rsid w:val="64C764C7"/>
    <w:rsid w:val="64FD5243"/>
    <w:rsid w:val="657340D8"/>
    <w:rsid w:val="65C0401D"/>
    <w:rsid w:val="65C45F55"/>
    <w:rsid w:val="662648F8"/>
    <w:rsid w:val="665F1537"/>
    <w:rsid w:val="678F4E88"/>
    <w:rsid w:val="67D85B6C"/>
    <w:rsid w:val="68203EB1"/>
    <w:rsid w:val="682616CA"/>
    <w:rsid w:val="68ED6A71"/>
    <w:rsid w:val="69317B0A"/>
    <w:rsid w:val="69F67FAD"/>
    <w:rsid w:val="6A18435F"/>
    <w:rsid w:val="6A3D2C1C"/>
    <w:rsid w:val="6ABE40FE"/>
    <w:rsid w:val="6BC009EB"/>
    <w:rsid w:val="6C67192F"/>
    <w:rsid w:val="6CE60189"/>
    <w:rsid w:val="6E04301E"/>
    <w:rsid w:val="6E1C5389"/>
    <w:rsid w:val="6F135C55"/>
    <w:rsid w:val="6F215C44"/>
    <w:rsid w:val="6F5A2F04"/>
    <w:rsid w:val="6FDB37E3"/>
    <w:rsid w:val="705D3AFA"/>
    <w:rsid w:val="72757F8D"/>
    <w:rsid w:val="732820F7"/>
    <w:rsid w:val="734D446A"/>
    <w:rsid w:val="73FD389D"/>
    <w:rsid w:val="740972B4"/>
    <w:rsid w:val="74C80B12"/>
    <w:rsid w:val="75F011DC"/>
    <w:rsid w:val="77FE4FE3"/>
    <w:rsid w:val="78617CDA"/>
    <w:rsid w:val="78C830A0"/>
    <w:rsid w:val="78D36201"/>
    <w:rsid w:val="792F1A3C"/>
    <w:rsid w:val="79B5177D"/>
    <w:rsid w:val="7A1643C2"/>
    <w:rsid w:val="7A463EB9"/>
    <w:rsid w:val="7A8377B3"/>
    <w:rsid w:val="7B8216EB"/>
    <w:rsid w:val="7D9D4043"/>
    <w:rsid w:val="7DE54E45"/>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styleId="4">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1"/>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0">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71">
    <w:name w:val="批注主题 字符"/>
    <w:basedOn w:val="47"/>
    <w:link w:val="37"/>
    <w:qFormat/>
    <w:uiPriority w:val="0"/>
    <w:rPr>
      <w:rFonts w:ascii="Cambria" w:hAnsi="Cambria"/>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8A548-4BD4-4622-BD58-797A2B90048B}">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8</Pages>
  <Words>22775</Words>
  <Characters>24261</Characters>
  <Lines>1473</Lines>
  <Paragraphs>1471</Paragraphs>
  <TotalTime>49</TotalTime>
  <ScaleCrop>false</ScaleCrop>
  <LinksUpToDate>false</LinksUpToDate>
  <CharactersWithSpaces>24931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2025-11-30T01:21:00Z</dcterms:created>
  <dc:creator>caowuning</dc:creator>
  <cp:lastModifiedBy>C.X.F</cp:lastModifiedBy>
  <cp:lastPrinted>2009-04-21T09:03:00Z</cp:lastPrinted>
  <dcterms:modified xsi:type="dcterms:W3CDTF">2025-12-01T10:10:13Z</dcterms:modified>
  <dc:title>北 京 市 政 府 采 购</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AF53EBACC2244C6390D7146A8C08D2C7_13</vt:lpwstr>
  </property>
  <property fmtid="{D5CDD505-2E9C-101B-9397-08002B2CF9AE}" pid="4" name="KSOTemplateDocerSaveRecord">
    <vt:lpwstr>eyJoZGlkIjoiNTI5ZmZjMjA2MjdiMDFiYzZmZWIzNjQ5YThhMzQxMzIiLCJ1c2VySWQiOiI3MTgzNDAyNjIifQ==</vt:lpwstr>
  </property>
</Properties>
</file>