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4D85D">
      <w:pPr>
        <w:spacing w:line="1600" w:lineRule="exact"/>
        <w:jc w:val="center"/>
        <w:outlineLvl w:val="0"/>
        <w:rPr>
          <w:rFonts w:ascii="方正黑体_GBK" w:eastAsia="方正黑体_GBK"/>
          <w:sz w:val="100"/>
        </w:rPr>
      </w:pPr>
      <w:r>
        <w:rPr>
          <w:rFonts w:hint="eastAsia" w:ascii="方正黑体_GBK" w:eastAsia="方正黑体_GBK"/>
          <w:sz w:val="100"/>
        </w:rPr>
        <w:t>政府采购</w:t>
      </w:r>
    </w:p>
    <w:p w14:paraId="0A4077DF">
      <w:pPr>
        <w:spacing w:line="1600" w:lineRule="exact"/>
        <w:jc w:val="center"/>
        <w:outlineLvl w:val="0"/>
        <w:rPr>
          <w:rFonts w:ascii="宋体" w:hAnsi="宋体" w:cs="宋体"/>
          <w:sz w:val="130"/>
          <w:szCs w:val="130"/>
        </w:rPr>
      </w:pPr>
      <w:r>
        <w:rPr>
          <w:rFonts w:hint="eastAsia" w:ascii="方正黑体_GBK" w:eastAsia="方正黑体_GBK"/>
          <w:sz w:val="130"/>
          <w:szCs w:val="130"/>
        </w:rPr>
        <w:t>竞争性磋商文件</w:t>
      </w:r>
    </w:p>
    <w:p w14:paraId="29FA5831">
      <w:pPr>
        <w:spacing w:line="700" w:lineRule="exact"/>
        <w:jc w:val="center"/>
        <w:rPr>
          <w:rFonts w:ascii="宋体" w:hAnsi="宋体" w:cs="宋体"/>
          <w:sz w:val="32"/>
        </w:rPr>
      </w:pPr>
    </w:p>
    <w:p w14:paraId="0F447870">
      <w:pPr>
        <w:spacing w:line="700" w:lineRule="exact"/>
        <w:jc w:val="center"/>
        <w:rPr>
          <w:rFonts w:ascii="宋体" w:hAnsi="宋体" w:cs="宋体"/>
          <w:sz w:val="32"/>
        </w:rPr>
      </w:pPr>
    </w:p>
    <w:p w14:paraId="43001EA7">
      <w:pPr>
        <w:spacing w:line="700" w:lineRule="exact"/>
        <w:jc w:val="center"/>
        <w:rPr>
          <w:rFonts w:ascii="宋体" w:hAnsi="宋体" w:cs="宋体"/>
          <w:sz w:val="32"/>
        </w:rPr>
      </w:pPr>
    </w:p>
    <w:p w14:paraId="7526ACBD">
      <w:pPr>
        <w:spacing w:line="700" w:lineRule="exact"/>
        <w:jc w:val="center"/>
        <w:rPr>
          <w:rFonts w:ascii="宋体" w:hAnsi="宋体" w:cs="宋体"/>
          <w:sz w:val="32"/>
        </w:rPr>
      </w:pPr>
    </w:p>
    <w:p w14:paraId="63280772">
      <w:pPr>
        <w:widowControl/>
        <w:ind w:firstLine="1440" w:firstLineChars="400"/>
        <w:jc w:val="left"/>
        <w:rPr>
          <w:rFonts w:ascii="方正小标宋_GBK" w:hAnsi="宋体" w:eastAsia="方正小标宋_GBK"/>
          <w:sz w:val="36"/>
          <w:szCs w:val="36"/>
        </w:rPr>
      </w:pPr>
      <w:r>
        <w:rPr>
          <w:rFonts w:hint="eastAsia" w:ascii="方正小标宋_GBK" w:hAnsi="宋体" w:eastAsia="方正小标宋_GBK"/>
          <w:sz w:val="36"/>
          <w:szCs w:val="36"/>
        </w:rPr>
        <w:t>项  目  号：26WB0227</w:t>
      </w:r>
    </w:p>
    <w:p w14:paraId="3222D0D7">
      <w:pPr>
        <w:widowControl/>
        <w:ind w:firstLine="1440" w:firstLineChars="400"/>
        <w:jc w:val="left"/>
        <w:rPr>
          <w:rFonts w:ascii="方正小标宋_GBK" w:hAnsi="宋体" w:eastAsia="方正小标宋_GBK"/>
          <w:sz w:val="36"/>
          <w:szCs w:val="36"/>
        </w:rPr>
      </w:pPr>
      <w:r>
        <w:rPr>
          <w:rFonts w:hint="eastAsia" w:ascii="方正小标宋_GBK" w:hAnsi="宋体" w:eastAsia="方正小标宋_GBK"/>
          <w:sz w:val="36"/>
          <w:szCs w:val="36"/>
        </w:rPr>
        <w:t>采购执行编号：ZC-CS-26001554</w:t>
      </w:r>
    </w:p>
    <w:p w14:paraId="04A7AA9A">
      <w:pPr>
        <w:spacing w:line="500" w:lineRule="exact"/>
        <w:ind w:left="3954" w:leftChars="512" w:hanging="2520" w:hangingChars="700"/>
        <w:outlineLvl w:val="0"/>
        <w:rPr>
          <w:rFonts w:ascii="方正小标宋_GBK" w:hAnsi="宋体" w:eastAsia="方正小标宋_GBK"/>
          <w:sz w:val="36"/>
          <w:szCs w:val="36"/>
        </w:rPr>
      </w:pPr>
      <w:r>
        <w:rPr>
          <w:rFonts w:hint="eastAsia" w:ascii="方正小标宋_GBK" w:hAnsi="宋体" w:eastAsia="方正小标宋_GBK"/>
          <w:sz w:val="36"/>
          <w:szCs w:val="36"/>
        </w:rPr>
        <w:t>磋商项目名称：</w:t>
      </w:r>
      <w:r>
        <w:rPr>
          <w:rFonts w:hint="eastAsia" w:ascii="方正小标宋_GBK" w:hAnsi="宋体" w:eastAsia="方正小标宋_GBK"/>
          <w:sz w:val="36"/>
          <w:szCs w:val="36"/>
          <w:lang w:eastAsia="zh-CN"/>
        </w:rPr>
        <w:t>重庆市璧山区消防救援支队</w:t>
      </w:r>
      <w:r>
        <w:rPr>
          <w:rFonts w:hint="eastAsia" w:ascii="方正小标宋_GBK" w:hAnsi="宋体" w:eastAsia="方正小标宋_GBK"/>
          <w:sz w:val="36"/>
          <w:szCs w:val="36"/>
        </w:rPr>
        <w:t>（队史馆）项目</w:t>
      </w:r>
    </w:p>
    <w:p w14:paraId="3E3F8804">
      <w:pPr>
        <w:spacing w:line="500" w:lineRule="exact"/>
        <w:ind w:firstLine="2340" w:firstLineChars="650"/>
        <w:outlineLvl w:val="0"/>
        <w:rPr>
          <w:rFonts w:ascii="方正小标宋_GBK" w:hAnsi="宋体" w:eastAsia="方正小标宋_GBK"/>
          <w:sz w:val="36"/>
          <w:szCs w:val="36"/>
        </w:rPr>
      </w:pPr>
    </w:p>
    <w:p w14:paraId="78F8315D">
      <w:pPr>
        <w:spacing w:line="500" w:lineRule="exact"/>
        <w:ind w:firstLine="2340" w:firstLineChars="650"/>
        <w:outlineLvl w:val="0"/>
        <w:rPr>
          <w:rFonts w:ascii="方正小标宋_GBK" w:hAnsi="宋体" w:eastAsia="方正小标宋_GBK"/>
          <w:sz w:val="36"/>
          <w:szCs w:val="36"/>
        </w:rPr>
      </w:pPr>
    </w:p>
    <w:p w14:paraId="26E3362B">
      <w:pPr>
        <w:spacing w:line="500" w:lineRule="exact"/>
        <w:ind w:firstLine="2340" w:firstLineChars="650"/>
        <w:outlineLvl w:val="0"/>
        <w:rPr>
          <w:rFonts w:ascii="方正小标宋_GBK" w:hAnsi="宋体" w:eastAsia="方正小标宋_GBK"/>
          <w:sz w:val="36"/>
          <w:szCs w:val="36"/>
        </w:rPr>
      </w:pPr>
    </w:p>
    <w:p w14:paraId="6F213BCC">
      <w:pPr>
        <w:spacing w:line="500" w:lineRule="exact"/>
        <w:ind w:firstLine="2340" w:firstLineChars="650"/>
        <w:outlineLvl w:val="0"/>
        <w:rPr>
          <w:rFonts w:ascii="方正小标宋_GBK" w:hAnsi="宋体" w:eastAsia="方正小标宋_GBK"/>
          <w:sz w:val="36"/>
          <w:szCs w:val="36"/>
        </w:rPr>
      </w:pPr>
    </w:p>
    <w:p w14:paraId="620F1B6D">
      <w:pPr>
        <w:spacing w:line="500" w:lineRule="exact"/>
        <w:ind w:firstLine="2340" w:firstLineChars="650"/>
        <w:outlineLvl w:val="0"/>
        <w:rPr>
          <w:rFonts w:ascii="方正小标宋_GBK" w:hAnsi="宋体" w:eastAsia="方正小标宋_GBK"/>
          <w:sz w:val="36"/>
          <w:szCs w:val="36"/>
        </w:rPr>
      </w:pPr>
    </w:p>
    <w:p w14:paraId="78BBB038">
      <w:pPr>
        <w:spacing w:line="500" w:lineRule="exact"/>
        <w:ind w:firstLine="2160" w:firstLineChars="600"/>
        <w:outlineLvl w:val="0"/>
        <w:rPr>
          <w:rFonts w:hint="eastAsia" w:ascii="方正小标宋_GBK" w:hAnsi="宋体" w:eastAsia="方正小标宋_GBK"/>
          <w:sz w:val="36"/>
          <w:szCs w:val="36"/>
          <w:lang w:eastAsia="zh-CN"/>
        </w:rPr>
      </w:pPr>
      <w:r>
        <w:rPr>
          <w:rFonts w:hint="eastAsia" w:ascii="方正小标宋_GBK" w:hAnsi="宋体" w:eastAsia="方正小标宋_GBK"/>
          <w:sz w:val="36"/>
          <w:szCs w:val="36"/>
        </w:rPr>
        <w:t>采购人：</w:t>
      </w:r>
      <w:r>
        <w:rPr>
          <w:rFonts w:hint="eastAsia" w:ascii="方正小标宋_GBK" w:hAnsi="宋体" w:eastAsia="方正小标宋_GBK"/>
          <w:sz w:val="36"/>
          <w:szCs w:val="36"/>
          <w:lang w:eastAsia="zh-CN"/>
        </w:rPr>
        <w:t>重庆市璧山区消防救援支队</w:t>
      </w:r>
    </w:p>
    <w:p w14:paraId="733A4863">
      <w:pPr>
        <w:spacing w:line="500" w:lineRule="exact"/>
        <w:jc w:val="center"/>
        <w:outlineLvl w:val="0"/>
        <w:rPr>
          <w:rFonts w:ascii="方正小标宋_GBK" w:hAnsi="宋体" w:eastAsia="方正小标宋_GBK"/>
          <w:sz w:val="36"/>
          <w:szCs w:val="36"/>
        </w:rPr>
      </w:pPr>
      <w:r>
        <w:rPr>
          <w:rFonts w:hint="eastAsia" w:ascii="方正小标宋_GBK" w:hAnsi="宋体" w:eastAsia="方正小标宋_GBK"/>
          <w:sz w:val="36"/>
          <w:szCs w:val="36"/>
        </w:rPr>
        <w:t>采购代理机构：重庆市政府采购中心</w:t>
      </w:r>
    </w:p>
    <w:p w14:paraId="3D79ABBD">
      <w:pPr>
        <w:spacing w:line="500" w:lineRule="exact"/>
        <w:ind w:firstLine="2340" w:firstLineChars="650"/>
        <w:jc w:val="left"/>
        <w:outlineLvl w:val="0"/>
        <w:rPr>
          <w:rFonts w:ascii="方正小标宋_GBK" w:hAnsi="宋体" w:eastAsia="方正小标宋_GBK"/>
          <w:sz w:val="36"/>
          <w:szCs w:val="36"/>
        </w:rPr>
      </w:pPr>
    </w:p>
    <w:p w14:paraId="54B17663">
      <w:pPr>
        <w:spacing w:line="500" w:lineRule="exact"/>
        <w:jc w:val="center"/>
        <w:outlineLvl w:val="0"/>
        <w:rPr>
          <w:rFonts w:ascii="方正小标宋_GBK" w:hAnsi="宋体" w:eastAsia="方正小标宋_GBK"/>
          <w:sz w:val="36"/>
          <w:szCs w:val="36"/>
        </w:rPr>
      </w:pPr>
      <w:r>
        <w:rPr>
          <w:rFonts w:hint="eastAsia" w:ascii="方正小标宋_GBK" w:hAnsi="宋体" w:eastAsia="方正小标宋_GBK"/>
          <w:sz w:val="36"/>
          <w:szCs w:val="36"/>
        </w:rPr>
        <w:t>二〇二六年</w:t>
      </w:r>
      <w:r>
        <w:rPr>
          <w:rFonts w:hint="eastAsia" w:ascii="方正小标宋_GBK" w:hAnsi="宋体" w:eastAsia="方正小标宋_GBK"/>
          <w:sz w:val="36"/>
          <w:szCs w:val="36"/>
          <w:lang w:eastAsia="zh-CN"/>
        </w:rPr>
        <w:t>十</w:t>
      </w:r>
      <w:r>
        <w:rPr>
          <w:rFonts w:hint="eastAsia" w:ascii="方正小标宋_GBK" w:hAnsi="宋体" w:eastAsia="方正小标宋_GBK"/>
          <w:sz w:val="36"/>
          <w:szCs w:val="36"/>
        </w:rPr>
        <w:t>月</w:t>
      </w:r>
    </w:p>
    <w:p w14:paraId="4A0D9100">
      <w:pPr>
        <w:spacing w:line="500" w:lineRule="exact"/>
        <w:ind w:firstLine="2340" w:firstLineChars="650"/>
        <w:jc w:val="center"/>
        <w:outlineLvl w:val="0"/>
        <w:rPr>
          <w:rFonts w:ascii="方正小标宋_GBK" w:hAnsi="宋体" w:eastAsia="方正小标宋_GBK"/>
          <w:sz w:val="36"/>
          <w:szCs w:val="36"/>
        </w:rPr>
        <w:sectPr>
          <w:headerReference r:id="rId5" w:type="first"/>
          <w:footerReference r:id="rId8" w:type="first"/>
          <w:headerReference r:id="rId3" w:type="default"/>
          <w:footerReference r:id="rId6" w:type="default"/>
          <w:headerReference r:id="rId4" w:type="even"/>
          <w:footerReference r:id="rId7" w:type="even"/>
          <w:pgSz w:w="11907" w:h="16840"/>
          <w:pgMar w:top="1134" w:right="1191" w:bottom="1134" w:left="1304" w:header="851" w:footer="992" w:gutter="0"/>
          <w:pgNumType w:fmt="numberInDash" w:start="1"/>
          <w:cols w:space="720" w:num="1"/>
          <w:titlePg/>
          <w:docGrid w:linePitch="381" w:charSpace="-5735"/>
        </w:sectPr>
      </w:pPr>
    </w:p>
    <w:p w14:paraId="614361A4">
      <w:pPr>
        <w:snapToGrid w:val="0"/>
        <w:spacing w:line="500" w:lineRule="exact"/>
        <w:jc w:val="center"/>
        <w:rPr>
          <w:rFonts w:ascii="宋体" w:hAnsi="宋体" w:cs="宋体"/>
          <w:b/>
          <w:bCs/>
          <w:szCs w:val="28"/>
        </w:rPr>
      </w:pPr>
      <w:r>
        <w:rPr>
          <w:rFonts w:hint="eastAsia" w:ascii="宋体" w:hAnsi="宋体" w:cs="宋体"/>
          <w:b/>
          <w:bCs/>
          <w:szCs w:val="28"/>
        </w:rPr>
        <w:t>目   录</w:t>
      </w:r>
    </w:p>
    <w:p w14:paraId="31B85863">
      <w:pPr>
        <w:pStyle w:val="11"/>
        <w:tabs>
          <w:tab w:val="right" w:leader="dot" w:pos="9402"/>
        </w:tabs>
        <w:rPr>
          <w:rFonts w:ascii="Calibri" w:hAnsi="Calibri"/>
          <w:b w:val="0"/>
          <w:kern w:val="2"/>
          <w:sz w:val="21"/>
          <w:szCs w:val="22"/>
        </w:rPr>
      </w:pPr>
      <w:r>
        <w:rPr>
          <w:rFonts w:hint="eastAsia" w:ascii="宋体" w:hAnsi="宋体" w:cs="宋体"/>
          <w:sz w:val="21"/>
          <w:szCs w:val="21"/>
        </w:rPr>
        <w:fldChar w:fldCharType="begin"/>
      </w:r>
      <w:r>
        <w:rPr>
          <w:rFonts w:hint="eastAsia" w:ascii="宋体" w:hAnsi="宋体" w:cs="宋体"/>
          <w:sz w:val="21"/>
          <w:szCs w:val="21"/>
        </w:rPr>
        <w:instrText xml:space="preserve"> TOC \o "1-3" \h \z </w:instrText>
      </w:r>
      <w:r>
        <w:rPr>
          <w:rFonts w:hint="eastAsia" w:ascii="宋体" w:hAnsi="宋体" w:cs="宋体"/>
          <w:sz w:val="21"/>
          <w:szCs w:val="21"/>
        </w:rPr>
        <w:fldChar w:fldCharType="separate"/>
      </w:r>
      <w:r>
        <w:fldChar w:fldCharType="begin"/>
      </w:r>
      <w:r>
        <w:instrText xml:space="preserve"> HYPERLINK \l "_Toc211850939" </w:instrText>
      </w:r>
      <w:r>
        <w:fldChar w:fldCharType="separate"/>
      </w:r>
      <w:r>
        <w:rPr>
          <w:rStyle w:val="16"/>
          <w:rFonts w:hint="eastAsia" w:cs="宋体"/>
          <w:bCs/>
          <w:color w:val="auto"/>
        </w:rPr>
        <w:t>第一篇采购邀请书</w:t>
      </w:r>
      <w:r>
        <w:tab/>
      </w:r>
      <w:r>
        <w:fldChar w:fldCharType="begin"/>
      </w:r>
      <w:r>
        <w:instrText xml:space="preserve"> PAGEREF _Toc211850939 \h </w:instrText>
      </w:r>
      <w:r>
        <w:fldChar w:fldCharType="separate"/>
      </w:r>
      <w:r>
        <w:t>- 3 -</w:t>
      </w:r>
      <w:r>
        <w:fldChar w:fldCharType="end"/>
      </w:r>
      <w:r>
        <w:fldChar w:fldCharType="end"/>
      </w:r>
    </w:p>
    <w:p w14:paraId="1BBA2862">
      <w:pPr>
        <w:pStyle w:val="12"/>
        <w:tabs>
          <w:tab w:val="right" w:leader="dot" w:pos="9402"/>
        </w:tabs>
        <w:rPr>
          <w:rFonts w:ascii="Calibri" w:hAnsi="Calibri"/>
          <w:sz w:val="21"/>
          <w:szCs w:val="22"/>
        </w:rPr>
      </w:pPr>
      <w:r>
        <w:fldChar w:fldCharType="begin"/>
      </w:r>
      <w:r>
        <w:instrText xml:space="preserve"> HYPERLINK \l "_Toc211850940" </w:instrText>
      </w:r>
      <w:r>
        <w:fldChar w:fldCharType="separate"/>
      </w:r>
      <w:r>
        <w:rPr>
          <w:rStyle w:val="16"/>
          <w:rFonts w:hint="eastAsia" w:ascii="宋体" w:hAnsi="宋体" w:cs="宋体"/>
          <w:color w:val="auto"/>
        </w:rPr>
        <w:t>一、竞争性磋商内容</w:t>
      </w:r>
      <w:r>
        <w:tab/>
      </w:r>
      <w:r>
        <w:fldChar w:fldCharType="begin"/>
      </w:r>
      <w:r>
        <w:instrText xml:space="preserve"> PAGEREF _Toc211850940 \h </w:instrText>
      </w:r>
      <w:r>
        <w:fldChar w:fldCharType="separate"/>
      </w:r>
      <w:r>
        <w:t>- 3 -</w:t>
      </w:r>
      <w:r>
        <w:fldChar w:fldCharType="end"/>
      </w:r>
      <w:r>
        <w:fldChar w:fldCharType="end"/>
      </w:r>
    </w:p>
    <w:p w14:paraId="39A58602">
      <w:pPr>
        <w:pStyle w:val="12"/>
        <w:tabs>
          <w:tab w:val="right" w:leader="dot" w:pos="9402"/>
        </w:tabs>
        <w:rPr>
          <w:rFonts w:ascii="Calibri" w:hAnsi="Calibri"/>
          <w:sz w:val="21"/>
          <w:szCs w:val="22"/>
        </w:rPr>
      </w:pPr>
      <w:r>
        <w:fldChar w:fldCharType="begin"/>
      </w:r>
      <w:r>
        <w:instrText xml:space="preserve"> HYPERLINK \l "_Toc211850941" </w:instrText>
      </w:r>
      <w:r>
        <w:fldChar w:fldCharType="separate"/>
      </w:r>
      <w:r>
        <w:rPr>
          <w:rStyle w:val="16"/>
          <w:rFonts w:hint="eastAsia" w:ascii="宋体" w:hAnsi="宋体" w:cs="宋体"/>
          <w:color w:val="auto"/>
        </w:rPr>
        <w:t>二、资金来源</w:t>
      </w:r>
      <w:r>
        <w:tab/>
      </w:r>
      <w:r>
        <w:fldChar w:fldCharType="begin"/>
      </w:r>
      <w:r>
        <w:instrText xml:space="preserve"> PAGEREF _Toc211850941 \h </w:instrText>
      </w:r>
      <w:r>
        <w:fldChar w:fldCharType="separate"/>
      </w:r>
      <w:r>
        <w:t>- 3 -</w:t>
      </w:r>
      <w:r>
        <w:fldChar w:fldCharType="end"/>
      </w:r>
      <w:r>
        <w:fldChar w:fldCharType="end"/>
      </w:r>
    </w:p>
    <w:p w14:paraId="5B0114EF">
      <w:pPr>
        <w:pStyle w:val="12"/>
        <w:tabs>
          <w:tab w:val="right" w:leader="dot" w:pos="9402"/>
        </w:tabs>
        <w:rPr>
          <w:rFonts w:ascii="Calibri" w:hAnsi="Calibri"/>
          <w:sz w:val="21"/>
          <w:szCs w:val="22"/>
        </w:rPr>
      </w:pPr>
      <w:r>
        <w:fldChar w:fldCharType="begin"/>
      </w:r>
      <w:r>
        <w:instrText xml:space="preserve"> HYPERLINK \l "_Toc211850942" </w:instrText>
      </w:r>
      <w:r>
        <w:fldChar w:fldCharType="separate"/>
      </w:r>
      <w:r>
        <w:rPr>
          <w:rStyle w:val="16"/>
          <w:rFonts w:hint="eastAsia" w:ascii="宋体" w:hAnsi="宋体" w:cs="宋体"/>
          <w:color w:val="auto"/>
        </w:rPr>
        <w:t>三、供应商资格条件</w:t>
      </w:r>
      <w:r>
        <w:tab/>
      </w:r>
      <w:r>
        <w:fldChar w:fldCharType="begin"/>
      </w:r>
      <w:r>
        <w:instrText xml:space="preserve"> PAGEREF _Toc211850942 \h </w:instrText>
      </w:r>
      <w:r>
        <w:fldChar w:fldCharType="separate"/>
      </w:r>
      <w:r>
        <w:t>- 3 -</w:t>
      </w:r>
      <w:r>
        <w:fldChar w:fldCharType="end"/>
      </w:r>
      <w:r>
        <w:fldChar w:fldCharType="end"/>
      </w:r>
    </w:p>
    <w:p w14:paraId="242AC88D">
      <w:pPr>
        <w:pStyle w:val="12"/>
        <w:tabs>
          <w:tab w:val="right" w:leader="dot" w:pos="9402"/>
        </w:tabs>
        <w:rPr>
          <w:rFonts w:ascii="Calibri" w:hAnsi="Calibri"/>
          <w:sz w:val="21"/>
          <w:szCs w:val="22"/>
        </w:rPr>
      </w:pPr>
      <w:r>
        <w:fldChar w:fldCharType="begin"/>
      </w:r>
      <w:r>
        <w:instrText xml:space="preserve"> HYPERLINK \l "_Toc211850943" </w:instrText>
      </w:r>
      <w:r>
        <w:fldChar w:fldCharType="separate"/>
      </w:r>
      <w:r>
        <w:rPr>
          <w:rStyle w:val="16"/>
          <w:rFonts w:hint="eastAsia" w:ascii="宋体" w:hAnsi="宋体" w:cs="宋体"/>
          <w:color w:val="auto"/>
        </w:rPr>
        <w:t>四、磋商有关说明</w:t>
      </w:r>
      <w:r>
        <w:tab/>
      </w:r>
      <w:r>
        <w:fldChar w:fldCharType="begin"/>
      </w:r>
      <w:r>
        <w:instrText xml:space="preserve"> PAGEREF _Toc211850943 \h </w:instrText>
      </w:r>
      <w:r>
        <w:fldChar w:fldCharType="separate"/>
      </w:r>
      <w:r>
        <w:t>- 3 -</w:t>
      </w:r>
      <w:r>
        <w:fldChar w:fldCharType="end"/>
      </w:r>
      <w:r>
        <w:fldChar w:fldCharType="end"/>
      </w:r>
    </w:p>
    <w:p w14:paraId="2E37C62F">
      <w:pPr>
        <w:pStyle w:val="12"/>
        <w:tabs>
          <w:tab w:val="right" w:leader="dot" w:pos="9402"/>
        </w:tabs>
        <w:rPr>
          <w:rFonts w:ascii="Calibri" w:hAnsi="Calibri"/>
          <w:sz w:val="21"/>
          <w:szCs w:val="22"/>
        </w:rPr>
      </w:pPr>
      <w:r>
        <w:fldChar w:fldCharType="begin"/>
      </w:r>
      <w:r>
        <w:instrText xml:space="preserve"> HYPERLINK \l "_Toc211850944" </w:instrText>
      </w:r>
      <w:r>
        <w:fldChar w:fldCharType="separate"/>
      </w:r>
      <w:r>
        <w:rPr>
          <w:rStyle w:val="16"/>
          <w:rFonts w:hint="eastAsia" w:ascii="宋体" w:hAnsi="宋体" w:cs="宋体"/>
          <w:color w:val="auto"/>
        </w:rPr>
        <w:t>五、采购项目需落实的政府采购政策</w:t>
      </w:r>
      <w:r>
        <w:tab/>
      </w:r>
      <w:r>
        <w:fldChar w:fldCharType="begin"/>
      </w:r>
      <w:r>
        <w:instrText xml:space="preserve"> PAGEREF _Toc211850944 \h </w:instrText>
      </w:r>
      <w:r>
        <w:fldChar w:fldCharType="separate"/>
      </w:r>
      <w:r>
        <w:t>- 3 -</w:t>
      </w:r>
      <w:r>
        <w:fldChar w:fldCharType="end"/>
      </w:r>
      <w:r>
        <w:fldChar w:fldCharType="end"/>
      </w:r>
    </w:p>
    <w:p w14:paraId="45D6E542">
      <w:pPr>
        <w:pStyle w:val="12"/>
        <w:tabs>
          <w:tab w:val="right" w:leader="dot" w:pos="9402"/>
        </w:tabs>
        <w:rPr>
          <w:rFonts w:ascii="Calibri" w:hAnsi="Calibri"/>
          <w:sz w:val="21"/>
          <w:szCs w:val="22"/>
        </w:rPr>
      </w:pPr>
      <w:r>
        <w:fldChar w:fldCharType="begin"/>
      </w:r>
      <w:r>
        <w:instrText xml:space="preserve"> HYPERLINK \l "_Toc211850945" </w:instrText>
      </w:r>
      <w:r>
        <w:fldChar w:fldCharType="separate"/>
      </w:r>
      <w:r>
        <w:rPr>
          <w:rStyle w:val="16"/>
          <w:rFonts w:hint="eastAsia" w:ascii="宋体" w:hAnsi="宋体" w:cs="宋体"/>
          <w:color w:val="auto"/>
        </w:rPr>
        <w:t>六、其它有关规定</w:t>
      </w:r>
      <w:r>
        <w:tab/>
      </w:r>
      <w:r>
        <w:fldChar w:fldCharType="begin"/>
      </w:r>
      <w:r>
        <w:instrText xml:space="preserve"> PAGEREF _Toc211850945 \h </w:instrText>
      </w:r>
      <w:r>
        <w:fldChar w:fldCharType="separate"/>
      </w:r>
      <w:r>
        <w:t>- 4 -</w:t>
      </w:r>
      <w:r>
        <w:fldChar w:fldCharType="end"/>
      </w:r>
      <w:r>
        <w:fldChar w:fldCharType="end"/>
      </w:r>
    </w:p>
    <w:p w14:paraId="548C3E31">
      <w:pPr>
        <w:pStyle w:val="12"/>
        <w:tabs>
          <w:tab w:val="right" w:leader="dot" w:pos="9402"/>
        </w:tabs>
        <w:rPr>
          <w:rFonts w:ascii="Calibri" w:hAnsi="Calibri"/>
          <w:sz w:val="21"/>
          <w:szCs w:val="22"/>
        </w:rPr>
      </w:pPr>
      <w:r>
        <w:fldChar w:fldCharType="begin"/>
      </w:r>
      <w:r>
        <w:instrText xml:space="preserve"> HYPERLINK \l "_Toc211850946" </w:instrText>
      </w:r>
      <w:r>
        <w:fldChar w:fldCharType="separate"/>
      </w:r>
      <w:r>
        <w:rPr>
          <w:rStyle w:val="16"/>
          <w:rFonts w:hint="eastAsia" w:ascii="宋体" w:hAnsi="宋体" w:cs="宋体"/>
          <w:color w:val="auto"/>
        </w:rPr>
        <w:t>七、联系方式</w:t>
      </w:r>
      <w:r>
        <w:tab/>
      </w:r>
      <w:r>
        <w:fldChar w:fldCharType="begin"/>
      </w:r>
      <w:r>
        <w:instrText xml:space="preserve"> PAGEREF _Toc211850946 \h </w:instrText>
      </w:r>
      <w:r>
        <w:fldChar w:fldCharType="separate"/>
      </w:r>
      <w:r>
        <w:t>- 4 -</w:t>
      </w:r>
      <w:r>
        <w:fldChar w:fldCharType="end"/>
      </w:r>
      <w:r>
        <w:fldChar w:fldCharType="end"/>
      </w:r>
    </w:p>
    <w:p w14:paraId="1ED72623">
      <w:pPr>
        <w:pStyle w:val="12"/>
        <w:tabs>
          <w:tab w:val="right" w:leader="dot" w:pos="9402"/>
        </w:tabs>
        <w:rPr>
          <w:rFonts w:ascii="Calibri" w:hAnsi="Calibri"/>
          <w:sz w:val="21"/>
          <w:szCs w:val="22"/>
        </w:rPr>
      </w:pPr>
      <w:r>
        <w:fldChar w:fldCharType="begin"/>
      </w:r>
      <w:r>
        <w:instrText xml:space="preserve"> HYPERLINK \l "_Toc211850947" </w:instrText>
      </w:r>
      <w:r>
        <w:fldChar w:fldCharType="separate"/>
      </w:r>
      <w:r>
        <w:rPr>
          <w:rStyle w:val="16"/>
          <w:rFonts w:hint="eastAsia" w:ascii="宋体" w:hAnsi="宋体" w:cs="宋体"/>
          <w:color w:val="auto"/>
        </w:rPr>
        <w:t>八、现场踏勘</w:t>
      </w:r>
      <w:r>
        <w:tab/>
      </w:r>
      <w:r>
        <w:fldChar w:fldCharType="begin"/>
      </w:r>
      <w:r>
        <w:instrText xml:space="preserve"> PAGEREF _Toc211850947 \h </w:instrText>
      </w:r>
      <w:r>
        <w:fldChar w:fldCharType="separate"/>
      </w:r>
      <w:r>
        <w:t>- 4 -</w:t>
      </w:r>
      <w:r>
        <w:fldChar w:fldCharType="end"/>
      </w:r>
      <w:r>
        <w:fldChar w:fldCharType="end"/>
      </w:r>
    </w:p>
    <w:p w14:paraId="17FE197A">
      <w:pPr>
        <w:pStyle w:val="11"/>
        <w:tabs>
          <w:tab w:val="right" w:leader="dot" w:pos="9402"/>
        </w:tabs>
        <w:rPr>
          <w:rFonts w:ascii="Calibri" w:hAnsi="Calibri"/>
          <w:b w:val="0"/>
          <w:kern w:val="2"/>
          <w:sz w:val="21"/>
          <w:szCs w:val="22"/>
        </w:rPr>
      </w:pPr>
      <w:r>
        <w:fldChar w:fldCharType="begin"/>
      </w:r>
      <w:r>
        <w:instrText xml:space="preserve"> HYPERLINK \l "_Toc211850948" </w:instrText>
      </w:r>
      <w:r>
        <w:fldChar w:fldCharType="separate"/>
      </w:r>
      <w:r>
        <w:rPr>
          <w:rStyle w:val="16"/>
          <w:rFonts w:hint="eastAsia" w:cs="宋体"/>
          <w:bCs/>
          <w:color w:val="auto"/>
        </w:rPr>
        <w:t>第二篇项目服务需求</w:t>
      </w:r>
      <w:r>
        <w:tab/>
      </w:r>
      <w:r>
        <w:fldChar w:fldCharType="begin"/>
      </w:r>
      <w:r>
        <w:instrText xml:space="preserve"> PAGEREF _Toc211850948 \h </w:instrText>
      </w:r>
      <w:r>
        <w:fldChar w:fldCharType="separate"/>
      </w:r>
      <w:r>
        <w:t>- 6 -</w:t>
      </w:r>
      <w:r>
        <w:fldChar w:fldCharType="end"/>
      </w:r>
      <w:r>
        <w:fldChar w:fldCharType="end"/>
      </w:r>
    </w:p>
    <w:p w14:paraId="5E558D9A">
      <w:pPr>
        <w:pStyle w:val="11"/>
        <w:tabs>
          <w:tab w:val="right" w:leader="dot" w:pos="9402"/>
        </w:tabs>
        <w:rPr>
          <w:rFonts w:ascii="Calibri" w:hAnsi="Calibri"/>
          <w:b w:val="0"/>
          <w:kern w:val="2"/>
          <w:sz w:val="21"/>
          <w:szCs w:val="22"/>
        </w:rPr>
      </w:pPr>
      <w:r>
        <w:fldChar w:fldCharType="begin"/>
      </w:r>
      <w:r>
        <w:instrText xml:space="preserve"> HYPERLINK \l "_Toc211850949" </w:instrText>
      </w:r>
      <w:r>
        <w:fldChar w:fldCharType="separate"/>
      </w:r>
      <w:r>
        <w:rPr>
          <w:rStyle w:val="16"/>
          <w:rFonts w:hint="eastAsia" w:cs="宋体"/>
          <w:bCs/>
          <w:color w:val="auto"/>
        </w:rPr>
        <w:t>第三篇项目商务需求</w:t>
      </w:r>
      <w:r>
        <w:tab/>
      </w:r>
      <w:r>
        <w:fldChar w:fldCharType="begin"/>
      </w:r>
      <w:r>
        <w:instrText xml:space="preserve"> PAGEREF _Toc211850949 \h </w:instrText>
      </w:r>
      <w:r>
        <w:fldChar w:fldCharType="separate"/>
      </w:r>
      <w:r>
        <w:t>- 9 -</w:t>
      </w:r>
      <w:r>
        <w:fldChar w:fldCharType="end"/>
      </w:r>
      <w:r>
        <w:fldChar w:fldCharType="end"/>
      </w:r>
    </w:p>
    <w:p w14:paraId="2D0E6266">
      <w:pPr>
        <w:pStyle w:val="12"/>
        <w:tabs>
          <w:tab w:val="right" w:leader="dot" w:pos="9402"/>
        </w:tabs>
        <w:rPr>
          <w:rFonts w:ascii="Calibri" w:hAnsi="Calibri"/>
          <w:sz w:val="21"/>
          <w:szCs w:val="22"/>
        </w:rPr>
      </w:pPr>
      <w:r>
        <w:fldChar w:fldCharType="begin"/>
      </w:r>
      <w:r>
        <w:instrText xml:space="preserve"> HYPERLINK \l "_Toc211850950" </w:instrText>
      </w:r>
      <w:r>
        <w:fldChar w:fldCharType="separate"/>
      </w:r>
      <w:r>
        <w:rPr>
          <w:rStyle w:val="16"/>
          <w:rFonts w:hint="eastAsia" w:ascii="宋体" w:hAnsi="宋体" w:cs="宋体"/>
          <w:color w:val="auto"/>
        </w:rPr>
        <w:t>四、结算原则</w:t>
      </w:r>
      <w:r>
        <w:tab/>
      </w:r>
      <w:r>
        <w:fldChar w:fldCharType="begin"/>
      </w:r>
      <w:r>
        <w:instrText xml:space="preserve"> PAGEREF _Toc211850950 \h </w:instrText>
      </w:r>
      <w:r>
        <w:fldChar w:fldCharType="separate"/>
      </w:r>
      <w:r>
        <w:t>- 13 -</w:t>
      </w:r>
      <w:r>
        <w:fldChar w:fldCharType="end"/>
      </w:r>
      <w:r>
        <w:fldChar w:fldCharType="end"/>
      </w:r>
    </w:p>
    <w:p w14:paraId="6E1481B8">
      <w:pPr>
        <w:pStyle w:val="11"/>
        <w:tabs>
          <w:tab w:val="right" w:leader="dot" w:pos="9402"/>
        </w:tabs>
        <w:rPr>
          <w:rFonts w:ascii="Calibri" w:hAnsi="Calibri"/>
          <w:b w:val="0"/>
          <w:kern w:val="2"/>
          <w:sz w:val="21"/>
          <w:szCs w:val="22"/>
        </w:rPr>
      </w:pPr>
      <w:r>
        <w:fldChar w:fldCharType="begin"/>
      </w:r>
      <w:r>
        <w:instrText xml:space="preserve"> HYPERLINK \l "_Toc211850951" </w:instrText>
      </w:r>
      <w:r>
        <w:fldChar w:fldCharType="separate"/>
      </w:r>
      <w:r>
        <w:rPr>
          <w:rStyle w:val="16"/>
          <w:rFonts w:hint="eastAsia" w:cs="宋体"/>
          <w:bCs/>
          <w:color w:val="auto"/>
        </w:rPr>
        <w:t>第四篇磋商程序及方法、评审标准、无效响应和采购终止</w:t>
      </w:r>
      <w:r>
        <w:tab/>
      </w:r>
      <w:r>
        <w:fldChar w:fldCharType="begin"/>
      </w:r>
      <w:r>
        <w:instrText xml:space="preserve"> PAGEREF _Toc211850951 \h </w:instrText>
      </w:r>
      <w:r>
        <w:fldChar w:fldCharType="separate"/>
      </w:r>
      <w:r>
        <w:t>- 17 -</w:t>
      </w:r>
      <w:r>
        <w:fldChar w:fldCharType="end"/>
      </w:r>
      <w:r>
        <w:fldChar w:fldCharType="end"/>
      </w:r>
    </w:p>
    <w:p w14:paraId="46349D95">
      <w:pPr>
        <w:pStyle w:val="12"/>
        <w:tabs>
          <w:tab w:val="right" w:leader="dot" w:pos="9402"/>
        </w:tabs>
        <w:rPr>
          <w:rFonts w:ascii="Calibri" w:hAnsi="Calibri"/>
          <w:sz w:val="21"/>
          <w:szCs w:val="22"/>
        </w:rPr>
      </w:pPr>
      <w:r>
        <w:fldChar w:fldCharType="begin"/>
      </w:r>
      <w:r>
        <w:instrText xml:space="preserve"> HYPERLINK \l "_Toc211850952" </w:instrText>
      </w:r>
      <w:r>
        <w:fldChar w:fldCharType="separate"/>
      </w:r>
      <w:r>
        <w:rPr>
          <w:rStyle w:val="16"/>
          <w:rFonts w:hint="eastAsia" w:ascii="宋体" w:hAnsi="宋体" w:cs="宋体"/>
          <w:color w:val="auto"/>
        </w:rPr>
        <w:t>一、磋商程序及方法</w:t>
      </w:r>
      <w:r>
        <w:tab/>
      </w:r>
      <w:r>
        <w:fldChar w:fldCharType="begin"/>
      </w:r>
      <w:r>
        <w:instrText xml:space="preserve"> PAGEREF _Toc211850952 \h </w:instrText>
      </w:r>
      <w:r>
        <w:fldChar w:fldCharType="separate"/>
      </w:r>
      <w:r>
        <w:t>- 17 -</w:t>
      </w:r>
      <w:r>
        <w:fldChar w:fldCharType="end"/>
      </w:r>
      <w:r>
        <w:fldChar w:fldCharType="end"/>
      </w:r>
    </w:p>
    <w:p w14:paraId="1493BBF6">
      <w:pPr>
        <w:pStyle w:val="12"/>
        <w:tabs>
          <w:tab w:val="right" w:leader="dot" w:pos="9402"/>
        </w:tabs>
        <w:rPr>
          <w:rFonts w:ascii="Calibri" w:hAnsi="Calibri"/>
          <w:sz w:val="21"/>
          <w:szCs w:val="22"/>
        </w:rPr>
      </w:pPr>
      <w:r>
        <w:fldChar w:fldCharType="begin"/>
      </w:r>
      <w:r>
        <w:instrText xml:space="preserve"> HYPERLINK \l "_Toc211850953" </w:instrText>
      </w:r>
      <w:r>
        <w:fldChar w:fldCharType="separate"/>
      </w:r>
      <w:r>
        <w:rPr>
          <w:rStyle w:val="16"/>
          <w:rFonts w:hint="eastAsia" w:ascii="宋体" w:hAnsi="宋体" w:cs="宋体"/>
          <w:color w:val="auto"/>
        </w:rPr>
        <w:t>二、评审标准</w:t>
      </w:r>
      <w:r>
        <w:tab/>
      </w:r>
      <w:r>
        <w:fldChar w:fldCharType="begin"/>
      </w:r>
      <w:r>
        <w:instrText xml:space="preserve"> PAGEREF _Toc211850953 \h </w:instrText>
      </w:r>
      <w:r>
        <w:fldChar w:fldCharType="separate"/>
      </w:r>
      <w:r>
        <w:t>- 19 -</w:t>
      </w:r>
      <w:r>
        <w:fldChar w:fldCharType="end"/>
      </w:r>
      <w:r>
        <w:fldChar w:fldCharType="end"/>
      </w:r>
    </w:p>
    <w:p w14:paraId="4CBCBB4A">
      <w:pPr>
        <w:pStyle w:val="12"/>
        <w:tabs>
          <w:tab w:val="right" w:leader="dot" w:pos="9402"/>
        </w:tabs>
        <w:rPr>
          <w:rFonts w:ascii="Calibri" w:hAnsi="Calibri"/>
          <w:sz w:val="21"/>
          <w:szCs w:val="22"/>
        </w:rPr>
      </w:pPr>
      <w:r>
        <w:fldChar w:fldCharType="begin"/>
      </w:r>
      <w:r>
        <w:instrText xml:space="preserve"> HYPERLINK \l "_Toc211850954" </w:instrText>
      </w:r>
      <w:r>
        <w:fldChar w:fldCharType="separate"/>
      </w:r>
      <w:r>
        <w:rPr>
          <w:rStyle w:val="16"/>
          <w:rFonts w:hint="eastAsia" w:ascii="宋体" w:hAnsi="宋体" w:cs="宋体"/>
          <w:color w:val="auto"/>
        </w:rPr>
        <w:t>三、无效响应</w:t>
      </w:r>
      <w:r>
        <w:tab/>
      </w:r>
      <w:r>
        <w:fldChar w:fldCharType="begin"/>
      </w:r>
      <w:r>
        <w:instrText xml:space="preserve"> PAGEREF _Toc211850954 \h </w:instrText>
      </w:r>
      <w:r>
        <w:fldChar w:fldCharType="separate"/>
      </w:r>
      <w:r>
        <w:t>- 20 -</w:t>
      </w:r>
      <w:r>
        <w:fldChar w:fldCharType="end"/>
      </w:r>
      <w:r>
        <w:fldChar w:fldCharType="end"/>
      </w:r>
    </w:p>
    <w:p w14:paraId="00674153">
      <w:pPr>
        <w:pStyle w:val="12"/>
        <w:tabs>
          <w:tab w:val="right" w:leader="dot" w:pos="9402"/>
        </w:tabs>
        <w:rPr>
          <w:rFonts w:ascii="Calibri" w:hAnsi="Calibri"/>
          <w:sz w:val="21"/>
          <w:szCs w:val="22"/>
        </w:rPr>
      </w:pPr>
      <w:r>
        <w:fldChar w:fldCharType="begin"/>
      </w:r>
      <w:r>
        <w:instrText xml:space="preserve"> HYPERLINK \l "_Toc211850955" </w:instrText>
      </w:r>
      <w:r>
        <w:fldChar w:fldCharType="separate"/>
      </w:r>
      <w:r>
        <w:rPr>
          <w:rStyle w:val="16"/>
          <w:rFonts w:hint="eastAsia" w:ascii="宋体" w:hAnsi="宋体" w:cs="宋体"/>
          <w:color w:val="auto"/>
        </w:rPr>
        <w:t>四、采购终止</w:t>
      </w:r>
      <w:r>
        <w:tab/>
      </w:r>
      <w:r>
        <w:fldChar w:fldCharType="begin"/>
      </w:r>
      <w:r>
        <w:instrText xml:space="preserve"> PAGEREF _Toc211850955 \h </w:instrText>
      </w:r>
      <w:r>
        <w:fldChar w:fldCharType="separate"/>
      </w:r>
      <w:r>
        <w:t>- 21 -</w:t>
      </w:r>
      <w:r>
        <w:fldChar w:fldCharType="end"/>
      </w:r>
      <w:r>
        <w:fldChar w:fldCharType="end"/>
      </w:r>
    </w:p>
    <w:p w14:paraId="4C76177A">
      <w:pPr>
        <w:pStyle w:val="11"/>
        <w:tabs>
          <w:tab w:val="right" w:leader="dot" w:pos="9402"/>
        </w:tabs>
        <w:rPr>
          <w:rFonts w:ascii="Calibri" w:hAnsi="Calibri"/>
          <w:b w:val="0"/>
          <w:kern w:val="2"/>
          <w:sz w:val="21"/>
          <w:szCs w:val="22"/>
        </w:rPr>
      </w:pPr>
      <w:r>
        <w:fldChar w:fldCharType="begin"/>
      </w:r>
      <w:r>
        <w:instrText xml:space="preserve"> HYPERLINK \l "_Toc211850956" </w:instrText>
      </w:r>
      <w:r>
        <w:fldChar w:fldCharType="separate"/>
      </w:r>
      <w:r>
        <w:rPr>
          <w:rStyle w:val="16"/>
          <w:rFonts w:hint="eastAsia"/>
          <w:bCs/>
          <w:color w:val="auto"/>
        </w:rPr>
        <w:t>第五篇供应商须知</w:t>
      </w:r>
      <w:r>
        <w:tab/>
      </w:r>
      <w:r>
        <w:fldChar w:fldCharType="begin"/>
      </w:r>
      <w:r>
        <w:instrText xml:space="preserve"> PAGEREF _Toc211850956 \h </w:instrText>
      </w:r>
      <w:r>
        <w:fldChar w:fldCharType="separate"/>
      </w:r>
      <w:r>
        <w:t>- 22 -</w:t>
      </w:r>
      <w:r>
        <w:fldChar w:fldCharType="end"/>
      </w:r>
      <w:r>
        <w:fldChar w:fldCharType="end"/>
      </w:r>
    </w:p>
    <w:p w14:paraId="3CC6AB9A">
      <w:pPr>
        <w:pStyle w:val="12"/>
        <w:tabs>
          <w:tab w:val="right" w:leader="dot" w:pos="9402"/>
        </w:tabs>
        <w:rPr>
          <w:rFonts w:ascii="Calibri" w:hAnsi="Calibri"/>
          <w:sz w:val="21"/>
          <w:szCs w:val="22"/>
        </w:rPr>
      </w:pPr>
      <w:r>
        <w:fldChar w:fldCharType="begin"/>
      </w:r>
      <w:r>
        <w:instrText xml:space="preserve"> HYPERLINK \l "_Toc211850957" </w:instrText>
      </w:r>
      <w:r>
        <w:fldChar w:fldCharType="separate"/>
      </w:r>
      <w:r>
        <w:rPr>
          <w:rStyle w:val="16"/>
          <w:rFonts w:hint="eastAsia" w:ascii="宋体" w:hAnsi="宋体" w:cs="宋体"/>
          <w:color w:val="auto"/>
        </w:rPr>
        <w:t>一、磋商费用</w:t>
      </w:r>
      <w:r>
        <w:tab/>
      </w:r>
      <w:r>
        <w:fldChar w:fldCharType="begin"/>
      </w:r>
      <w:r>
        <w:instrText xml:space="preserve"> PAGEREF _Toc211850957 \h </w:instrText>
      </w:r>
      <w:r>
        <w:fldChar w:fldCharType="separate"/>
      </w:r>
      <w:r>
        <w:t>- 22 -</w:t>
      </w:r>
      <w:r>
        <w:fldChar w:fldCharType="end"/>
      </w:r>
      <w:r>
        <w:fldChar w:fldCharType="end"/>
      </w:r>
    </w:p>
    <w:p w14:paraId="0FAAF611">
      <w:pPr>
        <w:pStyle w:val="12"/>
        <w:tabs>
          <w:tab w:val="right" w:leader="dot" w:pos="9402"/>
        </w:tabs>
        <w:rPr>
          <w:rFonts w:ascii="Calibri" w:hAnsi="Calibri"/>
          <w:sz w:val="21"/>
          <w:szCs w:val="22"/>
        </w:rPr>
      </w:pPr>
      <w:r>
        <w:fldChar w:fldCharType="begin"/>
      </w:r>
      <w:r>
        <w:instrText xml:space="preserve"> HYPERLINK \l "_Toc211850958" </w:instrText>
      </w:r>
      <w:r>
        <w:fldChar w:fldCharType="separate"/>
      </w:r>
      <w:r>
        <w:rPr>
          <w:rStyle w:val="16"/>
          <w:rFonts w:hint="eastAsia" w:ascii="宋体" w:hAnsi="宋体" w:cs="宋体"/>
          <w:color w:val="auto"/>
        </w:rPr>
        <w:t>二、竞争性磋商文件</w:t>
      </w:r>
      <w:r>
        <w:tab/>
      </w:r>
      <w:r>
        <w:fldChar w:fldCharType="begin"/>
      </w:r>
      <w:r>
        <w:instrText xml:space="preserve"> PAGEREF _Toc211850958 \h </w:instrText>
      </w:r>
      <w:r>
        <w:fldChar w:fldCharType="separate"/>
      </w:r>
      <w:r>
        <w:t>- 22 -</w:t>
      </w:r>
      <w:r>
        <w:fldChar w:fldCharType="end"/>
      </w:r>
      <w:r>
        <w:fldChar w:fldCharType="end"/>
      </w:r>
    </w:p>
    <w:p w14:paraId="3F344F87">
      <w:pPr>
        <w:pStyle w:val="12"/>
        <w:tabs>
          <w:tab w:val="right" w:leader="dot" w:pos="9402"/>
        </w:tabs>
        <w:rPr>
          <w:rFonts w:ascii="Calibri" w:hAnsi="Calibri"/>
          <w:sz w:val="21"/>
          <w:szCs w:val="22"/>
        </w:rPr>
      </w:pPr>
      <w:r>
        <w:fldChar w:fldCharType="begin"/>
      </w:r>
      <w:r>
        <w:instrText xml:space="preserve"> HYPERLINK \l "_Toc211850959" </w:instrText>
      </w:r>
      <w:r>
        <w:fldChar w:fldCharType="separate"/>
      </w:r>
      <w:r>
        <w:rPr>
          <w:rStyle w:val="16"/>
          <w:rFonts w:hint="eastAsia" w:ascii="宋体" w:hAnsi="宋体" w:cs="宋体"/>
          <w:color w:val="auto"/>
        </w:rPr>
        <w:t>三、磋商要求</w:t>
      </w:r>
      <w:r>
        <w:tab/>
      </w:r>
      <w:r>
        <w:fldChar w:fldCharType="begin"/>
      </w:r>
      <w:r>
        <w:instrText xml:space="preserve"> PAGEREF _Toc211850959 \h </w:instrText>
      </w:r>
      <w:r>
        <w:fldChar w:fldCharType="separate"/>
      </w:r>
      <w:r>
        <w:t>- 22 -</w:t>
      </w:r>
      <w:r>
        <w:fldChar w:fldCharType="end"/>
      </w:r>
      <w:r>
        <w:fldChar w:fldCharType="end"/>
      </w:r>
    </w:p>
    <w:p w14:paraId="30EF1810">
      <w:pPr>
        <w:pStyle w:val="12"/>
        <w:tabs>
          <w:tab w:val="right" w:leader="dot" w:pos="9402"/>
        </w:tabs>
        <w:rPr>
          <w:rFonts w:ascii="Calibri" w:hAnsi="Calibri"/>
          <w:sz w:val="21"/>
          <w:szCs w:val="22"/>
        </w:rPr>
      </w:pPr>
      <w:r>
        <w:fldChar w:fldCharType="begin"/>
      </w:r>
      <w:r>
        <w:instrText xml:space="preserve"> HYPERLINK \l "_Toc211850960" </w:instrText>
      </w:r>
      <w:r>
        <w:fldChar w:fldCharType="separate"/>
      </w:r>
      <w:r>
        <w:rPr>
          <w:rStyle w:val="16"/>
          <w:rFonts w:hint="eastAsia" w:ascii="宋体" w:hAnsi="宋体" w:cs="宋体"/>
          <w:color w:val="auto"/>
        </w:rPr>
        <w:t>四、成交供应商的确认和变更</w:t>
      </w:r>
      <w:r>
        <w:tab/>
      </w:r>
      <w:r>
        <w:fldChar w:fldCharType="begin"/>
      </w:r>
      <w:r>
        <w:instrText xml:space="preserve"> PAGEREF _Toc211850960 \h </w:instrText>
      </w:r>
      <w:r>
        <w:fldChar w:fldCharType="separate"/>
      </w:r>
      <w:r>
        <w:t>- 23 -</w:t>
      </w:r>
      <w:r>
        <w:fldChar w:fldCharType="end"/>
      </w:r>
      <w:r>
        <w:fldChar w:fldCharType="end"/>
      </w:r>
    </w:p>
    <w:p w14:paraId="278C9D28">
      <w:pPr>
        <w:pStyle w:val="12"/>
        <w:tabs>
          <w:tab w:val="right" w:leader="dot" w:pos="9402"/>
        </w:tabs>
        <w:rPr>
          <w:rFonts w:ascii="Calibri" w:hAnsi="Calibri"/>
          <w:sz w:val="21"/>
          <w:szCs w:val="22"/>
        </w:rPr>
      </w:pPr>
      <w:r>
        <w:fldChar w:fldCharType="begin"/>
      </w:r>
      <w:r>
        <w:instrText xml:space="preserve"> HYPERLINK \l "_Toc211850961" </w:instrText>
      </w:r>
      <w:r>
        <w:fldChar w:fldCharType="separate"/>
      </w:r>
      <w:r>
        <w:rPr>
          <w:rStyle w:val="16"/>
          <w:rFonts w:hint="eastAsia" w:ascii="宋体" w:hAnsi="宋体" w:cs="宋体"/>
          <w:color w:val="auto"/>
        </w:rPr>
        <w:t>五、成交通知</w:t>
      </w:r>
      <w:r>
        <w:tab/>
      </w:r>
      <w:r>
        <w:fldChar w:fldCharType="begin"/>
      </w:r>
      <w:r>
        <w:instrText xml:space="preserve"> PAGEREF _Toc211850961 \h </w:instrText>
      </w:r>
      <w:r>
        <w:fldChar w:fldCharType="separate"/>
      </w:r>
      <w:r>
        <w:t>- 23 -</w:t>
      </w:r>
      <w:r>
        <w:fldChar w:fldCharType="end"/>
      </w:r>
      <w:r>
        <w:fldChar w:fldCharType="end"/>
      </w:r>
    </w:p>
    <w:p w14:paraId="659DD14E">
      <w:pPr>
        <w:pStyle w:val="12"/>
        <w:tabs>
          <w:tab w:val="right" w:leader="dot" w:pos="9402"/>
        </w:tabs>
        <w:rPr>
          <w:rFonts w:ascii="Calibri" w:hAnsi="Calibri"/>
          <w:sz w:val="21"/>
          <w:szCs w:val="22"/>
        </w:rPr>
      </w:pPr>
      <w:r>
        <w:fldChar w:fldCharType="begin"/>
      </w:r>
      <w:r>
        <w:instrText xml:space="preserve"> HYPERLINK \l "_Toc211850962" </w:instrText>
      </w:r>
      <w:r>
        <w:fldChar w:fldCharType="separate"/>
      </w:r>
      <w:r>
        <w:rPr>
          <w:rStyle w:val="16"/>
          <w:rFonts w:hint="eastAsia" w:ascii="宋体" w:hAnsi="宋体" w:cs="宋体"/>
          <w:color w:val="auto"/>
        </w:rPr>
        <w:t>六、关于质疑和投诉</w:t>
      </w:r>
      <w:r>
        <w:tab/>
      </w:r>
      <w:r>
        <w:fldChar w:fldCharType="begin"/>
      </w:r>
      <w:r>
        <w:instrText xml:space="preserve"> PAGEREF _Toc211850962 \h </w:instrText>
      </w:r>
      <w:r>
        <w:fldChar w:fldCharType="separate"/>
      </w:r>
      <w:r>
        <w:t>- 23 -</w:t>
      </w:r>
      <w:r>
        <w:fldChar w:fldCharType="end"/>
      </w:r>
      <w:r>
        <w:fldChar w:fldCharType="end"/>
      </w:r>
    </w:p>
    <w:p w14:paraId="4F47F9C6">
      <w:pPr>
        <w:pStyle w:val="12"/>
        <w:tabs>
          <w:tab w:val="right" w:leader="dot" w:pos="9402"/>
        </w:tabs>
        <w:rPr>
          <w:rFonts w:ascii="Calibri" w:hAnsi="Calibri"/>
          <w:sz w:val="21"/>
          <w:szCs w:val="22"/>
        </w:rPr>
      </w:pPr>
      <w:r>
        <w:fldChar w:fldCharType="begin"/>
      </w:r>
      <w:r>
        <w:instrText xml:space="preserve"> HYPERLINK \l "_Toc211850963" </w:instrText>
      </w:r>
      <w:r>
        <w:fldChar w:fldCharType="separate"/>
      </w:r>
      <w:r>
        <w:rPr>
          <w:rStyle w:val="16"/>
          <w:rFonts w:hint="eastAsia" w:ascii="宋体" w:hAnsi="宋体" w:cs="宋体"/>
          <w:color w:val="auto"/>
        </w:rPr>
        <w:t>七、采购代理服务费</w:t>
      </w:r>
      <w:r>
        <w:tab/>
      </w:r>
      <w:r>
        <w:fldChar w:fldCharType="begin"/>
      </w:r>
      <w:r>
        <w:instrText xml:space="preserve"> PAGEREF _Toc211850963 \h </w:instrText>
      </w:r>
      <w:r>
        <w:fldChar w:fldCharType="separate"/>
      </w:r>
      <w:r>
        <w:t>- 25 -</w:t>
      </w:r>
      <w:r>
        <w:fldChar w:fldCharType="end"/>
      </w:r>
      <w:r>
        <w:fldChar w:fldCharType="end"/>
      </w:r>
    </w:p>
    <w:p w14:paraId="7F195C73">
      <w:pPr>
        <w:pStyle w:val="12"/>
        <w:tabs>
          <w:tab w:val="right" w:leader="dot" w:pos="9402"/>
        </w:tabs>
        <w:rPr>
          <w:rFonts w:ascii="Calibri" w:hAnsi="Calibri"/>
          <w:sz w:val="21"/>
          <w:szCs w:val="22"/>
        </w:rPr>
      </w:pPr>
      <w:r>
        <w:fldChar w:fldCharType="begin"/>
      </w:r>
      <w:r>
        <w:instrText xml:space="preserve"> HYPERLINK \l "_Toc211850964" </w:instrText>
      </w:r>
      <w:r>
        <w:fldChar w:fldCharType="separate"/>
      </w:r>
      <w:r>
        <w:rPr>
          <w:rStyle w:val="16"/>
          <w:rFonts w:hint="eastAsia" w:ascii="宋体" w:hAnsi="宋体" w:cs="宋体"/>
          <w:color w:val="auto"/>
        </w:rPr>
        <w:t>八、交易服务费</w:t>
      </w:r>
      <w:r>
        <w:tab/>
      </w:r>
      <w:r>
        <w:fldChar w:fldCharType="begin"/>
      </w:r>
      <w:r>
        <w:instrText xml:space="preserve"> PAGEREF _Toc211850964 \h </w:instrText>
      </w:r>
      <w:r>
        <w:fldChar w:fldCharType="separate"/>
      </w:r>
      <w:r>
        <w:t>- 25 -</w:t>
      </w:r>
      <w:r>
        <w:fldChar w:fldCharType="end"/>
      </w:r>
      <w:r>
        <w:fldChar w:fldCharType="end"/>
      </w:r>
    </w:p>
    <w:p w14:paraId="4B5534BF">
      <w:pPr>
        <w:pStyle w:val="12"/>
        <w:tabs>
          <w:tab w:val="right" w:leader="dot" w:pos="9402"/>
        </w:tabs>
        <w:rPr>
          <w:rFonts w:ascii="Calibri" w:hAnsi="Calibri"/>
          <w:sz w:val="21"/>
          <w:szCs w:val="22"/>
        </w:rPr>
      </w:pPr>
      <w:r>
        <w:fldChar w:fldCharType="begin"/>
      </w:r>
      <w:r>
        <w:instrText xml:space="preserve"> HYPERLINK \l "_Toc211850965" </w:instrText>
      </w:r>
      <w:r>
        <w:fldChar w:fldCharType="separate"/>
      </w:r>
      <w:r>
        <w:rPr>
          <w:rStyle w:val="16"/>
          <w:rFonts w:hint="eastAsia" w:ascii="宋体" w:hAnsi="宋体" w:cs="宋体"/>
          <w:color w:val="auto"/>
        </w:rPr>
        <w:t>九、签订合同</w:t>
      </w:r>
      <w:r>
        <w:tab/>
      </w:r>
      <w:r>
        <w:fldChar w:fldCharType="begin"/>
      </w:r>
      <w:r>
        <w:instrText xml:space="preserve"> PAGEREF _Toc211850965 \h </w:instrText>
      </w:r>
      <w:r>
        <w:fldChar w:fldCharType="separate"/>
      </w:r>
      <w:r>
        <w:t>- 25 -</w:t>
      </w:r>
      <w:r>
        <w:fldChar w:fldCharType="end"/>
      </w:r>
      <w:r>
        <w:fldChar w:fldCharType="end"/>
      </w:r>
    </w:p>
    <w:p w14:paraId="27561880">
      <w:pPr>
        <w:pStyle w:val="12"/>
        <w:tabs>
          <w:tab w:val="right" w:leader="dot" w:pos="9402"/>
        </w:tabs>
        <w:rPr>
          <w:rFonts w:ascii="Calibri" w:hAnsi="Calibri"/>
          <w:sz w:val="21"/>
          <w:szCs w:val="22"/>
        </w:rPr>
      </w:pPr>
      <w:r>
        <w:fldChar w:fldCharType="begin"/>
      </w:r>
      <w:r>
        <w:instrText xml:space="preserve"> HYPERLINK \l "_Toc211850966" </w:instrText>
      </w:r>
      <w:r>
        <w:fldChar w:fldCharType="separate"/>
      </w:r>
      <w:r>
        <w:rPr>
          <w:rStyle w:val="16"/>
          <w:rFonts w:hint="eastAsia" w:ascii="宋体" w:hAnsi="宋体" w:cs="宋体"/>
          <w:color w:val="auto"/>
        </w:rPr>
        <w:t>十、项目验收</w:t>
      </w:r>
      <w:r>
        <w:tab/>
      </w:r>
      <w:r>
        <w:fldChar w:fldCharType="begin"/>
      </w:r>
      <w:r>
        <w:instrText xml:space="preserve"> PAGEREF _Toc211850966 \h </w:instrText>
      </w:r>
      <w:r>
        <w:fldChar w:fldCharType="separate"/>
      </w:r>
      <w:r>
        <w:t>- 26 -</w:t>
      </w:r>
      <w:r>
        <w:fldChar w:fldCharType="end"/>
      </w:r>
      <w:r>
        <w:fldChar w:fldCharType="end"/>
      </w:r>
    </w:p>
    <w:p w14:paraId="25DD12E3">
      <w:pPr>
        <w:pStyle w:val="11"/>
        <w:tabs>
          <w:tab w:val="right" w:leader="dot" w:pos="9402"/>
        </w:tabs>
        <w:rPr>
          <w:rFonts w:ascii="Calibri" w:hAnsi="Calibri"/>
          <w:b w:val="0"/>
          <w:kern w:val="2"/>
          <w:sz w:val="21"/>
          <w:szCs w:val="22"/>
        </w:rPr>
      </w:pPr>
      <w:r>
        <w:fldChar w:fldCharType="begin"/>
      </w:r>
      <w:r>
        <w:instrText xml:space="preserve"> HYPERLINK \l "_Toc211850967" </w:instrText>
      </w:r>
      <w:r>
        <w:fldChar w:fldCharType="separate"/>
      </w:r>
      <w:r>
        <w:rPr>
          <w:rStyle w:val="16"/>
          <w:rFonts w:hint="eastAsia" w:cs="宋体"/>
          <w:color w:val="auto"/>
        </w:rPr>
        <w:t>第六篇政府采购合同</w:t>
      </w:r>
      <w:r>
        <w:tab/>
      </w:r>
      <w:r>
        <w:fldChar w:fldCharType="begin"/>
      </w:r>
      <w:r>
        <w:instrText xml:space="preserve"> PAGEREF _Toc211850967 \h </w:instrText>
      </w:r>
      <w:r>
        <w:fldChar w:fldCharType="separate"/>
      </w:r>
      <w:r>
        <w:t>- 27 -</w:t>
      </w:r>
      <w:r>
        <w:fldChar w:fldCharType="end"/>
      </w:r>
      <w:r>
        <w:fldChar w:fldCharType="end"/>
      </w:r>
    </w:p>
    <w:p w14:paraId="18554DA2">
      <w:pPr>
        <w:pStyle w:val="11"/>
        <w:tabs>
          <w:tab w:val="right" w:leader="dot" w:pos="9402"/>
        </w:tabs>
        <w:rPr>
          <w:rFonts w:ascii="Calibri" w:hAnsi="Calibri"/>
          <w:b w:val="0"/>
          <w:kern w:val="2"/>
          <w:sz w:val="21"/>
          <w:szCs w:val="22"/>
        </w:rPr>
      </w:pPr>
      <w:r>
        <w:fldChar w:fldCharType="begin"/>
      </w:r>
      <w:r>
        <w:instrText xml:space="preserve"> HYPERLINK \l "_Toc211850968" </w:instrText>
      </w:r>
      <w:r>
        <w:fldChar w:fldCharType="separate"/>
      </w:r>
      <w:r>
        <w:rPr>
          <w:rStyle w:val="16"/>
          <w:rFonts w:hint="eastAsia" w:cs="宋体"/>
          <w:color w:val="auto"/>
        </w:rPr>
        <w:t>第七篇响应文件编制要求</w:t>
      </w:r>
      <w:r>
        <w:tab/>
      </w:r>
      <w:r>
        <w:fldChar w:fldCharType="begin"/>
      </w:r>
      <w:r>
        <w:instrText xml:space="preserve"> PAGEREF _Toc211850968 \h </w:instrText>
      </w:r>
      <w:r>
        <w:fldChar w:fldCharType="separate"/>
      </w:r>
      <w:r>
        <w:t>- 29 -</w:t>
      </w:r>
      <w:r>
        <w:fldChar w:fldCharType="end"/>
      </w:r>
      <w:r>
        <w:fldChar w:fldCharType="end"/>
      </w:r>
    </w:p>
    <w:p w14:paraId="4D29480F">
      <w:pPr>
        <w:pStyle w:val="12"/>
        <w:tabs>
          <w:tab w:val="right" w:leader="dot" w:pos="9402"/>
        </w:tabs>
        <w:rPr>
          <w:rFonts w:ascii="Calibri" w:hAnsi="Calibri"/>
          <w:sz w:val="21"/>
          <w:szCs w:val="22"/>
        </w:rPr>
      </w:pPr>
      <w:r>
        <w:fldChar w:fldCharType="begin"/>
      </w:r>
      <w:r>
        <w:instrText xml:space="preserve"> HYPERLINK \l "_Toc211850969" </w:instrText>
      </w:r>
      <w:r>
        <w:fldChar w:fldCharType="separate"/>
      </w:r>
      <w:r>
        <w:rPr>
          <w:rStyle w:val="16"/>
          <w:rFonts w:hint="eastAsia" w:ascii="宋体" w:hAnsi="宋体" w:cs="宋体"/>
          <w:color w:val="auto"/>
        </w:rPr>
        <w:t>一、经济部分</w:t>
      </w:r>
      <w:r>
        <w:tab/>
      </w:r>
      <w:r>
        <w:fldChar w:fldCharType="begin"/>
      </w:r>
      <w:r>
        <w:instrText xml:space="preserve"> PAGEREF _Toc211850969 \h </w:instrText>
      </w:r>
      <w:r>
        <w:fldChar w:fldCharType="separate"/>
      </w:r>
      <w:r>
        <w:t>- 30 -</w:t>
      </w:r>
      <w:r>
        <w:fldChar w:fldCharType="end"/>
      </w:r>
      <w:r>
        <w:fldChar w:fldCharType="end"/>
      </w:r>
    </w:p>
    <w:p w14:paraId="69BD15F9">
      <w:pPr>
        <w:pStyle w:val="12"/>
        <w:tabs>
          <w:tab w:val="right" w:leader="dot" w:pos="9402"/>
        </w:tabs>
        <w:rPr>
          <w:rFonts w:ascii="Calibri" w:hAnsi="Calibri"/>
          <w:sz w:val="21"/>
          <w:szCs w:val="22"/>
        </w:rPr>
      </w:pPr>
      <w:r>
        <w:fldChar w:fldCharType="begin"/>
      </w:r>
      <w:r>
        <w:instrText xml:space="preserve"> HYPERLINK \l "_Toc211850970" </w:instrText>
      </w:r>
      <w:r>
        <w:fldChar w:fldCharType="separate"/>
      </w:r>
      <w:r>
        <w:rPr>
          <w:rStyle w:val="16"/>
          <w:rFonts w:hint="eastAsia" w:ascii="宋体" w:hAnsi="宋体" w:cs="宋体"/>
          <w:color w:val="auto"/>
        </w:rPr>
        <w:t>二、服务部分</w:t>
      </w:r>
      <w:r>
        <w:tab/>
      </w:r>
      <w:r>
        <w:fldChar w:fldCharType="begin"/>
      </w:r>
      <w:r>
        <w:instrText xml:space="preserve"> PAGEREF _Toc211850970 \h </w:instrText>
      </w:r>
      <w:r>
        <w:fldChar w:fldCharType="separate"/>
      </w:r>
      <w:r>
        <w:t>- 32 -</w:t>
      </w:r>
      <w:r>
        <w:fldChar w:fldCharType="end"/>
      </w:r>
      <w:r>
        <w:fldChar w:fldCharType="end"/>
      </w:r>
    </w:p>
    <w:p w14:paraId="7301D010">
      <w:pPr>
        <w:pStyle w:val="12"/>
        <w:tabs>
          <w:tab w:val="right" w:leader="dot" w:pos="9402"/>
        </w:tabs>
        <w:rPr>
          <w:rFonts w:ascii="Calibri" w:hAnsi="Calibri"/>
          <w:sz w:val="21"/>
          <w:szCs w:val="22"/>
        </w:rPr>
      </w:pPr>
      <w:r>
        <w:fldChar w:fldCharType="begin"/>
      </w:r>
      <w:r>
        <w:instrText xml:space="preserve"> HYPERLINK \l "_Toc211850971" </w:instrText>
      </w:r>
      <w:r>
        <w:fldChar w:fldCharType="separate"/>
      </w:r>
      <w:r>
        <w:rPr>
          <w:rStyle w:val="16"/>
          <w:rFonts w:hint="eastAsia" w:ascii="宋体" w:hAnsi="宋体" w:cs="宋体"/>
          <w:color w:val="auto"/>
        </w:rPr>
        <w:t>三、商务部分</w:t>
      </w:r>
      <w:r>
        <w:tab/>
      </w:r>
      <w:r>
        <w:fldChar w:fldCharType="begin"/>
      </w:r>
      <w:r>
        <w:instrText xml:space="preserve"> PAGEREF _Toc211850971 \h </w:instrText>
      </w:r>
      <w:r>
        <w:fldChar w:fldCharType="separate"/>
      </w:r>
      <w:r>
        <w:t>- 34 -</w:t>
      </w:r>
      <w:r>
        <w:fldChar w:fldCharType="end"/>
      </w:r>
      <w:r>
        <w:fldChar w:fldCharType="end"/>
      </w:r>
    </w:p>
    <w:p w14:paraId="43424ECA">
      <w:pPr>
        <w:pStyle w:val="12"/>
        <w:tabs>
          <w:tab w:val="right" w:leader="dot" w:pos="9402"/>
        </w:tabs>
        <w:rPr>
          <w:rFonts w:ascii="Calibri" w:hAnsi="Calibri"/>
          <w:sz w:val="21"/>
          <w:szCs w:val="22"/>
        </w:rPr>
      </w:pPr>
      <w:r>
        <w:fldChar w:fldCharType="begin"/>
      </w:r>
      <w:r>
        <w:instrText xml:space="preserve"> HYPERLINK \l "_Toc211850972" </w:instrText>
      </w:r>
      <w:r>
        <w:fldChar w:fldCharType="separate"/>
      </w:r>
      <w:r>
        <w:rPr>
          <w:rStyle w:val="16"/>
          <w:rFonts w:hint="eastAsia" w:ascii="宋体" w:hAnsi="宋体" w:cs="宋体"/>
          <w:color w:val="auto"/>
        </w:rPr>
        <w:t>四、资格条件及其他</w:t>
      </w:r>
      <w:r>
        <w:tab/>
      </w:r>
      <w:r>
        <w:fldChar w:fldCharType="begin"/>
      </w:r>
      <w:r>
        <w:instrText xml:space="preserve"> PAGEREF _Toc211850972 \h </w:instrText>
      </w:r>
      <w:r>
        <w:fldChar w:fldCharType="separate"/>
      </w:r>
      <w:r>
        <w:t>- 36 -</w:t>
      </w:r>
      <w:r>
        <w:fldChar w:fldCharType="end"/>
      </w:r>
      <w:r>
        <w:fldChar w:fldCharType="end"/>
      </w:r>
    </w:p>
    <w:p w14:paraId="3674C0EC">
      <w:pPr>
        <w:pStyle w:val="12"/>
        <w:tabs>
          <w:tab w:val="right" w:leader="dot" w:pos="9402"/>
        </w:tabs>
        <w:rPr>
          <w:rFonts w:ascii="Calibri" w:hAnsi="Calibri"/>
          <w:sz w:val="21"/>
          <w:szCs w:val="22"/>
        </w:rPr>
      </w:pPr>
      <w:r>
        <w:fldChar w:fldCharType="begin"/>
      </w:r>
      <w:r>
        <w:instrText xml:space="preserve"> HYPERLINK \l "_Toc211850973" </w:instrText>
      </w:r>
      <w:r>
        <w:fldChar w:fldCharType="separate"/>
      </w:r>
      <w:r>
        <w:rPr>
          <w:rStyle w:val="16"/>
          <w:rFonts w:hint="eastAsia" w:ascii="宋体" w:hAnsi="宋体" w:cs="宋体"/>
          <w:color w:val="auto"/>
        </w:rPr>
        <w:t>五、其他资料</w:t>
      </w:r>
      <w:r>
        <w:tab/>
      </w:r>
      <w:r>
        <w:fldChar w:fldCharType="begin"/>
      </w:r>
      <w:r>
        <w:instrText xml:space="preserve"> PAGEREF _Toc211850973 \h </w:instrText>
      </w:r>
      <w:r>
        <w:fldChar w:fldCharType="separate"/>
      </w:r>
      <w:r>
        <w:t>- 41 -</w:t>
      </w:r>
      <w:r>
        <w:fldChar w:fldCharType="end"/>
      </w:r>
      <w:r>
        <w:fldChar w:fldCharType="end"/>
      </w:r>
    </w:p>
    <w:p w14:paraId="406E82F8">
      <w:pPr>
        <w:pStyle w:val="12"/>
        <w:tabs>
          <w:tab w:val="right" w:leader="dot" w:pos="9402"/>
        </w:tabs>
        <w:spacing w:line="480" w:lineRule="exact"/>
        <w:jc w:val="center"/>
        <w:rPr>
          <w:rFonts w:ascii="宋体" w:hAnsi="宋体" w:cs="宋体"/>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宋体" w:hAnsi="宋体" w:cs="宋体"/>
          <w:szCs w:val="21"/>
        </w:rPr>
        <w:fldChar w:fldCharType="end"/>
      </w:r>
    </w:p>
    <w:p w14:paraId="71576B1B">
      <w:pPr>
        <w:pStyle w:val="2"/>
        <w:tabs>
          <w:tab w:val="left" w:pos="3360"/>
        </w:tabs>
        <w:rPr>
          <w:rFonts w:cs="宋体"/>
          <w:bCs/>
          <w:szCs w:val="36"/>
        </w:rPr>
      </w:pPr>
      <w:bookmarkStart w:id="0" w:name="_Toc11641050"/>
      <w:bookmarkStart w:id="1" w:name="_Toc2132"/>
      <w:bookmarkStart w:id="2" w:name="_Toc32257"/>
      <w:bookmarkStart w:id="3" w:name="_Toc14301"/>
      <w:bookmarkStart w:id="4" w:name="_Toc211850939"/>
      <w:bookmarkStart w:id="5" w:name="_Toc76462316"/>
      <w:bookmarkStart w:id="6" w:name="_Toc12789052"/>
      <w:bookmarkStart w:id="7" w:name="_Toc30212"/>
      <w:bookmarkStart w:id="8" w:name="_Toc4987"/>
      <w:bookmarkStart w:id="9" w:name="_Toc10404"/>
      <w:bookmarkStart w:id="10" w:name="_Toc29801"/>
      <w:bookmarkStart w:id="11" w:name="_Toc18714"/>
      <w:bookmarkStart w:id="12" w:name="_Toc10331"/>
      <w:bookmarkStart w:id="13" w:name="_Toc1093"/>
      <w:bookmarkStart w:id="14" w:name="_Toc1105"/>
      <w:bookmarkStart w:id="15" w:name="_Toc25898"/>
      <w:bookmarkStart w:id="16" w:name="_Toc32565"/>
      <w:bookmarkStart w:id="17" w:name="_Toc10824"/>
      <w:bookmarkStart w:id="18" w:name="_Toc14209"/>
      <w:bookmarkStart w:id="19" w:name="_Toc14103"/>
      <w:r>
        <w:rPr>
          <w:rFonts w:hint="eastAsia" w:cs="宋体"/>
          <w:bCs/>
          <w:szCs w:val="36"/>
        </w:rPr>
        <w:t>第一篇  采购邀请书</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4F015096">
      <w:pPr>
        <w:snapToGrid w:val="0"/>
        <w:spacing w:line="400" w:lineRule="exact"/>
        <w:ind w:firstLine="480" w:firstLineChars="200"/>
        <w:rPr>
          <w:rFonts w:ascii="宋体" w:hAnsi="宋体" w:cs="宋体"/>
          <w:sz w:val="24"/>
          <w:szCs w:val="24"/>
        </w:rPr>
      </w:pPr>
      <w:r>
        <w:rPr>
          <w:rFonts w:hint="eastAsia" w:ascii="宋体" w:hAnsi="宋体" w:cs="宋体"/>
          <w:sz w:val="24"/>
          <w:szCs w:val="24"/>
        </w:rPr>
        <w:t>重庆市政府采购中心（以下简称：采购代理机构）接受</w:t>
      </w:r>
      <w:r>
        <w:rPr>
          <w:rFonts w:hint="eastAsia" w:ascii="宋体" w:hAnsi="宋体" w:cs="宋体"/>
          <w:sz w:val="24"/>
          <w:szCs w:val="24"/>
          <w:lang w:eastAsia="zh-CN"/>
        </w:rPr>
        <w:t>重庆市璧山区消防救援支队</w:t>
      </w:r>
      <w:r>
        <w:rPr>
          <w:rFonts w:hint="eastAsia" w:ascii="宋体" w:hAnsi="宋体" w:cs="宋体"/>
          <w:sz w:val="24"/>
          <w:szCs w:val="24"/>
        </w:rPr>
        <w:t>（以下简称：采购人）的委托，对</w:t>
      </w:r>
      <w:r>
        <w:rPr>
          <w:rFonts w:hint="eastAsia" w:ascii="宋体" w:hAnsi="宋体" w:cs="宋体"/>
          <w:sz w:val="24"/>
          <w:szCs w:val="24"/>
          <w:lang w:eastAsia="zh-CN"/>
        </w:rPr>
        <w:t>重庆市璧山区消防救援支队</w:t>
      </w:r>
      <w:r>
        <w:rPr>
          <w:rFonts w:hint="eastAsia" w:ascii="宋体" w:hAnsi="宋体" w:cs="宋体"/>
          <w:sz w:val="24"/>
          <w:szCs w:val="24"/>
        </w:rPr>
        <w:t>（队史馆）项目进行竞争性磋商采购。欢迎有资格的供应商前来参与磋商。</w:t>
      </w:r>
    </w:p>
    <w:p w14:paraId="4385A38E">
      <w:pPr>
        <w:pStyle w:val="3"/>
        <w:adjustRightInd w:val="0"/>
        <w:snapToGrid w:val="0"/>
        <w:spacing w:line="240" w:lineRule="auto"/>
        <w:jc w:val="left"/>
        <w:rPr>
          <w:rFonts w:ascii="宋体" w:hAnsi="宋体" w:eastAsia="宋体" w:cs="宋体"/>
          <w:sz w:val="24"/>
        </w:rPr>
      </w:pPr>
      <w:bookmarkStart w:id="20" w:name="_Toc22907"/>
      <w:bookmarkStart w:id="21" w:name="_Toc317775175"/>
      <w:bookmarkStart w:id="22" w:name="_Toc27587"/>
      <w:bookmarkStart w:id="23" w:name="_Toc19154"/>
      <w:bookmarkStart w:id="24" w:name="_Toc20976"/>
      <w:bookmarkStart w:id="25" w:name="_Toc24034"/>
      <w:bookmarkStart w:id="26" w:name="_Toc23096"/>
      <w:bookmarkStart w:id="27" w:name="_Toc6059"/>
      <w:bookmarkStart w:id="28" w:name="_Toc19218"/>
      <w:bookmarkStart w:id="29" w:name="_Toc13945"/>
      <w:bookmarkStart w:id="30" w:name="_Toc76462317"/>
      <w:bookmarkStart w:id="31" w:name="_Toc24359"/>
      <w:bookmarkStart w:id="32" w:name="_Toc668"/>
      <w:bookmarkStart w:id="33" w:name="_Toc12661"/>
      <w:bookmarkStart w:id="34" w:name="_Toc313893526"/>
      <w:bookmarkStart w:id="35" w:name="_Toc19701"/>
      <w:bookmarkStart w:id="36" w:name="_Toc18535"/>
      <w:bookmarkStart w:id="37" w:name="_Toc14760"/>
      <w:bookmarkStart w:id="38" w:name="_Toc14903"/>
      <w:bookmarkStart w:id="39" w:name="_Toc211850940"/>
      <w:r>
        <w:rPr>
          <w:rFonts w:hint="eastAsia" w:ascii="宋体" w:hAnsi="宋体" w:eastAsia="宋体" w:cs="宋体"/>
          <w:sz w:val="24"/>
        </w:rPr>
        <w:t>一、竞争性磋商内容</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0"/>
        <w:gridCol w:w="1701"/>
        <w:gridCol w:w="2410"/>
        <w:gridCol w:w="2516"/>
      </w:tblGrid>
      <w:tr w14:paraId="60DC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2660" w:type="dxa"/>
            <w:tcBorders>
              <w:top w:val="single" w:color="auto" w:sz="4" w:space="0"/>
              <w:left w:val="single" w:color="auto" w:sz="4" w:space="0"/>
              <w:right w:val="single" w:color="auto" w:sz="4" w:space="0"/>
            </w:tcBorders>
            <w:noWrap/>
            <w:vAlign w:val="center"/>
          </w:tcPr>
          <w:p w14:paraId="1258D0A9">
            <w:pPr>
              <w:widowControl/>
              <w:jc w:val="center"/>
              <w:rPr>
                <w:rFonts w:ascii="宋体" w:hAnsi="宋体" w:cs="宋体"/>
                <w:b/>
                <w:bCs/>
                <w:kern w:val="0"/>
                <w:sz w:val="21"/>
                <w:szCs w:val="21"/>
              </w:rPr>
            </w:pPr>
            <w:r>
              <w:rPr>
                <w:rFonts w:hint="eastAsia" w:ascii="宋体" w:hAnsi="宋体" w:cs="宋体"/>
                <w:b/>
                <w:bCs/>
                <w:kern w:val="0"/>
                <w:sz w:val="21"/>
                <w:szCs w:val="21"/>
              </w:rPr>
              <w:t>项目名称</w:t>
            </w:r>
          </w:p>
        </w:tc>
        <w:tc>
          <w:tcPr>
            <w:tcW w:w="1701" w:type="dxa"/>
            <w:tcBorders>
              <w:top w:val="single" w:color="auto" w:sz="4" w:space="0"/>
              <w:left w:val="single" w:color="auto" w:sz="4" w:space="0"/>
              <w:right w:val="single" w:color="auto" w:sz="4" w:space="0"/>
            </w:tcBorders>
            <w:noWrap/>
            <w:vAlign w:val="center"/>
          </w:tcPr>
          <w:p w14:paraId="1CE559EF">
            <w:pPr>
              <w:jc w:val="center"/>
              <w:rPr>
                <w:rFonts w:ascii="宋体" w:hAnsi="宋体" w:cs="宋体"/>
                <w:b/>
                <w:bCs/>
                <w:kern w:val="0"/>
                <w:sz w:val="21"/>
                <w:szCs w:val="21"/>
              </w:rPr>
            </w:pPr>
            <w:r>
              <w:rPr>
                <w:rFonts w:hint="eastAsia" w:ascii="宋体" w:hAnsi="宋体" w:cs="宋体"/>
                <w:b/>
                <w:bCs/>
                <w:kern w:val="0"/>
                <w:sz w:val="21"/>
                <w:szCs w:val="21"/>
              </w:rPr>
              <w:t>最高限价（万元）</w:t>
            </w:r>
          </w:p>
        </w:tc>
        <w:tc>
          <w:tcPr>
            <w:tcW w:w="2410" w:type="dxa"/>
            <w:tcBorders>
              <w:top w:val="single" w:color="auto" w:sz="4" w:space="0"/>
              <w:left w:val="single" w:color="auto" w:sz="4" w:space="0"/>
              <w:right w:val="single" w:color="auto" w:sz="4" w:space="0"/>
            </w:tcBorders>
            <w:noWrap/>
            <w:vAlign w:val="center"/>
          </w:tcPr>
          <w:p w14:paraId="73151887">
            <w:pPr>
              <w:jc w:val="center"/>
              <w:rPr>
                <w:rFonts w:ascii="宋体" w:hAnsi="宋体" w:cs="宋体"/>
                <w:b/>
                <w:bCs/>
                <w:kern w:val="0"/>
                <w:sz w:val="21"/>
                <w:szCs w:val="21"/>
              </w:rPr>
            </w:pPr>
            <w:r>
              <w:rPr>
                <w:rFonts w:hint="eastAsia" w:ascii="宋体" w:hAnsi="宋体" w:cs="宋体"/>
                <w:b/>
                <w:bCs/>
                <w:kern w:val="0"/>
                <w:sz w:val="21"/>
                <w:szCs w:val="21"/>
              </w:rPr>
              <w:t>成交供应商数量（名）</w:t>
            </w:r>
          </w:p>
        </w:tc>
        <w:tc>
          <w:tcPr>
            <w:tcW w:w="2516" w:type="dxa"/>
            <w:tcBorders>
              <w:top w:val="single" w:color="auto" w:sz="4" w:space="0"/>
              <w:left w:val="single" w:color="auto" w:sz="4" w:space="0"/>
              <w:right w:val="single" w:color="auto" w:sz="4" w:space="0"/>
            </w:tcBorders>
            <w:noWrap/>
            <w:vAlign w:val="center"/>
          </w:tcPr>
          <w:p w14:paraId="2EA59967">
            <w:pPr>
              <w:jc w:val="center"/>
              <w:rPr>
                <w:rFonts w:ascii="宋体" w:hAnsi="宋体" w:cs="宋体"/>
                <w:b/>
                <w:bCs/>
                <w:kern w:val="0"/>
                <w:sz w:val="21"/>
                <w:szCs w:val="21"/>
              </w:rPr>
            </w:pPr>
            <w:r>
              <w:rPr>
                <w:rFonts w:hint="eastAsia" w:ascii="宋体" w:hAnsi="宋体" w:cs="宋体"/>
                <w:b/>
                <w:bCs/>
                <w:kern w:val="0"/>
                <w:sz w:val="21"/>
                <w:szCs w:val="21"/>
              </w:rPr>
              <w:t>采购标的对应的中小企业划分标准所属行业</w:t>
            </w:r>
          </w:p>
        </w:tc>
      </w:tr>
      <w:tr w14:paraId="64F3B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2660" w:type="dxa"/>
            <w:tcBorders>
              <w:top w:val="single" w:color="auto" w:sz="4" w:space="0"/>
              <w:left w:val="single" w:color="auto" w:sz="4" w:space="0"/>
              <w:right w:val="single" w:color="auto" w:sz="4" w:space="0"/>
            </w:tcBorders>
            <w:noWrap/>
            <w:vAlign w:val="center"/>
          </w:tcPr>
          <w:p w14:paraId="11EAC01D">
            <w:pPr>
              <w:widowControl/>
              <w:jc w:val="center"/>
              <w:rPr>
                <w:rFonts w:ascii="宋体" w:hAnsi="宋体" w:cs="宋体"/>
                <w:kern w:val="0"/>
                <w:sz w:val="21"/>
                <w:szCs w:val="21"/>
              </w:rPr>
            </w:pPr>
            <w:r>
              <w:rPr>
                <w:rFonts w:hint="eastAsia" w:ascii="宋体" w:hAnsi="宋体" w:cs="宋体"/>
                <w:sz w:val="21"/>
                <w:szCs w:val="21"/>
                <w:lang w:eastAsia="zh-CN"/>
              </w:rPr>
              <w:t>重庆市璧山区消防救援支队</w:t>
            </w:r>
            <w:r>
              <w:rPr>
                <w:rFonts w:hint="eastAsia" w:ascii="宋体" w:hAnsi="宋体" w:cs="宋体"/>
                <w:sz w:val="21"/>
                <w:szCs w:val="21"/>
              </w:rPr>
              <w:t>（队史馆）项目</w:t>
            </w:r>
          </w:p>
        </w:tc>
        <w:tc>
          <w:tcPr>
            <w:tcW w:w="1701" w:type="dxa"/>
            <w:tcBorders>
              <w:top w:val="single" w:color="auto" w:sz="4" w:space="0"/>
              <w:left w:val="single" w:color="auto" w:sz="4" w:space="0"/>
              <w:right w:val="single" w:color="auto" w:sz="4" w:space="0"/>
            </w:tcBorders>
            <w:noWrap/>
            <w:vAlign w:val="center"/>
          </w:tcPr>
          <w:p w14:paraId="5B268AC2">
            <w:pPr>
              <w:widowControl/>
              <w:jc w:val="center"/>
              <w:rPr>
                <w:rFonts w:ascii="宋体" w:hAnsi="宋体" w:cs="宋体"/>
                <w:kern w:val="0"/>
                <w:sz w:val="21"/>
                <w:szCs w:val="21"/>
              </w:rPr>
            </w:pPr>
            <w:r>
              <w:rPr>
                <w:rFonts w:hint="eastAsia" w:ascii="宋体" w:hAnsi="宋体" w:cs="宋体"/>
                <w:kern w:val="0"/>
                <w:sz w:val="21"/>
                <w:szCs w:val="21"/>
              </w:rPr>
              <w:t>104.470518</w:t>
            </w:r>
          </w:p>
        </w:tc>
        <w:tc>
          <w:tcPr>
            <w:tcW w:w="2410" w:type="dxa"/>
            <w:tcBorders>
              <w:top w:val="single" w:color="auto" w:sz="4" w:space="0"/>
              <w:left w:val="single" w:color="auto" w:sz="4" w:space="0"/>
              <w:right w:val="single" w:color="auto" w:sz="4" w:space="0"/>
            </w:tcBorders>
            <w:noWrap/>
            <w:vAlign w:val="center"/>
          </w:tcPr>
          <w:p w14:paraId="7B65755E">
            <w:pPr>
              <w:widowControl/>
              <w:jc w:val="center"/>
              <w:rPr>
                <w:rFonts w:ascii="宋体" w:hAnsi="宋体" w:cs="宋体"/>
                <w:kern w:val="0"/>
                <w:sz w:val="21"/>
                <w:szCs w:val="21"/>
              </w:rPr>
            </w:pPr>
            <w:r>
              <w:rPr>
                <w:rFonts w:hint="eastAsia" w:ascii="宋体" w:hAnsi="宋体" w:cs="宋体"/>
                <w:kern w:val="0"/>
                <w:sz w:val="21"/>
                <w:szCs w:val="21"/>
              </w:rPr>
              <w:t>1</w:t>
            </w:r>
          </w:p>
        </w:tc>
        <w:tc>
          <w:tcPr>
            <w:tcW w:w="2516" w:type="dxa"/>
            <w:tcBorders>
              <w:top w:val="single" w:color="auto" w:sz="4" w:space="0"/>
              <w:left w:val="single" w:color="auto" w:sz="4" w:space="0"/>
              <w:right w:val="single" w:color="auto" w:sz="4" w:space="0"/>
            </w:tcBorders>
            <w:noWrap/>
            <w:vAlign w:val="center"/>
          </w:tcPr>
          <w:p w14:paraId="0EE8CC42">
            <w:pPr>
              <w:jc w:val="center"/>
              <w:rPr>
                <w:rFonts w:ascii="宋体" w:hAnsi="宋体" w:cs="宋体"/>
                <w:b/>
                <w:sz w:val="21"/>
                <w:szCs w:val="21"/>
              </w:rPr>
            </w:pPr>
            <w:r>
              <w:rPr>
                <w:rFonts w:hint="eastAsia" w:ascii="宋体" w:hAnsi="宋体" w:cs="宋体"/>
                <w:b/>
                <w:sz w:val="21"/>
                <w:szCs w:val="21"/>
              </w:rPr>
              <w:t>建筑业</w:t>
            </w:r>
          </w:p>
        </w:tc>
      </w:tr>
    </w:tbl>
    <w:p w14:paraId="246F4A42">
      <w:pPr>
        <w:pStyle w:val="3"/>
        <w:adjustRightInd w:val="0"/>
        <w:snapToGrid w:val="0"/>
        <w:spacing w:line="240" w:lineRule="auto"/>
        <w:jc w:val="left"/>
        <w:rPr>
          <w:rFonts w:ascii="宋体" w:hAnsi="宋体" w:eastAsia="宋体" w:cs="宋体"/>
          <w:sz w:val="24"/>
        </w:rPr>
      </w:pPr>
      <w:bookmarkStart w:id="40" w:name="_Toc10518"/>
      <w:bookmarkStart w:id="41" w:name="_Toc31191"/>
      <w:bookmarkStart w:id="42" w:name="_Toc19770"/>
      <w:bookmarkStart w:id="43" w:name="_Toc29850"/>
      <w:bookmarkStart w:id="44" w:name="_Toc18800"/>
      <w:bookmarkStart w:id="45" w:name="_Toc19968"/>
      <w:bookmarkStart w:id="46" w:name="_Toc9682"/>
      <w:bookmarkStart w:id="47" w:name="_Toc76462318"/>
      <w:bookmarkStart w:id="48" w:name="_Toc29488"/>
      <w:bookmarkStart w:id="49" w:name="_Toc8515"/>
      <w:bookmarkStart w:id="50" w:name="_Toc28859"/>
      <w:bookmarkStart w:id="51" w:name="_Toc14168"/>
      <w:bookmarkStart w:id="52" w:name="_Toc25097"/>
      <w:bookmarkStart w:id="53" w:name="_Toc16915"/>
      <w:bookmarkStart w:id="54" w:name="_Toc20737"/>
      <w:bookmarkStart w:id="55" w:name="_Toc16022"/>
      <w:bookmarkStart w:id="56" w:name="_Toc32357"/>
      <w:bookmarkStart w:id="57" w:name="_Toc211850941"/>
      <w:bookmarkStart w:id="58" w:name="_Toc373860293"/>
      <w:bookmarkStart w:id="59" w:name="_Toc317775178"/>
      <w:r>
        <w:rPr>
          <w:rFonts w:hint="eastAsia" w:ascii="宋体" w:hAnsi="宋体" w:eastAsia="宋体" w:cs="宋体"/>
          <w:sz w:val="24"/>
        </w:rPr>
        <w:t>二、资金来源</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5AF107E7">
      <w:pPr>
        <w:spacing w:line="400" w:lineRule="exact"/>
        <w:ind w:firstLine="480" w:firstLineChars="200"/>
        <w:rPr>
          <w:rFonts w:ascii="宋体" w:hAnsi="宋体" w:cs="宋体"/>
          <w:sz w:val="24"/>
          <w:szCs w:val="24"/>
        </w:rPr>
      </w:pPr>
      <w:r>
        <w:rPr>
          <w:rFonts w:hint="eastAsia" w:ascii="宋体" w:hAnsi="宋体" w:cs="宋体"/>
          <w:sz w:val="24"/>
          <w:szCs w:val="24"/>
        </w:rPr>
        <w:t>财政预算资金，预算金额</w:t>
      </w:r>
      <w:r>
        <w:rPr>
          <w:rFonts w:hint="eastAsia" w:ascii="宋体" w:hAnsi="宋体" w:cs="宋体"/>
          <w:sz w:val="24"/>
          <w:szCs w:val="24"/>
          <w:lang w:eastAsia="zh-CN"/>
        </w:rPr>
        <w:t>：</w:t>
      </w:r>
      <w:r>
        <w:rPr>
          <w:rFonts w:hint="eastAsia" w:ascii="宋体" w:hAnsi="宋体" w:cs="宋体"/>
          <w:sz w:val="24"/>
          <w:szCs w:val="24"/>
          <w:lang w:val="en-US" w:eastAsia="zh-CN"/>
        </w:rPr>
        <w:t>109.631283</w:t>
      </w:r>
      <w:r>
        <w:rPr>
          <w:rFonts w:hint="eastAsia" w:ascii="宋体" w:hAnsi="宋体" w:cs="宋体"/>
          <w:sz w:val="24"/>
          <w:szCs w:val="24"/>
        </w:rPr>
        <w:t>万元。</w:t>
      </w:r>
    </w:p>
    <w:p w14:paraId="103A67FB">
      <w:pPr>
        <w:pStyle w:val="3"/>
        <w:adjustRightInd w:val="0"/>
        <w:snapToGrid w:val="0"/>
        <w:spacing w:line="240" w:lineRule="auto"/>
        <w:jc w:val="left"/>
        <w:rPr>
          <w:rFonts w:ascii="宋体" w:hAnsi="宋体" w:eastAsia="宋体" w:cs="宋体"/>
          <w:sz w:val="24"/>
        </w:rPr>
      </w:pPr>
      <w:bookmarkStart w:id="60" w:name="_Toc16489"/>
      <w:bookmarkStart w:id="61" w:name="_Toc20780"/>
      <w:bookmarkStart w:id="62" w:name="_Toc76462319"/>
      <w:bookmarkStart w:id="63" w:name="_Toc27816"/>
      <w:bookmarkStart w:id="64" w:name="_Toc27605"/>
      <w:bookmarkStart w:id="65" w:name="_Toc211850942"/>
      <w:bookmarkStart w:id="66" w:name="_Toc1030"/>
      <w:bookmarkStart w:id="67" w:name="_Toc20808"/>
      <w:bookmarkStart w:id="68" w:name="_Toc29387"/>
      <w:bookmarkStart w:id="69" w:name="_Toc7598"/>
      <w:bookmarkStart w:id="70" w:name="_Toc12919"/>
      <w:bookmarkStart w:id="71" w:name="_Toc15787"/>
      <w:bookmarkStart w:id="72" w:name="_Toc9079"/>
      <w:bookmarkStart w:id="73" w:name="_Toc14730"/>
      <w:bookmarkStart w:id="74" w:name="_Toc8852"/>
      <w:bookmarkStart w:id="75" w:name="_Toc1179"/>
      <w:bookmarkStart w:id="76" w:name="_Toc20573"/>
      <w:bookmarkStart w:id="77" w:name="_Toc23573"/>
      <w:r>
        <w:rPr>
          <w:rFonts w:hint="eastAsia" w:ascii="宋体" w:hAnsi="宋体" w:eastAsia="宋体" w:cs="宋体"/>
          <w:sz w:val="24"/>
        </w:rPr>
        <w:t>三、供应商资格条件</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22117EB2">
      <w:pPr>
        <w:spacing w:line="400" w:lineRule="exact"/>
        <w:ind w:firstLine="480" w:firstLineChars="200"/>
        <w:rPr>
          <w:rFonts w:ascii="宋体" w:hAnsi="宋体" w:cs="宋体"/>
          <w:sz w:val="24"/>
          <w:szCs w:val="24"/>
        </w:rPr>
      </w:pPr>
      <w:r>
        <w:rPr>
          <w:rFonts w:hint="eastAsia" w:ascii="宋体" w:hAnsi="宋体" w:cs="宋体"/>
          <w:sz w:val="24"/>
          <w:szCs w:val="24"/>
        </w:rPr>
        <w:t>（一）满足《中华人民共和国政府采购法》第二十二条规定；</w:t>
      </w:r>
    </w:p>
    <w:p w14:paraId="32BCE533">
      <w:pPr>
        <w:spacing w:line="400" w:lineRule="exact"/>
        <w:ind w:firstLine="480" w:firstLineChars="200"/>
        <w:rPr>
          <w:rFonts w:ascii="宋体" w:hAnsi="宋体" w:cs="宋体"/>
          <w:sz w:val="24"/>
          <w:szCs w:val="24"/>
        </w:rPr>
      </w:pPr>
      <w:r>
        <w:rPr>
          <w:rFonts w:hint="eastAsia" w:ascii="宋体" w:hAnsi="宋体" w:cs="宋体"/>
          <w:sz w:val="24"/>
          <w:szCs w:val="24"/>
        </w:rPr>
        <w:t>（二）落实政府采购政策需满足的资格要求：</w:t>
      </w:r>
      <w:r>
        <w:rPr>
          <w:rFonts w:hint="eastAsia" w:ascii="宋体" w:hAnsi="宋体" w:cs="宋体"/>
          <w:iCs/>
          <w:sz w:val="24"/>
          <w:szCs w:val="24"/>
        </w:rPr>
        <w:t>本项目专门面向中小企业采购，承建单位应为中小微企业（提供中小企业声明函）或监狱企业（提供监狱企业证明文件）或残疾人福利性单位（提供残疾人福利性单位声明函）。</w:t>
      </w:r>
    </w:p>
    <w:p w14:paraId="74E73A14">
      <w:pPr>
        <w:spacing w:line="400" w:lineRule="exact"/>
        <w:ind w:firstLine="480" w:firstLineChars="200"/>
        <w:rPr>
          <w:rFonts w:hint="eastAsia" w:ascii="宋体" w:hAnsi="宋体" w:cs="宋体"/>
          <w:sz w:val="24"/>
          <w:szCs w:val="24"/>
        </w:rPr>
      </w:pPr>
      <w:r>
        <w:rPr>
          <w:rFonts w:hint="eastAsia" w:ascii="宋体" w:hAnsi="宋体" w:cs="宋体"/>
          <w:sz w:val="24"/>
          <w:szCs w:val="24"/>
        </w:rPr>
        <w:t>（三）本项目的特定资格要求：</w:t>
      </w:r>
      <w:bookmarkStart w:id="78" w:name="_Toc9243"/>
      <w:bookmarkStart w:id="79" w:name="_Toc26038"/>
      <w:bookmarkStart w:id="80" w:name="_Toc30707"/>
      <w:bookmarkStart w:id="81" w:name="_Toc14839"/>
      <w:bookmarkStart w:id="82" w:name="_Toc28819"/>
      <w:bookmarkStart w:id="83" w:name="_Toc18527"/>
      <w:bookmarkStart w:id="84" w:name="_Toc15731"/>
      <w:bookmarkStart w:id="85" w:name="_Toc8282"/>
      <w:bookmarkStart w:id="86" w:name="_Toc7680"/>
      <w:bookmarkStart w:id="87" w:name="_Toc16247"/>
      <w:bookmarkStart w:id="88" w:name="_Toc11425"/>
      <w:bookmarkStart w:id="89" w:name="_Toc6449"/>
      <w:bookmarkStart w:id="90" w:name="_Toc76462320"/>
      <w:bookmarkStart w:id="91" w:name="_Toc8419"/>
      <w:bookmarkStart w:id="92" w:name="_Toc29027"/>
      <w:bookmarkStart w:id="93" w:name="_Toc6183"/>
      <w:bookmarkStart w:id="94" w:name="_Toc25732"/>
    </w:p>
    <w:p w14:paraId="510323B9">
      <w:pPr>
        <w:spacing w:line="400" w:lineRule="exact"/>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1</w:t>
      </w:r>
      <w:r>
        <w:rPr>
          <w:rFonts w:hint="eastAsia" w:ascii="宋体" w:hAnsi="宋体" w:cs="宋体"/>
          <w:sz w:val="24"/>
          <w:szCs w:val="24"/>
          <w:lang w:eastAsia="zh-CN"/>
        </w:rPr>
        <w:t>）</w:t>
      </w:r>
      <w:r>
        <w:rPr>
          <w:rFonts w:hint="eastAsia" w:ascii="宋体" w:hAnsi="宋体" w:cs="宋体"/>
          <w:sz w:val="24"/>
          <w:szCs w:val="24"/>
        </w:rPr>
        <w:t>供应商须具备建设行政主管部门颁发的有效期内的建筑工程施工总承包二级及以上资质（提供证书复印件并加盖供应商公章）；</w:t>
      </w:r>
    </w:p>
    <w:p w14:paraId="7EFC354C">
      <w:pPr>
        <w:spacing w:line="400" w:lineRule="exact"/>
        <w:ind w:firstLine="480" w:firstLineChars="200"/>
        <w:rPr>
          <w:rFonts w:ascii="宋体" w:hAnsi="宋体" w:cs="宋体"/>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2</w:t>
      </w:r>
      <w:bookmarkStart w:id="696" w:name="_GoBack"/>
      <w:bookmarkEnd w:id="696"/>
      <w:r>
        <w:rPr>
          <w:rFonts w:hint="eastAsia" w:ascii="宋体" w:hAnsi="宋体" w:cs="宋体"/>
          <w:sz w:val="24"/>
          <w:szCs w:val="24"/>
          <w:lang w:eastAsia="zh-CN"/>
        </w:rPr>
        <w:t>）</w:t>
      </w:r>
      <w:r>
        <w:rPr>
          <w:rFonts w:hint="eastAsia" w:ascii="宋体" w:hAnsi="宋体" w:cs="宋体"/>
          <w:sz w:val="24"/>
          <w:szCs w:val="24"/>
        </w:rPr>
        <w:t>供应商须具备建设行政主管部门颁发的有效期内的《安全生产许可证》（提供证书复印件并加盖供应商公章）。</w:t>
      </w:r>
    </w:p>
    <w:p w14:paraId="00D40EE3">
      <w:pPr>
        <w:pStyle w:val="3"/>
        <w:adjustRightInd w:val="0"/>
        <w:snapToGrid w:val="0"/>
        <w:spacing w:line="240" w:lineRule="auto"/>
        <w:jc w:val="left"/>
        <w:rPr>
          <w:rFonts w:ascii="宋体" w:hAnsi="宋体" w:eastAsia="宋体" w:cs="宋体"/>
          <w:sz w:val="24"/>
        </w:rPr>
      </w:pPr>
      <w:bookmarkStart w:id="95" w:name="_Toc211850943"/>
      <w:r>
        <w:rPr>
          <w:rFonts w:hint="eastAsia" w:ascii="宋体" w:hAnsi="宋体" w:eastAsia="宋体" w:cs="宋体"/>
          <w:sz w:val="24"/>
        </w:rPr>
        <w:t>四、磋商有关说明</w:t>
      </w:r>
      <w:bookmarkEnd w:id="58"/>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655465B3">
      <w:pPr>
        <w:spacing w:line="400" w:lineRule="exact"/>
        <w:ind w:firstLine="480" w:firstLineChars="200"/>
        <w:rPr>
          <w:rFonts w:ascii="宋体" w:hAnsi="宋体" w:cs="宋体"/>
          <w:sz w:val="24"/>
          <w:szCs w:val="24"/>
        </w:rPr>
      </w:pPr>
      <w:r>
        <w:rPr>
          <w:rFonts w:hint="eastAsia" w:ascii="宋体" w:hAnsi="宋体" w:cs="宋体"/>
          <w:sz w:val="24"/>
          <w:szCs w:val="24"/>
        </w:rPr>
        <w:t>（一）凡有意参加磋商的供应商，请在中国政府采购网上下载或到采购代理机构处领取本项目竞争性磋商文件以及图纸、澄清等磋商前公布的所有项目资料，无论供应商下载或领取与否，均视为已知晓所有磋商实质性要求内容。</w:t>
      </w:r>
    </w:p>
    <w:p w14:paraId="751C0B96">
      <w:pPr>
        <w:spacing w:line="400" w:lineRule="exact"/>
        <w:ind w:firstLine="480" w:firstLineChars="200"/>
        <w:rPr>
          <w:rFonts w:ascii="宋体" w:hAnsi="宋体" w:cs="宋体"/>
          <w:sz w:val="24"/>
          <w:szCs w:val="24"/>
        </w:rPr>
      </w:pPr>
      <w:r>
        <w:rPr>
          <w:rFonts w:hint="eastAsia" w:ascii="宋体" w:hAnsi="宋体" w:cs="宋体"/>
          <w:sz w:val="24"/>
          <w:szCs w:val="24"/>
        </w:rPr>
        <w:t>（二）竞争性磋商公告期限：自采购公告发布之日起三个工作日。</w:t>
      </w:r>
    </w:p>
    <w:p w14:paraId="28FA64DF">
      <w:pPr>
        <w:spacing w:line="400" w:lineRule="exact"/>
        <w:ind w:firstLine="480" w:firstLineChars="200"/>
        <w:rPr>
          <w:rFonts w:ascii="宋体" w:hAnsi="宋体" w:cs="宋体"/>
          <w:sz w:val="24"/>
          <w:szCs w:val="24"/>
        </w:rPr>
      </w:pPr>
      <w:r>
        <w:rPr>
          <w:rFonts w:hint="eastAsia" w:ascii="宋体" w:hAnsi="宋体" w:cs="宋体"/>
          <w:sz w:val="24"/>
          <w:szCs w:val="24"/>
        </w:rPr>
        <w:t xml:space="preserve">（三）竞争性磋商文件发售期限： </w:t>
      </w:r>
    </w:p>
    <w:p w14:paraId="32D937BF">
      <w:pPr>
        <w:spacing w:line="400" w:lineRule="exact"/>
        <w:ind w:firstLine="480" w:firstLineChars="200"/>
        <w:rPr>
          <w:rFonts w:ascii="宋体" w:hAnsi="宋体" w:cs="宋体"/>
          <w:sz w:val="24"/>
          <w:szCs w:val="24"/>
        </w:rPr>
      </w:pPr>
      <w:r>
        <w:rPr>
          <w:rFonts w:hint="eastAsia" w:ascii="宋体" w:hAnsi="宋体" w:cs="宋体"/>
          <w:sz w:val="24"/>
          <w:szCs w:val="24"/>
        </w:rPr>
        <w:t>1.竞争性磋商文件发售期：自采购公告发布之日起五个工作日。</w:t>
      </w:r>
    </w:p>
    <w:p w14:paraId="7524488D">
      <w:pPr>
        <w:spacing w:line="400" w:lineRule="exact"/>
        <w:ind w:firstLine="480" w:firstLineChars="200"/>
        <w:rPr>
          <w:rFonts w:ascii="宋体" w:hAnsi="宋体" w:cs="宋体"/>
          <w:sz w:val="24"/>
          <w:szCs w:val="24"/>
        </w:rPr>
      </w:pPr>
      <w:r>
        <w:rPr>
          <w:rFonts w:hint="eastAsia" w:ascii="宋体" w:hAnsi="宋体" w:cs="宋体"/>
          <w:sz w:val="24"/>
          <w:szCs w:val="24"/>
        </w:rPr>
        <w:t>2.报名方式：无需报名。</w:t>
      </w:r>
    </w:p>
    <w:p w14:paraId="71BDEE1C">
      <w:pPr>
        <w:spacing w:line="400" w:lineRule="exact"/>
        <w:ind w:firstLine="480" w:firstLineChars="200"/>
        <w:rPr>
          <w:rFonts w:ascii="宋体" w:hAnsi="宋体" w:cs="宋体"/>
          <w:sz w:val="24"/>
          <w:szCs w:val="24"/>
        </w:rPr>
      </w:pPr>
      <w:r>
        <w:rPr>
          <w:rFonts w:hint="eastAsia" w:ascii="宋体" w:hAnsi="宋体" w:cs="宋体"/>
          <w:sz w:val="24"/>
          <w:szCs w:val="24"/>
        </w:rPr>
        <w:t>（四）递交响应文件地点：重庆市公共资源交易中心（地址：重庆市两江新区青枫北路6号渝兴广场B9栋6楼）</w:t>
      </w:r>
    </w:p>
    <w:p w14:paraId="50219733">
      <w:pPr>
        <w:spacing w:line="400" w:lineRule="exact"/>
        <w:ind w:firstLine="480" w:firstLineChars="200"/>
        <w:rPr>
          <w:rFonts w:ascii="宋体" w:hAnsi="宋体" w:cs="宋体"/>
          <w:sz w:val="24"/>
          <w:szCs w:val="24"/>
        </w:rPr>
      </w:pPr>
      <w:r>
        <w:rPr>
          <w:rFonts w:hint="eastAsia" w:ascii="宋体" w:hAnsi="宋体" w:cs="宋体"/>
          <w:sz w:val="24"/>
          <w:szCs w:val="24"/>
        </w:rPr>
        <w:t>（五）响应文件递交截止时间：2026年</w:t>
      </w:r>
      <w:r>
        <w:rPr>
          <w:rFonts w:hint="eastAsia" w:ascii="宋体" w:hAnsi="宋体" w:cs="宋体"/>
          <w:sz w:val="24"/>
          <w:szCs w:val="24"/>
          <w:lang w:val="en-US" w:eastAsia="zh-CN"/>
        </w:rPr>
        <w:t>10</w:t>
      </w:r>
      <w:r>
        <w:rPr>
          <w:rFonts w:hint="eastAsia" w:ascii="宋体" w:hAnsi="宋体" w:cs="宋体"/>
          <w:sz w:val="24"/>
          <w:szCs w:val="24"/>
        </w:rPr>
        <w:t>月</w:t>
      </w:r>
      <w:r>
        <w:rPr>
          <w:rFonts w:hint="eastAsia" w:ascii="宋体" w:hAnsi="宋体" w:cs="宋体"/>
          <w:sz w:val="24"/>
          <w:szCs w:val="24"/>
          <w:lang w:val="en-US" w:eastAsia="zh-CN"/>
        </w:rPr>
        <w:t>23</w:t>
      </w:r>
      <w:r>
        <w:rPr>
          <w:rFonts w:hint="eastAsia" w:ascii="宋体" w:hAnsi="宋体" w:cs="宋体"/>
          <w:sz w:val="24"/>
          <w:szCs w:val="24"/>
        </w:rPr>
        <w:t>日北京时间10:00</w:t>
      </w:r>
    </w:p>
    <w:p w14:paraId="4654F580">
      <w:pPr>
        <w:spacing w:line="400" w:lineRule="exact"/>
        <w:ind w:firstLine="480" w:firstLineChars="200"/>
        <w:rPr>
          <w:rFonts w:ascii="宋体" w:hAnsi="宋体" w:cs="宋体"/>
          <w:sz w:val="24"/>
          <w:szCs w:val="24"/>
        </w:rPr>
      </w:pPr>
      <w:r>
        <w:rPr>
          <w:rFonts w:hint="eastAsia" w:ascii="宋体" w:hAnsi="宋体" w:cs="宋体"/>
          <w:sz w:val="24"/>
          <w:szCs w:val="24"/>
        </w:rPr>
        <w:t>（六）</w:t>
      </w:r>
      <w:r>
        <w:rPr>
          <w:rFonts w:hint="eastAsia" w:ascii="宋体" w:hAnsi="宋体" w:cs="宋体"/>
          <w:sz w:val="24"/>
          <w:szCs w:val="24"/>
          <w:lang w:eastAsia="zh-CN"/>
        </w:rPr>
        <w:t>响应文件开启时间</w:t>
      </w:r>
      <w:r>
        <w:rPr>
          <w:rFonts w:hint="eastAsia" w:ascii="宋体" w:hAnsi="宋体" w:cs="宋体"/>
          <w:sz w:val="24"/>
          <w:szCs w:val="24"/>
        </w:rPr>
        <w:t>：2026年</w:t>
      </w:r>
      <w:r>
        <w:rPr>
          <w:rFonts w:hint="eastAsia" w:ascii="宋体" w:hAnsi="宋体" w:cs="宋体"/>
          <w:sz w:val="24"/>
          <w:szCs w:val="24"/>
          <w:lang w:val="en-US" w:eastAsia="zh-CN"/>
        </w:rPr>
        <w:t>10</w:t>
      </w:r>
      <w:r>
        <w:rPr>
          <w:rFonts w:hint="eastAsia" w:ascii="宋体" w:hAnsi="宋体" w:cs="宋体"/>
          <w:sz w:val="24"/>
          <w:szCs w:val="24"/>
        </w:rPr>
        <w:t>月</w:t>
      </w:r>
      <w:r>
        <w:rPr>
          <w:rFonts w:hint="eastAsia" w:ascii="宋体" w:hAnsi="宋体" w:cs="宋体"/>
          <w:sz w:val="24"/>
          <w:szCs w:val="24"/>
          <w:lang w:val="en-US" w:eastAsia="zh-CN"/>
        </w:rPr>
        <w:t>23</w:t>
      </w:r>
      <w:r>
        <w:rPr>
          <w:rFonts w:hint="eastAsia" w:ascii="宋体" w:hAnsi="宋体" w:cs="宋体"/>
          <w:sz w:val="24"/>
          <w:szCs w:val="24"/>
        </w:rPr>
        <w:t>日北京时间10:00</w:t>
      </w:r>
    </w:p>
    <w:p w14:paraId="532F796C">
      <w:pPr>
        <w:pStyle w:val="3"/>
        <w:adjustRightInd w:val="0"/>
        <w:snapToGrid w:val="0"/>
        <w:spacing w:line="240" w:lineRule="auto"/>
        <w:jc w:val="left"/>
        <w:rPr>
          <w:rFonts w:ascii="宋体" w:hAnsi="宋体" w:eastAsia="宋体" w:cs="宋体"/>
          <w:sz w:val="24"/>
        </w:rPr>
      </w:pPr>
      <w:bookmarkStart w:id="96" w:name="_Toc373860294"/>
      <w:bookmarkStart w:id="97" w:name="_Toc10872"/>
      <w:bookmarkStart w:id="98" w:name="_Toc24139"/>
      <w:bookmarkStart w:id="99" w:name="_Toc23651"/>
      <w:bookmarkStart w:id="100" w:name="_Toc13195"/>
      <w:bookmarkStart w:id="101" w:name="_Toc2567"/>
      <w:bookmarkStart w:id="102" w:name="_Toc14887"/>
      <w:bookmarkStart w:id="103" w:name="_Toc28153"/>
      <w:bookmarkStart w:id="104" w:name="_Toc18449"/>
      <w:bookmarkStart w:id="105" w:name="_Toc211850944"/>
      <w:bookmarkStart w:id="106" w:name="_Toc29092"/>
      <w:bookmarkStart w:id="107" w:name="_Toc8618"/>
      <w:bookmarkStart w:id="108" w:name="_Toc19439"/>
      <w:bookmarkStart w:id="109" w:name="_Toc23097"/>
      <w:bookmarkStart w:id="110" w:name="_Toc27924"/>
      <w:bookmarkStart w:id="111" w:name="_Toc4997"/>
      <w:bookmarkStart w:id="112" w:name="_Toc9958"/>
      <w:bookmarkStart w:id="113" w:name="_Toc76462321"/>
      <w:bookmarkStart w:id="114" w:name="_Toc25920"/>
      <w:r>
        <w:rPr>
          <w:rFonts w:hint="eastAsia" w:ascii="宋体" w:hAnsi="宋体" w:eastAsia="宋体" w:cs="宋体"/>
          <w:sz w:val="24"/>
        </w:rPr>
        <w:t>五、</w:t>
      </w:r>
      <w:bookmarkEnd w:id="59"/>
      <w:bookmarkEnd w:id="96"/>
      <w:bookmarkStart w:id="115" w:name="_Toc480466698"/>
      <w:bookmarkStart w:id="116" w:name="_Toc479668114"/>
      <w:r>
        <w:rPr>
          <w:rFonts w:hint="eastAsia" w:ascii="宋体" w:hAnsi="宋体" w:eastAsia="宋体" w:cs="宋体"/>
          <w:sz w:val="24"/>
        </w:rPr>
        <w:t>采购项目需落实的政府采购政策</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23D167DB">
      <w:pPr>
        <w:snapToGrid w:val="0"/>
        <w:spacing w:line="400" w:lineRule="exact"/>
        <w:ind w:firstLine="480" w:firstLineChars="200"/>
        <w:rPr>
          <w:rFonts w:ascii="宋体" w:hAnsi="宋体" w:cs="宋体"/>
          <w:sz w:val="24"/>
          <w:szCs w:val="24"/>
        </w:rPr>
      </w:pPr>
      <w:r>
        <w:rPr>
          <w:rFonts w:hint="eastAsia" w:ascii="宋体" w:hAnsi="宋体" w:cs="宋体"/>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4B4DC4DF">
      <w:pPr>
        <w:snapToGrid w:val="0"/>
        <w:spacing w:line="400" w:lineRule="exact"/>
        <w:ind w:firstLine="480" w:firstLineChars="200"/>
        <w:rPr>
          <w:rFonts w:ascii="宋体" w:hAnsi="宋体" w:cs="宋体"/>
          <w:sz w:val="24"/>
          <w:szCs w:val="24"/>
        </w:rPr>
      </w:pPr>
      <w:r>
        <w:rPr>
          <w:rFonts w:hint="eastAsia" w:ascii="宋体" w:hAnsi="宋体" w:cs="宋体"/>
          <w:sz w:val="24"/>
          <w:szCs w:val="24"/>
        </w:rPr>
        <w:t>（二）按照财政部、工业和信息化部关于印发《政府采购促进中小企业发展管理办法》的通知（财库〔2020〕46号）的规定，落实促进中小企业发展政策。</w:t>
      </w:r>
    </w:p>
    <w:p w14:paraId="18823841">
      <w:pPr>
        <w:snapToGrid w:val="0"/>
        <w:spacing w:line="400" w:lineRule="exact"/>
        <w:ind w:firstLine="480" w:firstLineChars="200"/>
        <w:rPr>
          <w:rFonts w:ascii="宋体" w:hAnsi="宋体" w:cs="宋体"/>
          <w:sz w:val="24"/>
          <w:szCs w:val="24"/>
        </w:rPr>
      </w:pPr>
      <w:r>
        <w:rPr>
          <w:rFonts w:hint="eastAsia" w:ascii="宋体" w:hAnsi="宋体" w:cs="宋体"/>
          <w:sz w:val="24"/>
          <w:szCs w:val="24"/>
        </w:rPr>
        <w:t>（三）按照《财政部、司法部关于政府采购支持监狱企业发展有关问题的通知》（财库〔2014〕68号）的规定，落实支持监狱企业发展政策。监狱企业视同小型、微型企业。</w:t>
      </w:r>
    </w:p>
    <w:p w14:paraId="3808C822">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（四）按照《三部门联合发布关于促进残疾人就业政府采购政策的通知》（财库〔2017〕 141号）的规定，落实支持残疾人福利性单位发展政策。残疾人福利性单位视同小型、微型企业。</w:t>
      </w:r>
    </w:p>
    <w:p w14:paraId="404A99B8">
      <w:pPr>
        <w:snapToGrid w:val="0"/>
        <w:spacing w:line="400" w:lineRule="exact"/>
        <w:ind w:firstLine="480" w:firstLineChars="200"/>
        <w:rPr>
          <w:rFonts w:hint="eastAsia" w:ascii="宋体" w:hAnsi="宋体" w:cs="宋体"/>
          <w:sz w:val="24"/>
          <w:szCs w:val="24"/>
        </w:rPr>
      </w:pPr>
      <w:r>
        <w:rPr>
          <w:rFonts w:hint="eastAsia" w:ascii="宋体" w:hAnsi="宋体" w:cs="宋体"/>
          <w:sz w:val="24"/>
          <w:szCs w:val="24"/>
        </w:rPr>
        <w:t>（五）按照《国务院办公厅关于在政府采购中实施本国产品标准及相关政策的通知》（国办发〔2025〕34号）的规定，落实《财政部 工业信息化部关于贯彻落实〈国务院办公厅关于在政府采购中实施本国产品标准及相关政策的通知〉的意见》（财库〔2025〕30号）。</w:t>
      </w:r>
    </w:p>
    <w:p w14:paraId="451E8893">
      <w:pPr>
        <w:pStyle w:val="3"/>
        <w:adjustRightInd w:val="0"/>
        <w:snapToGrid w:val="0"/>
        <w:spacing w:line="240" w:lineRule="auto"/>
        <w:jc w:val="left"/>
        <w:rPr>
          <w:rFonts w:ascii="宋体" w:hAnsi="宋体" w:eastAsia="宋体" w:cs="宋体"/>
          <w:sz w:val="24"/>
        </w:rPr>
      </w:pPr>
      <w:bookmarkStart w:id="117" w:name="_Toc25522"/>
      <w:bookmarkStart w:id="118" w:name="_Toc14883"/>
      <w:bookmarkStart w:id="119" w:name="_Toc75"/>
      <w:bookmarkStart w:id="120" w:name="_Toc28028"/>
      <w:bookmarkStart w:id="121" w:name="_Toc480466699"/>
      <w:bookmarkStart w:id="122" w:name="_Toc16001"/>
      <w:bookmarkStart w:id="123" w:name="_Toc9764"/>
      <w:bookmarkStart w:id="124" w:name="_Toc76462322"/>
      <w:bookmarkStart w:id="125" w:name="_Toc12688"/>
      <w:bookmarkStart w:id="126" w:name="_Toc30786"/>
      <w:bookmarkStart w:id="127" w:name="_Toc6873"/>
      <w:bookmarkStart w:id="128" w:name="_Toc28197"/>
      <w:bookmarkStart w:id="129" w:name="_Toc211850945"/>
      <w:bookmarkStart w:id="130" w:name="_Toc24938"/>
      <w:bookmarkStart w:id="131" w:name="_Toc29344"/>
      <w:bookmarkStart w:id="132" w:name="_Toc10765"/>
      <w:bookmarkStart w:id="133" w:name="_Toc18128"/>
      <w:bookmarkStart w:id="134" w:name="_Toc4481"/>
      <w:bookmarkStart w:id="135" w:name="_Toc10761"/>
      <w:r>
        <w:rPr>
          <w:rFonts w:hint="eastAsia" w:ascii="宋体" w:hAnsi="宋体" w:eastAsia="宋体" w:cs="宋体"/>
          <w:sz w:val="24"/>
        </w:rPr>
        <w:t>六、其它有关规定</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14:paraId="2F1FD80D">
      <w:pPr>
        <w:snapToGrid w:val="0"/>
        <w:spacing w:line="400" w:lineRule="exact"/>
        <w:ind w:firstLine="360" w:firstLineChars="150"/>
        <w:rPr>
          <w:rFonts w:ascii="宋体" w:hAnsi="宋体" w:cs="宋体"/>
          <w:sz w:val="24"/>
          <w:szCs w:val="24"/>
        </w:rPr>
      </w:pPr>
      <w:r>
        <w:rPr>
          <w:rFonts w:hint="eastAsia" w:ascii="宋体" w:hAnsi="宋体" w:cs="宋体"/>
          <w:sz w:val="24"/>
          <w:szCs w:val="24"/>
        </w:rPr>
        <w:t>（一）单位负责人为同一人或者存在直接控股、管理关系的不同供应商，不得参加同一合同项（包）下的政府采购活动，否则均为无效响应。</w:t>
      </w:r>
    </w:p>
    <w:p w14:paraId="507A2EB4">
      <w:pPr>
        <w:snapToGrid w:val="0"/>
        <w:spacing w:line="400" w:lineRule="exact"/>
        <w:ind w:firstLine="360" w:firstLineChars="150"/>
        <w:rPr>
          <w:rFonts w:ascii="宋体" w:hAnsi="宋体" w:cs="宋体"/>
          <w:sz w:val="24"/>
          <w:szCs w:val="24"/>
        </w:rPr>
      </w:pPr>
      <w:r>
        <w:rPr>
          <w:rFonts w:hint="eastAsia" w:ascii="宋体" w:hAnsi="宋体" w:cs="宋体"/>
          <w:sz w:val="24"/>
          <w:szCs w:val="24"/>
        </w:rPr>
        <w:t>（二）为采购项目提供整体设计、规范编制或者项目管理、监理、检测等服务的供应商，不得再参加该采购项目的其他采购活动。</w:t>
      </w:r>
    </w:p>
    <w:p w14:paraId="011A1C92">
      <w:pPr>
        <w:snapToGrid w:val="0"/>
        <w:spacing w:line="400" w:lineRule="exact"/>
        <w:ind w:firstLine="360" w:firstLineChars="150"/>
        <w:rPr>
          <w:rFonts w:ascii="宋体" w:hAnsi="宋体" w:cs="宋体"/>
          <w:sz w:val="24"/>
          <w:szCs w:val="24"/>
        </w:rPr>
      </w:pPr>
      <w:r>
        <w:rPr>
          <w:rFonts w:hint="eastAsia" w:ascii="宋体" w:hAnsi="宋体" w:cs="宋体"/>
          <w:sz w:val="24"/>
          <w:szCs w:val="24"/>
        </w:rPr>
        <w:t>（三）本项目的澄清文件（如果有）一律在中国政府采购网上发布，请各供应商注意下载或到重庆市政府采购中心领取；无论供应商下载或领取与否，均视同供应商已知晓本项目澄清文件（如果有）的内容。</w:t>
      </w:r>
    </w:p>
    <w:p w14:paraId="72CF7D76">
      <w:pPr>
        <w:snapToGrid w:val="0"/>
        <w:spacing w:line="400" w:lineRule="exact"/>
        <w:ind w:firstLine="360" w:firstLineChars="150"/>
        <w:rPr>
          <w:rFonts w:ascii="宋体" w:hAnsi="宋体" w:cs="宋体"/>
          <w:sz w:val="24"/>
          <w:szCs w:val="24"/>
        </w:rPr>
      </w:pPr>
      <w:r>
        <w:rPr>
          <w:rFonts w:hint="eastAsia" w:ascii="宋体" w:hAnsi="宋体" w:cs="宋体"/>
          <w:sz w:val="24"/>
          <w:szCs w:val="24"/>
        </w:rPr>
        <w:t>（四）超过响应文件截止时间递交的响应文件，恕不接收。</w:t>
      </w:r>
    </w:p>
    <w:p w14:paraId="111109E2">
      <w:pPr>
        <w:snapToGrid w:val="0"/>
        <w:spacing w:line="400" w:lineRule="exact"/>
        <w:ind w:firstLine="360" w:firstLineChars="150"/>
        <w:rPr>
          <w:rFonts w:ascii="宋体" w:hAnsi="宋体" w:cs="宋体"/>
          <w:sz w:val="24"/>
          <w:szCs w:val="24"/>
        </w:rPr>
      </w:pPr>
      <w:r>
        <w:rPr>
          <w:rFonts w:hint="eastAsia" w:ascii="宋体" w:hAnsi="宋体" w:cs="宋体"/>
          <w:sz w:val="24"/>
          <w:szCs w:val="24"/>
        </w:rPr>
        <w:t>（五）磋商费用：无论磋商结果如何，供应商参与本项目磋商的所有费用均应由供应商自行承担。</w:t>
      </w:r>
    </w:p>
    <w:p w14:paraId="1EB27EF4">
      <w:pPr>
        <w:snapToGrid w:val="0"/>
        <w:spacing w:line="400" w:lineRule="exact"/>
        <w:ind w:firstLine="361" w:firstLineChars="150"/>
        <w:rPr>
          <w:rFonts w:ascii="宋体" w:hAnsi="宋体" w:cs="宋体"/>
          <w:b/>
          <w:bCs/>
          <w:sz w:val="24"/>
          <w:szCs w:val="24"/>
        </w:rPr>
      </w:pPr>
      <w:r>
        <w:rPr>
          <w:rFonts w:hint="eastAsia" w:ascii="宋体" w:hAnsi="宋体" w:cs="宋体"/>
          <w:b/>
          <w:bCs/>
          <w:sz w:val="24"/>
          <w:szCs w:val="24"/>
        </w:rPr>
        <w:t>（六）本项目不接受联合体参与磋商，否则按无效处理。</w:t>
      </w:r>
    </w:p>
    <w:p w14:paraId="5F9BFC7D">
      <w:pPr>
        <w:snapToGrid w:val="0"/>
        <w:spacing w:line="400" w:lineRule="exact"/>
        <w:ind w:firstLine="361" w:firstLineChars="150"/>
        <w:rPr>
          <w:rFonts w:ascii="宋体" w:hAnsi="宋体" w:cs="宋体"/>
          <w:sz w:val="24"/>
          <w:szCs w:val="24"/>
        </w:rPr>
      </w:pPr>
      <w:r>
        <w:rPr>
          <w:rFonts w:hint="eastAsia" w:ascii="宋体" w:hAnsi="宋体" w:cs="宋体"/>
          <w:b/>
          <w:bCs/>
          <w:sz w:val="24"/>
          <w:szCs w:val="24"/>
        </w:rPr>
        <w:t>（七）本项目不接受合同分包，否则按无效处理。</w:t>
      </w:r>
    </w:p>
    <w:p w14:paraId="1BF73CD6">
      <w:pPr>
        <w:snapToGrid w:val="0"/>
        <w:spacing w:line="400" w:lineRule="exact"/>
        <w:ind w:firstLine="360" w:firstLineChars="150"/>
        <w:rPr>
          <w:rFonts w:ascii="宋体" w:hAnsi="宋体" w:cs="宋体"/>
          <w:sz w:val="24"/>
          <w:szCs w:val="24"/>
        </w:rPr>
      </w:pPr>
      <w:r>
        <w:rPr>
          <w:rFonts w:hint="eastAsia" w:ascii="宋体" w:hAnsi="宋体" w:cs="宋体"/>
          <w:sz w:val="24"/>
          <w:szCs w:val="24"/>
        </w:rPr>
        <w:t>（八）</w:t>
      </w:r>
      <w:bookmarkStart w:id="136" w:name="_Toc480466700"/>
      <w:r>
        <w:rPr>
          <w:rFonts w:hint="eastAsia" w:ascii="宋体" w:hAnsi="宋体" w:cs="宋体"/>
          <w:sz w:val="24"/>
          <w:szCs w:val="24"/>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2C52B000">
      <w:pPr>
        <w:pStyle w:val="3"/>
        <w:adjustRightInd w:val="0"/>
        <w:snapToGrid w:val="0"/>
        <w:spacing w:line="240" w:lineRule="auto"/>
        <w:jc w:val="left"/>
        <w:rPr>
          <w:rFonts w:ascii="宋体" w:hAnsi="宋体" w:eastAsia="宋体" w:cs="宋体"/>
          <w:sz w:val="24"/>
        </w:rPr>
      </w:pPr>
      <w:bookmarkStart w:id="137" w:name="_Toc11680"/>
      <w:bookmarkStart w:id="138" w:name="_Toc3773"/>
      <w:bookmarkStart w:id="139" w:name="_Toc13570"/>
      <w:bookmarkStart w:id="140" w:name="_Toc76462323"/>
      <w:bookmarkStart w:id="141" w:name="_Toc24570"/>
      <w:bookmarkStart w:id="142" w:name="_Toc21079"/>
      <w:bookmarkStart w:id="143" w:name="_Toc4145"/>
      <w:bookmarkStart w:id="144" w:name="_Toc4784"/>
      <w:bookmarkStart w:id="145" w:name="_Toc211850946"/>
      <w:bookmarkStart w:id="146" w:name="_Toc17356"/>
      <w:bookmarkStart w:id="147" w:name="_Toc31163"/>
      <w:bookmarkStart w:id="148" w:name="_Toc27678"/>
      <w:bookmarkStart w:id="149" w:name="_Toc9385"/>
      <w:bookmarkStart w:id="150" w:name="_Toc11457"/>
      <w:bookmarkStart w:id="151" w:name="_Toc11014"/>
      <w:bookmarkStart w:id="152" w:name="_Toc1156"/>
      <w:bookmarkStart w:id="153" w:name="_Toc17207"/>
      <w:bookmarkStart w:id="154" w:name="_Toc19395"/>
      <w:r>
        <w:rPr>
          <w:rFonts w:hint="eastAsia" w:ascii="宋体" w:hAnsi="宋体" w:eastAsia="宋体" w:cs="宋体"/>
          <w:sz w:val="24"/>
        </w:rPr>
        <w:t>七、联系方式</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6D40E1C3">
      <w:pPr>
        <w:snapToGrid w:val="0"/>
        <w:spacing w:line="400" w:lineRule="exact"/>
        <w:ind w:firstLine="480" w:firstLineChars="200"/>
        <w:rPr>
          <w:rFonts w:hint="eastAsia" w:ascii="宋体" w:hAnsi="宋体" w:eastAsia="宋体" w:cs="宋体"/>
          <w:sz w:val="24"/>
          <w:szCs w:val="24"/>
          <w:lang w:eastAsia="zh-CN"/>
        </w:rPr>
      </w:pPr>
      <w:r>
        <w:rPr>
          <w:rFonts w:hint="eastAsia" w:ascii="宋体" w:hAnsi="宋体" w:cs="宋体"/>
          <w:sz w:val="24"/>
          <w:szCs w:val="24"/>
        </w:rPr>
        <w:t>（一）采购人：</w:t>
      </w:r>
      <w:r>
        <w:rPr>
          <w:rFonts w:hint="eastAsia" w:ascii="宋体" w:hAnsi="宋体" w:cs="宋体"/>
          <w:sz w:val="24"/>
          <w:szCs w:val="24"/>
          <w:lang w:eastAsia="zh-CN"/>
        </w:rPr>
        <w:t>重庆市璧山区消防救援支队</w:t>
      </w:r>
    </w:p>
    <w:p w14:paraId="2AA6F3FE">
      <w:pPr>
        <w:snapToGrid w:val="0"/>
        <w:spacing w:line="400" w:lineRule="exact"/>
        <w:ind w:firstLine="480" w:firstLineChars="200"/>
        <w:rPr>
          <w:rFonts w:ascii="宋体" w:hAnsi="宋体" w:cs="宋体"/>
          <w:sz w:val="24"/>
          <w:szCs w:val="24"/>
        </w:rPr>
      </w:pPr>
      <w:r>
        <w:rPr>
          <w:rFonts w:hint="eastAsia" w:ascii="宋体" w:hAnsi="宋体" w:cs="宋体"/>
          <w:sz w:val="24"/>
          <w:szCs w:val="24"/>
        </w:rPr>
        <w:t>联系人：</w:t>
      </w:r>
      <w:r>
        <w:rPr>
          <w:rFonts w:hint="eastAsia" w:ascii="宋体" w:hAnsi="宋体" w:cs="宋体"/>
          <w:color w:val="000000"/>
          <w:sz w:val="24"/>
          <w:szCs w:val="24"/>
        </w:rPr>
        <w:t>李老师</w:t>
      </w:r>
    </w:p>
    <w:p w14:paraId="6FF34032">
      <w:pPr>
        <w:snapToGrid w:val="0"/>
        <w:spacing w:line="400" w:lineRule="exact"/>
        <w:ind w:firstLine="480" w:firstLineChars="200"/>
        <w:rPr>
          <w:rFonts w:ascii="宋体" w:hAnsi="宋体" w:cs="宋体"/>
          <w:sz w:val="24"/>
          <w:szCs w:val="24"/>
        </w:rPr>
      </w:pPr>
      <w:r>
        <w:rPr>
          <w:rFonts w:hint="eastAsia" w:ascii="宋体" w:hAnsi="宋体" w:cs="宋体"/>
          <w:sz w:val="24"/>
          <w:szCs w:val="24"/>
        </w:rPr>
        <w:t>电  话：</w:t>
      </w:r>
      <w:r>
        <w:rPr>
          <w:rFonts w:hint="eastAsia" w:ascii="宋体" w:hAnsi="宋体" w:cs="宋体"/>
          <w:color w:val="000000"/>
          <w:sz w:val="24"/>
          <w:szCs w:val="24"/>
        </w:rPr>
        <w:t>023-41440057</w:t>
      </w:r>
    </w:p>
    <w:p w14:paraId="4F2713AC">
      <w:pPr>
        <w:snapToGrid w:val="0"/>
        <w:spacing w:line="400" w:lineRule="exact"/>
        <w:ind w:firstLine="480" w:firstLineChars="200"/>
        <w:rPr>
          <w:rFonts w:ascii="宋体" w:hAnsi="宋体" w:cs="宋体"/>
          <w:sz w:val="24"/>
          <w:szCs w:val="24"/>
        </w:rPr>
      </w:pPr>
      <w:r>
        <w:rPr>
          <w:rFonts w:hint="eastAsia" w:ascii="宋体" w:hAnsi="宋体" w:cs="宋体"/>
          <w:sz w:val="24"/>
          <w:szCs w:val="24"/>
        </w:rPr>
        <w:t>地  址：重庆市璧山区黛山大道119号</w:t>
      </w:r>
    </w:p>
    <w:p w14:paraId="4F45D3E9">
      <w:pPr>
        <w:snapToGrid w:val="0"/>
        <w:spacing w:line="400" w:lineRule="exact"/>
        <w:ind w:firstLine="480" w:firstLineChars="200"/>
        <w:rPr>
          <w:rFonts w:ascii="宋体" w:hAnsi="宋体" w:cs="宋体"/>
          <w:sz w:val="24"/>
          <w:szCs w:val="24"/>
        </w:rPr>
      </w:pPr>
      <w:r>
        <w:rPr>
          <w:rFonts w:hint="eastAsia" w:ascii="宋体" w:hAnsi="宋体" w:cs="宋体"/>
          <w:sz w:val="24"/>
          <w:szCs w:val="24"/>
        </w:rPr>
        <w:t>（二）采购代理机构：重庆市政府采购中心</w:t>
      </w:r>
    </w:p>
    <w:p w14:paraId="52F3666D">
      <w:pPr>
        <w:snapToGrid w:val="0"/>
        <w:spacing w:line="400" w:lineRule="exact"/>
        <w:ind w:firstLine="480" w:firstLineChars="200"/>
        <w:rPr>
          <w:rFonts w:ascii="宋体" w:hAnsi="宋体" w:cs="宋体"/>
          <w:sz w:val="24"/>
          <w:szCs w:val="24"/>
        </w:rPr>
      </w:pPr>
      <w:bookmarkStart w:id="155" w:name="_Toc211850947"/>
      <w:bookmarkStart w:id="156" w:name="_Toc66712605"/>
      <w:bookmarkStart w:id="157" w:name="_Toc97881372"/>
      <w:bookmarkStart w:id="158" w:name="_Toc77955453"/>
      <w:r>
        <w:rPr>
          <w:rFonts w:hint="eastAsia" w:ascii="宋体" w:hAnsi="宋体" w:cs="宋体"/>
          <w:sz w:val="24"/>
          <w:szCs w:val="24"/>
        </w:rPr>
        <w:t xml:space="preserve">联系人：袁建文 钟若仪 </w:t>
      </w:r>
    </w:p>
    <w:p w14:paraId="07765148">
      <w:pPr>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电  话：023-67703281 67120648 </w:t>
      </w:r>
    </w:p>
    <w:p w14:paraId="7E545C06">
      <w:pPr>
        <w:pStyle w:val="3"/>
        <w:adjustRightInd w:val="0"/>
        <w:snapToGrid w:val="0"/>
        <w:spacing w:line="240" w:lineRule="auto"/>
        <w:jc w:val="left"/>
        <w:rPr>
          <w:rFonts w:ascii="宋体" w:hAnsi="宋体" w:eastAsia="宋体" w:cs="宋体"/>
          <w:sz w:val="24"/>
          <w:szCs w:val="24"/>
        </w:rPr>
      </w:pPr>
      <w:r>
        <w:rPr>
          <w:rFonts w:hint="eastAsia" w:ascii="宋体" w:hAnsi="宋体" w:eastAsia="宋体" w:cs="宋体"/>
          <w:sz w:val="24"/>
          <w:szCs w:val="24"/>
        </w:rPr>
        <w:t>地  址：重庆市两江新区五简路2号重庆咨询大厦B座502室</w:t>
      </w:r>
    </w:p>
    <w:p w14:paraId="01875A14">
      <w:pPr>
        <w:pStyle w:val="3"/>
        <w:adjustRightInd w:val="0"/>
        <w:snapToGrid w:val="0"/>
        <w:spacing w:line="240" w:lineRule="auto"/>
        <w:jc w:val="left"/>
        <w:rPr>
          <w:rFonts w:ascii="宋体" w:hAnsi="宋体" w:eastAsia="宋体" w:cs="宋体"/>
          <w:sz w:val="24"/>
        </w:rPr>
      </w:pPr>
      <w:r>
        <w:rPr>
          <w:rFonts w:hint="eastAsia" w:ascii="宋体" w:hAnsi="宋体" w:eastAsia="宋体" w:cs="宋体"/>
          <w:sz w:val="24"/>
        </w:rPr>
        <w:t>八、现场踏勘</w:t>
      </w:r>
      <w:bookmarkEnd w:id="155"/>
      <w:bookmarkEnd w:id="156"/>
      <w:bookmarkEnd w:id="157"/>
      <w:bookmarkEnd w:id="158"/>
    </w:p>
    <w:p w14:paraId="6B8A7F52">
      <w:pPr>
        <w:snapToGrid w:val="0"/>
        <w:spacing w:line="400" w:lineRule="exact"/>
        <w:ind w:firstLine="480" w:firstLineChars="200"/>
        <w:rPr>
          <w:rFonts w:ascii="宋体" w:hAnsi="宋体" w:cs="宋体"/>
          <w:sz w:val="24"/>
          <w:szCs w:val="24"/>
        </w:rPr>
      </w:pPr>
      <w:r>
        <w:rPr>
          <w:rFonts w:hint="eastAsia" w:ascii="宋体" w:hAnsi="宋体" w:cs="宋体"/>
          <w:sz w:val="24"/>
          <w:szCs w:val="24"/>
        </w:rPr>
        <w:t>（一）为保证项目工期、施工质量，潜在供应商可提前踏勘了解施工现场、施工范围、施工条件等项目实施环境，建议潜在供应商进行现场踏勘。</w:t>
      </w:r>
    </w:p>
    <w:p w14:paraId="32107B2C">
      <w:pPr>
        <w:snapToGrid w:val="0"/>
        <w:spacing w:line="400" w:lineRule="exact"/>
        <w:ind w:firstLine="480" w:firstLineChars="200"/>
        <w:rPr>
          <w:rFonts w:ascii="宋体" w:hAnsi="宋体" w:cs="宋体"/>
          <w:sz w:val="24"/>
          <w:szCs w:val="24"/>
        </w:rPr>
      </w:pPr>
      <w:r>
        <w:rPr>
          <w:rFonts w:hint="eastAsia" w:ascii="宋体" w:hAnsi="宋体" w:cs="宋体"/>
          <w:sz w:val="24"/>
          <w:szCs w:val="24"/>
        </w:rPr>
        <w:t>（二）本项目不组织集体现场踏勘，各潜在供应商可自行对现场进行踏勘。参加踏勘的每家供应商不超过2人，踏勘费用自理，须携带本人身份证,并自觉遵守采购人项目地的秩序、安全、保密管理等相关规定。供应商自行负责在踏勘现场中所发生的人员伤亡和财产损失。采购人在踏勘现场中介绍的相关情况，仅供供应商参考，不对供应商据此做出的判断和决策负责。无论供应商是否踏勘过现场，均视为在磋商开始时间之前踏勘过现场且对本项目潜在的风险和义务已完全了解，并在其响应文件中已充分考虑了本项目可能面临的不确定因素可能导致的风险。成交供应商不得以不完全了解施工现场情况为借口而提出延长工期或额外赔偿等要求。</w:t>
      </w:r>
    </w:p>
    <w:p w14:paraId="5328622D">
      <w:pPr>
        <w:snapToGrid w:val="0"/>
        <w:spacing w:line="400" w:lineRule="exact"/>
        <w:ind w:firstLine="480" w:firstLineChars="200"/>
        <w:rPr>
          <w:rFonts w:ascii="宋体" w:hAnsi="宋体" w:cs="宋体"/>
          <w:sz w:val="24"/>
          <w:szCs w:val="24"/>
        </w:rPr>
      </w:pPr>
      <w:r>
        <w:rPr>
          <w:rFonts w:hint="eastAsia" w:ascii="宋体" w:hAnsi="宋体" w:cs="宋体"/>
          <w:sz w:val="24"/>
          <w:szCs w:val="24"/>
        </w:rPr>
        <w:t>（三）踏勘时间为：采购公告发出之日起至响应文件</w:t>
      </w:r>
      <w:r>
        <w:rPr>
          <w:rFonts w:hint="eastAsia" w:ascii="宋体" w:hAnsi="宋体" w:cs="宋体"/>
          <w:sz w:val="24"/>
          <w:szCs w:val="24"/>
          <w:lang w:eastAsia="zh-CN"/>
        </w:rPr>
        <w:t>递交</w:t>
      </w:r>
      <w:r>
        <w:rPr>
          <w:rFonts w:hint="eastAsia" w:ascii="宋体" w:hAnsi="宋体" w:cs="宋体"/>
          <w:sz w:val="24"/>
          <w:szCs w:val="24"/>
        </w:rPr>
        <w:t>截止时间前（工作日）</w:t>
      </w:r>
    </w:p>
    <w:p w14:paraId="7B8D2372">
      <w:pPr>
        <w:snapToGrid w:val="0"/>
        <w:spacing w:line="400" w:lineRule="exact"/>
        <w:ind w:firstLine="480" w:firstLineChars="200"/>
        <w:rPr>
          <w:rFonts w:ascii="宋体" w:hAnsi="宋体" w:cs="宋体"/>
          <w:sz w:val="24"/>
          <w:szCs w:val="24"/>
        </w:rPr>
      </w:pPr>
      <w:r>
        <w:rPr>
          <w:rFonts w:hint="eastAsia" w:ascii="宋体" w:hAnsi="宋体" w:cs="宋体"/>
          <w:sz w:val="24"/>
          <w:szCs w:val="24"/>
        </w:rPr>
        <w:t>工作时间：上午9：00-11：00 下午14：30-17：00</w:t>
      </w:r>
    </w:p>
    <w:p w14:paraId="18CADC36">
      <w:pPr>
        <w:snapToGrid w:val="0"/>
        <w:spacing w:line="400" w:lineRule="exact"/>
        <w:ind w:firstLine="480" w:firstLineChars="200"/>
        <w:rPr>
          <w:rFonts w:ascii="宋体" w:hAnsi="宋体" w:cs="宋体"/>
          <w:sz w:val="24"/>
          <w:szCs w:val="24"/>
        </w:rPr>
      </w:pPr>
      <w:r>
        <w:rPr>
          <w:rFonts w:hint="eastAsia" w:ascii="宋体" w:hAnsi="宋体" w:cs="宋体"/>
          <w:sz w:val="24"/>
          <w:szCs w:val="24"/>
        </w:rPr>
        <w:t>（四）踏勘地点：重庆市璧山区黛山大道119号</w:t>
      </w:r>
    </w:p>
    <w:p w14:paraId="65529300">
      <w:pPr>
        <w:snapToGrid w:val="0"/>
        <w:spacing w:line="400" w:lineRule="exact"/>
        <w:ind w:firstLine="480" w:firstLineChars="200"/>
        <w:rPr>
          <w:rFonts w:ascii="宋体" w:hAnsi="宋体" w:cs="宋体"/>
          <w:sz w:val="24"/>
          <w:szCs w:val="24"/>
        </w:rPr>
      </w:pPr>
      <w:r>
        <w:rPr>
          <w:rFonts w:hint="eastAsia" w:ascii="宋体" w:hAnsi="宋体" w:cs="宋体"/>
          <w:sz w:val="24"/>
          <w:szCs w:val="24"/>
        </w:rPr>
        <w:t>（五）踏勘联系人：</w:t>
      </w:r>
      <w:r>
        <w:rPr>
          <w:rFonts w:hint="eastAsia" w:ascii="宋体" w:hAnsi="宋体" w:cs="宋体"/>
          <w:color w:val="000000"/>
          <w:sz w:val="24"/>
          <w:szCs w:val="24"/>
        </w:rPr>
        <w:t>李老师</w:t>
      </w:r>
      <w:r>
        <w:rPr>
          <w:rFonts w:hint="eastAsia" w:ascii="宋体" w:hAnsi="宋体" w:cs="宋体"/>
          <w:sz w:val="24"/>
          <w:szCs w:val="24"/>
        </w:rPr>
        <w:t xml:space="preserve">  联系方式：</w:t>
      </w:r>
      <w:r>
        <w:rPr>
          <w:rFonts w:hint="eastAsia" w:ascii="宋体" w:hAnsi="宋体" w:cs="宋体"/>
          <w:color w:val="000000"/>
          <w:sz w:val="24"/>
          <w:szCs w:val="24"/>
        </w:rPr>
        <w:t>023-41440057</w:t>
      </w:r>
    </w:p>
    <w:p w14:paraId="1D0A4678">
      <w:pPr>
        <w:snapToGrid w:val="0"/>
        <w:spacing w:line="400" w:lineRule="exact"/>
        <w:ind w:firstLine="482" w:firstLineChars="200"/>
        <w:rPr>
          <w:rFonts w:ascii="宋体" w:hAnsi="宋体" w:cs="宋体"/>
          <w:b/>
          <w:sz w:val="24"/>
          <w:szCs w:val="24"/>
        </w:rPr>
        <w:sectPr>
          <w:pgSz w:w="11907" w:h="16840"/>
          <w:pgMar w:top="1134" w:right="1418" w:bottom="1134" w:left="1418" w:header="964" w:footer="992" w:gutter="0"/>
          <w:pgNumType w:fmt="numberInDash"/>
          <w:cols w:space="720" w:num="1"/>
          <w:docGrid w:linePitch="312" w:charSpace="0"/>
        </w:sectPr>
      </w:pPr>
    </w:p>
    <w:p w14:paraId="1DF4D112">
      <w:pPr>
        <w:pStyle w:val="2"/>
        <w:tabs>
          <w:tab w:val="left" w:pos="3360"/>
        </w:tabs>
        <w:rPr>
          <w:rFonts w:cs="宋体"/>
          <w:bCs/>
          <w:szCs w:val="36"/>
        </w:rPr>
      </w:pPr>
      <w:bookmarkStart w:id="159" w:name="_Toc27254"/>
      <w:bookmarkStart w:id="160" w:name="_Toc13833"/>
      <w:bookmarkStart w:id="161" w:name="_Toc30428"/>
      <w:bookmarkStart w:id="162" w:name="_Toc211850948"/>
      <w:bookmarkStart w:id="163" w:name="_Toc32229"/>
      <w:bookmarkStart w:id="164" w:name="_Toc10794"/>
      <w:bookmarkStart w:id="165" w:name="_Toc2929"/>
      <w:bookmarkStart w:id="166" w:name="_Toc9509"/>
      <w:bookmarkStart w:id="167" w:name="_Toc19283"/>
      <w:bookmarkStart w:id="168" w:name="_Toc76462324"/>
      <w:bookmarkStart w:id="169" w:name="_Toc14364"/>
      <w:bookmarkStart w:id="170" w:name="_Toc5060"/>
      <w:bookmarkStart w:id="171" w:name="_Toc11868"/>
      <w:bookmarkStart w:id="172" w:name="_Toc20272"/>
      <w:bookmarkStart w:id="173" w:name="_Toc27402"/>
      <w:bookmarkStart w:id="174" w:name="_Toc3034"/>
      <w:bookmarkStart w:id="175" w:name="_Toc4179"/>
      <w:bookmarkStart w:id="176" w:name="_Toc25352"/>
      <w:r>
        <w:rPr>
          <w:rFonts w:hint="eastAsia" w:cs="宋体"/>
          <w:bCs/>
          <w:szCs w:val="36"/>
        </w:rPr>
        <w:t>第二篇  项目服务需求</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57A66244">
      <w:pPr>
        <w:keepNext/>
        <w:tabs>
          <w:tab w:val="left" w:pos="3360"/>
        </w:tabs>
        <w:snapToGrid w:val="0"/>
        <w:spacing w:line="360" w:lineRule="atLeast"/>
        <w:jc w:val="left"/>
        <w:outlineLvl w:val="0"/>
        <w:rPr>
          <w:rFonts w:ascii="宋体" w:hAnsi="宋体" w:cs="宋体"/>
          <w:b/>
          <w:sz w:val="24"/>
        </w:rPr>
      </w:pPr>
      <w:bookmarkStart w:id="177" w:name="_Toc12789058"/>
      <w:r>
        <w:rPr>
          <w:rFonts w:hint="eastAsia" w:ascii="宋体" w:hAnsi="宋体" w:cs="宋体"/>
          <w:b/>
          <w:sz w:val="24"/>
        </w:rPr>
        <w:t>一、项目基本概况介绍</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00"/>
        <w:gridCol w:w="2016"/>
        <w:gridCol w:w="2512"/>
      </w:tblGrid>
      <w:tr w14:paraId="5745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5100" w:type="dxa"/>
            <w:noWrap/>
            <w:vAlign w:val="center"/>
          </w:tcPr>
          <w:p w14:paraId="4FFBD01E">
            <w:pPr>
              <w:jc w:val="center"/>
              <w:rPr>
                <w:rFonts w:ascii="宋体" w:hAnsi="宋体" w:cs="宋体"/>
                <w:b/>
                <w:bCs/>
                <w:sz w:val="21"/>
                <w:szCs w:val="21"/>
              </w:rPr>
            </w:pPr>
            <w:r>
              <w:rPr>
                <w:rFonts w:hint="eastAsia" w:ascii="宋体" w:hAnsi="宋体" w:cs="宋体"/>
                <w:b/>
                <w:bCs/>
                <w:sz w:val="21"/>
                <w:szCs w:val="21"/>
              </w:rPr>
              <w:t>项目名称（标的名称）</w:t>
            </w:r>
          </w:p>
        </w:tc>
        <w:tc>
          <w:tcPr>
            <w:tcW w:w="2016" w:type="dxa"/>
            <w:noWrap/>
            <w:vAlign w:val="center"/>
          </w:tcPr>
          <w:p w14:paraId="5ED21F7C">
            <w:pPr>
              <w:jc w:val="center"/>
              <w:rPr>
                <w:rFonts w:ascii="宋体" w:hAnsi="宋体" w:cs="宋体"/>
                <w:b/>
                <w:bCs/>
                <w:sz w:val="21"/>
                <w:szCs w:val="21"/>
              </w:rPr>
            </w:pPr>
            <w:r>
              <w:rPr>
                <w:rFonts w:hint="eastAsia" w:ascii="宋体" w:hAnsi="宋体" w:cs="宋体"/>
                <w:b/>
                <w:bCs/>
                <w:sz w:val="21"/>
                <w:szCs w:val="21"/>
              </w:rPr>
              <w:t>数量/单位</w:t>
            </w:r>
          </w:p>
        </w:tc>
        <w:tc>
          <w:tcPr>
            <w:tcW w:w="2512" w:type="dxa"/>
            <w:noWrap/>
            <w:vAlign w:val="center"/>
          </w:tcPr>
          <w:p w14:paraId="760A8013">
            <w:pPr>
              <w:jc w:val="center"/>
              <w:rPr>
                <w:rFonts w:ascii="宋体" w:hAnsi="宋体" w:cs="宋体"/>
                <w:b/>
                <w:bCs/>
                <w:sz w:val="21"/>
                <w:szCs w:val="21"/>
              </w:rPr>
            </w:pPr>
            <w:r>
              <w:rPr>
                <w:rFonts w:hint="eastAsia" w:ascii="宋体" w:hAnsi="宋体" w:cs="宋体"/>
                <w:b/>
                <w:bCs/>
                <w:sz w:val="21"/>
                <w:szCs w:val="21"/>
              </w:rPr>
              <w:t>备注</w:t>
            </w:r>
          </w:p>
        </w:tc>
      </w:tr>
      <w:tr w14:paraId="5DCC0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100" w:type="dxa"/>
            <w:noWrap/>
            <w:vAlign w:val="center"/>
          </w:tcPr>
          <w:p w14:paraId="50323C38">
            <w:pPr>
              <w:jc w:val="center"/>
              <w:rPr>
                <w:rFonts w:ascii="宋体" w:hAnsi="宋体" w:cs="宋体"/>
                <w:sz w:val="21"/>
                <w:szCs w:val="21"/>
              </w:rPr>
            </w:pPr>
            <w:r>
              <w:rPr>
                <w:rFonts w:hint="eastAsia" w:ascii="宋体" w:hAnsi="宋体" w:cs="宋体"/>
                <w:sz w:val="21"/>
                <w:szCs w:val="21"/>
                <w:lang w:eastAsia="zh-CN"/>
              </w:rPr>
              <w:t>重庆市璧山区消防救援支队</w:t>
            </w:r>
            <w:r>
              <w:rPr>
                <w:rFonts w:hint="eastAsia" w:ascii="宋体" w:hAnsi="宋体" w:cs="宋体"/>
                <w:sz w:val="21"/>
                <w:szCs w:val="21"/>
              </w:rPr>
              <w:t>（队史馆）项目</w:t>
            </w:r>
          </w:p>
        </w:tc>
        <w:tc>
          <w:tcPr>
            <w:tcW w:w="2016" w:type="dxa"/>
            <w:noWrap/>
            <w:vAlign w:val="center"/>
          </w:tcPr>
          <w:p w14:paraId="5902D3D1">
            <w:pPr>
              <w:jc w:val="center"/>
              <w:rPr>
                <w:rFonts w:ascii="宋体" w:hAnsi="宋体" w:cs="宋体"/>
                <w:sz w:val="21"/>
                <w:szCs w:val="21"/>
              </w:rPr>
            </w:pPr>
            <w:r>
              <w:rPr>
                <w:rFonts w:hint="eastAsia" w:ascii="宋体" w:hAnsi="宋体" w:cs="宋体"/>
                <w:sz w:val="21"/>
                <w:szCs w:val="21"/>
              </w:rPr>
              <w:t>1项</w:t>
            </w:r>
          </w:p>
        </w:tc>
        <w:tc>
          <w:tcPr>
            <w:tcW w:w="2512" w:type="dxa"/>
            <w:noWrap/>
          </w:tcPr>
          <w:p w14:paraId="3964E8E6">
            <w:pPr>
              <w:rPr>
                <w:rFonts w:ascii="宋体" w:hAnsi="宋体" w:cs="宋体"/>
                <w:sz w:val="21"/>
                <w:szCs w:val="21"/>
              </w:rPr>
            </w:pPr>
          </w:p>
        </w:tc>
      </w:tr>
    </w:tbl>
    <w:p w14:paraId="0BA78A4C">
      <w:pPr>
        <w:keepNext/>
        <w:keepLines/>
        <w:adjustRightInd w:val="0"/>
        <w:snapToGrid w:val="0"/>
        <w:jc w:val="left"/>
        <w:outlineLvl w:val="1"/>
        <w:rPr>
          <w:rFonts w:ascii="宋体" w:hAnsi="宋体"/>
          <w:sz w:val="24"/>
          <w:szCs w:val="24"/>
        </w:rPr>
      </w:pPr>
      <w:bookmarkStart w:id="178" w:name="_Toc107841251"/>
      <w:bookmarkStart w:id="179" w:name="_Toc97881375"/>
      <w:bookmarkStart w:id="180" w:name="_Toc106121641"/>
      <w:bookmarkStart w:id="181" w:name="_Toc3853"/>
      <w:bookmarkStart w:id="182" w:name="_Toc344475116"/>
      <w:bookmarkStart w:id="183" w:name="_Toc313536013"/>
      <w:bookmarkStart w:id="184" w:name="_Toc2158"/>
      <w:bookmarkStart w:id="185" w:name="_Toc21755"/>
      <w:bookmarkStart w:id="186" w:name="_Toc28728"/>
      <w:bookmarkStart w:id="187" w:name="_Toc18042"/>
      <w:bookmarkStart w:id="188" w:name="_Toc19358"/>
      <w:bookmarkStart w:id="189" w:name="_Toc15490"/>
      <w:bookmarkStart w:id="190" w:name="_Toc8899"/>
      <w:bookmarkStart w:id="191" w:name="_Toc76462326"/>
      <w:bookmarkStart w:id="192" w:name="_Toc10113"/>
      <w:bookmarkStart w:id="193" w:name="_Toc10203"/>
      <w:bookmarkStart w:id="194" w:name="_Toc20931"/>
      <w:bookmarkStart w:id="195" w:name="_Toc30135"/>
      <w:bookmarkStart w:id="196" w:name="_Toc12206"/>
      <w:bookmarkStart w:id="197" w:name="_Toc7768"/>
      <w:bookmarkStart w:id="198" w:name="_Toc25937"/>
      <w:bookmarkStart w:id="199" w:name="_Toc17026"/>
      <w:bookmarkStart w:id="200" w:name="_Toc31523"/>
      <w:r>
        <w:rPr>
          <w:rFonts w:hint="eastAsia" w:ascii="宋体" w:hAnsi="宋体"/>
          <w:sz w:val="24"/>
          <w:szCs w:val="24"/>
        </w:rPr>
        <w:t>以上内容可不在</w:t>
      </w:r>
      <w:r>
        <w:rPr>
          <w:rFonts w:hint="eastAsia" w:ascii="宋体" w:hAnsi="宋体" w:cs="宋体"/>
          <w:sz w:val="24"/>
          <w:szCs w:val="24"/>
        </w:rPr>
        <w:t>服务响应偏离表中响应</w:t>
      </w:r>
    </w:p>
    <w:p w14:paraId="5F74BB95">
      <w:pPr>
        <w:spacing w:line="400" w:lineRule="exact"/>
        <w:ind w:firstLine="480" w:firstLineChars="200"/>
        <w:rPr>
          <w:rFonts w:ascii="宋体" w:hAnsi="宋体" w:cs="宋体"/>
          <w:sz w:val="24"/>
          <w:szCs w:val="24"/>
        </w:rPr>
      </w:pPr>
      <w:bookmarkStart w:id="201" w:name="_Toc76462325"/>
      <w:r>
        <w:rPr>
          <w:rFonts w:hint="eastAsia" w:ascii="宋体" w:hAnsi="宋体" w:cs="宋体"/>
          <w:sz w:val="24"/>
          <w:szCs w:val="24"/>
        </w:rPr>
        <w:t>“※”标注的服务需求为符合性审查中的实质性要求，响应文件若不满足按无效响应处理。</w:t>
      </w:r>
    </w:p>
    <w:bookmarkEnd w:id="201"/>
    <w:p w14:paraId="2D15CDC6">
      <w:pPr>
        <w:keepNext/>
        <w:keepLines/>
        <w:adjustRightInd w:val="0"/>
        <w:snapToGrid w:val="0"/>
        <w:jc w:val="left"/>
        <w:outlineLvl w:val="1"/>
        <w:rPr>
          <w:rFonts w:ascii="宋体" w:hAnsi="宋体" w:cs="宋体"/>
          <w:b/>
          <w:sz w:val="24"/>
        </w:rPr>
      </w:pPr>
      <w:r>
        <w:rPr>
          <w:rFonts w:hint="eastAsia" w:ascii="宋体" w:hAnsi="宋体"/>
          <w:sz w:val="24"/>
          <w:szCs w:val="24"/>
        </w:rPr>
        <w:t>※</w:t>
      </w:r>
      <w:r>
        <w:rPr>
          <w:rFonts w:hint="eastAsia" w:ascii="宋体" w:hAnsi="宋体" w:cs="宋体"/>
          <w:b/>
          <w:sz w:val="24"/>
        </w:rPr>
        <w:t>二、</w:t>
      </w:r>
      <w:bookmarkEnd w:id="178"/>
      <w:bookmarkEnd w:id="179"/>
      <w:bookmarkEnd w:id="180"/>
      <w:r>
        <w:rPr>
          <w:rFonts w:hint="eastAsia" w:ascii="宋体" w:hAnsi="宋体" w:cs="宋体"/>
          <w:b/>
          <w:sz w:val="24"/>
        </w:rPr>
        <w:t>施工范围、要求及标准</w:t>
      </w:r>
      <w:bookmarkEnd w:id="181"/>
    </w:p>
    <w:p w14:paraId="76B3ED19">
      <w:pPr>
        <w:spacing w:line="400" w:lineRule="exact"/>
        <w:ind w:firstLine="480" w:firstLineChars="200"/>
        <w:rPr>
          <w:rFonts w:ascii="宋体" w:hAnsi="宋体"/>
          <w:sz w:val="24"/>
          <w:szCs w:val="24"/>
        </w:rPr>
      </w:pPr>
      <w:r>
        <w:rPr>
          <w:rFonts w:hint="eastAsia" w:ascii="宋体" w:hAnsi="宋体"/>
          <w:sz w:val="24"/>
          <w:szCs w:val="24"/>
        </w:rPr>
        <w:t>（一）项目规模</w:t>
      </w:r>
    </w:p>
    <w:p w14:paraId="10CC8AC9">
      <w:pPr>
        <w:spacing w:line="400" w:lineRule="exact"/>
        <w:ind w:firstLine="480" w:firstLineChars="200"/>
        <w:rPr>
          <w:rFonts w:ascii="宋体" w:hAnsi="宋体"/>
          <w:sz w:val="24"/>
          <w:szCs w:val="24"/>
        </w:rPr>
      </w:pPr>
      <w:r>
        <w:rPr>
          <w:rFonts w:hint="eastAsia" w:ascii="宋体" w:hAnsi="宋体"/>
          <w:sz w:val="24"/>
          <w:szCs w:val="24"/>
          <w:lang w:eastAsia="zh-CN"/>
        </w:rPr>
        <w:t>重庆市璧山区消防救援支队</w:t>
      </w:r>
      <w:r>
        <w:rPr>
          <w:rFonts w:hint="eastAsia" w:ascii="宋体" w:hAnsi="宋体"/>
          <w:sz w:val="24"/>
          <w:szCs w:val="24"/>
        </w:rPr>
        <w:t>（队史馆）项目，具体规模详见施工图纸和清单。</w:t>
      </w:r>
    </w:p>
    <w:p w14:paraId="55E3C694">
      <w:pPr>
        <w:spacing w:line="400" w:lineRule="exact"/>
        <w:ind w:firstLine="480" w:firstLineChars="200"/>
        <w:rPr>
          <w:rFonts w:ascii="宋体" w:hAnsi="宋体"/>
          <w:sz w:val="24"/>
          <w:szCs w:val="24"/>
        </w:rPr>
      </w:pPr>
      <w:r>
        <w:rPr>
          <w:rFonts w:hint="eastAsia" w:ascii="宋体" w:hAnsi="宋体"/>
          <w:sz w:val="24"/>
          <w:szCs w:val="24"/>
        </w:rPr>
        <w:t>（二）施工范围</w:t>
      </w:r>
    </w:p>
    <w:p w14:paraId="1C4D708D">
      <w:pPr>
        <w:spacing w:line="400" w:lineRule="exact"/>
        <w:ind w:firstLine="480" w:firstLineChars="200"/>
        <w:outlineLvl w:val="2"/>
        <w:rPr>
          <w:rFonts w:ascii="宋体" w:hAnsi="宋体"/>
          <w:sz w:val="24"/>
          <w:szCs w:val="24"/>
        </w:rPr>
      </w:pPr>
      <w:r>
        <w:rPr>
          <w:rFonts w:hint="eastAsia" w:ascii="宋体" w:hAnsi="宋体"/>
          <w:sz w:val="24"/>
          <w:szCs w:val="24"/>
          <w:lang w:eastAsia="zh-CN"/>
        </w:rPr>
        <w:t>重庆市璧山区消防救援支队</w:t>
      </w:r>
      <w:r>
        <w:rPr>
          <w:rFonts w:hint="eastAsia" w:ascii="宋体" w:hAnsi="宋体"/>
          <w:sz w:val="24"/>
          <w:szCs w:val="24"/>
        </w:rPr>
        <w:t>（队史馆）项目，本项目范围包含</w:t>
      </w:r>
      <w:r>
        <w:rPr>
          <w:rFonts w:hint="eastAsia" w:ascii="宋体" w:hAnsi="宋体" w:cs="宋体"/>
          <w:color w:val="000000"/>
          <w:sz w:val="24"/>
          <w:szCs w:val="24"/>
        </w:rPr>
        <w:t>基础装修工程、艺术场景搭建、展陈设备安装、智能系统布设、专用地面铺装等工程</w:t>
      </w:r>
      <w:r>
        <w:rPr>
          <w:rFonts w:hint="eastAsia" w:ascii="宋体" w:hAnsi="宋体"/>
          <w:sz w:val="24"/>
          <w:szCs w:val="24"/>
        </w:rPr>
        <w:t>内容，具体详见附件。如施工设计图和工程量清单内容出现差异或偏差</w:t>
      </w:r>
      <w:r>
        <w:rPr>
          <w:rFonts w:hint="eastAsia" w:ascii="宋体" w:hAnsi="宋体" w:cs="宋体"/>
          <w:sz w:val="24"/>
        </w:rPr>
        <w:t>，供应商以工程量清单项目特征描述为准进行报价，供应商应就图纸与清单差异向招标人提出书面答疑。</w:t>
      </w:r>
    </w:p>
    <w:p w14:paraId="4748AF77">
      <w:pPr>
        <w:spacing w:line="400" w:lineRule="exact"/>
        <w:ind w:firstLine="480" w:firstLineChars="200"/>
        <w:rPr>
          <w:rFonts w:ascii="宋体" w:hAnsi="宋体"/>
          <w:sz w:val="24"/>
          <w:szCs w:val="24"/>
        </w:rPr>
      </w:pPr>
      <w:r>
        <w:rPr>
          <w:rFonts w:hint="eastAsia" w:ascii="宋体" w:hAnsi="宋体"/>
          <w:sz w:val="24"/>
          <w:szCs w:val="24"/>
        </w:rPr>
        <w:t>（三）技术规范及标准要求</w:t>
      </w:r>
    </w:p>
    <w:p w14:paraId="762AB19D">
      <w:pPr>
        <w:spacing w:line="400" w:lineRule="exact"/>
        <w:ind w:firstLine="480" w:firstLineChars="200"/>
        <w:rPr>
          <w:rFonts w:ascii="宋体" w:hAnsi="宋体"/>
          <w:sz w:val="24"/>
          <w:szCs w:val="24"/>
        </w:rPr>
      </w:pPr>
      <w:r>
        <w:rPr>
          <w:rFonts w:hint="eastAsia" w:ascii="宋体" w:hAnsi="宋体"/>
          <w:sz w:val="24"/>
          <w:szCs w:val="24"/>
        </w:rPr>
        <w:t>供应商施工过程中必须按国家相关规范及要求进行施工，施工工艺必须达到国家及行业相关规范合格要求。</w:t>
      </w:r>
    </w:p>
    <w:p w14:paraId="3CF3E35E">
      <w:pPr>
        <w:keepNext/>
        <w:keepLines/>
        <w:adjustRightInd w:val="0"/>
        <w:snapToGrid w:val="0"/>
        <w:jc w:val="left"/>
        <w:outlineLvl w:val="1"/>
        <w:rPr>
          <w:rFonts w:ascii="宋体" w:hAnsi="宋体" w:cs="宋体"/>
          <w:b/>
          <w:sz w:val="24"/>
        </w:rPr>
      </w:pPr>
      <w:bookmarkStart w:id="202" w:name="_Toc12338"/>
      <w:r>
        <w:rPr>
          <w:rFonts w:hint="eastAsia" w:ascii="宋体" w:hAnsi="宋体"/>
          <w:sz w:val="24"/>
          <w:szCs w:val="24"/>
        </w:rPr>
        <w:t>※</w:t>
      </w:r>
      <w:r>
        <w:rPr>
          <w:rFonts w:hint="eastAsia" w:ascii="宋体" w:hAnsi="宋体" w:cs="宋体"/>
          <w:b/>
          <w:sz w:val="24"/>
        </w:rPr>
        <w:t>三、服务及质量</w:t>
      </w:r>
      <w:bookmarkEnd w:id="182"/>
      <w:bookmarkEnd w:id="183"/>
      <w:r>
        <w:rPr>
          <w:rFonts w:hint="eastAsia" w:ascii="宋体" w:hAnsi="宋体" w:cs="宋体"/>
          <w:b/>
          <w:sz w:val="24"/>
        </w:rPr>
        <w:t>需求</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2"/>
    </w:p>
    <w:p w14:paraId="793E6706">
      <w:pPr>
        <w:spacing w:line="400" w:lineRule="exact"/>
        <w:ind w:firstLine="480" w:firstLineChars="200"/>
        <w:rPr>
          <w:rFonts w:ascii="宋体" w:hAnsi="宋体"/>
          <w:sz w:val="24"/>
          <w:szCs w:val="24"/>
        </w:rPr>
      </w:pPr>
      <w:r>
        <w:rPr>
          <w:rFonts w:hint="eastAsia" w:ascii="宋体" w:hAnsi="宋体"/>
          <w:sz w:val="24"/>
          <w:szCs w:val="24"/>
        </w:rPr>
        <w:t>（一）前期要求</w:t>
      </w:r>
    </w:p>
    <w:p w14:paraId="58DD46B1">
      <w:pPr>
        <w:spacing w:line="400" w:lineRule="exact"/>
        <w:ind w:firstLine="480" w:firstLineChars="200"/>
        <w:rPr>
          <w:rFonts w:ascii="宋体" w:hAnsi="宋体"/>
          <w:sz w:val="24"/>
          <w:szCs w:val="24"/>
        </w:rPr>
      </w:pPr>
      <w:r>
        <w:rPr>
          <w:rFonts w:hint="eastAsia" w:ascii="宋体" w:hAnsi="宋体"/>
          <w:sz w:val="24"/>
          <w:szCs w:val="24"/>
        </w:rPr>
        <w:t>供应商施工前应充分了解施工现场周边环境及设施设备，成交后需与采购人协调按相关规范解决施工用电、用水、建渣运输等施工生产条件。</w:t>
      </w:r>
    </w:p>
    <w:p w14:paraId="5EC50847">
      <w:pPr>
        <w:spacing w:line="400" w:lineRule="exact"/>
        <w:ind w:firstLine="480" w:firstLineChars="200"/>
        <w:rPr>
          <w:rFonts w:ascii="宋体" w:hAnsi="宋体"/>
          <w:sz w:val="24"/>
          <w:szCs w:val="24"/>
        </w:rPr>
      </w:pPr>
      <w:r>
        <w:rPr>
          <w:rFonts w:hint="eastAsia" w:ascii="宋体" w:hAnsi="宋体"/>
          <w:sz w:val="24"/>
          <w:szCs w:val="24"/>
        </w:rPr>
        <w:t>（二）安全要求</w:t>
      </w:r>
    </w:p>
    <w:p w14:paraId="1932EAA2">
      <w:pPr>
        <w:spacing w:line="400" w:lineRule="exact"/>
        <w:ind w:firstLine="480" w:firstLineChars="200"/>
        <w:rPr>
          <w:rFonts w:ascii="宋体" w:hAnsi="宋体"/>
          <w:sz w:val="24"/>
          <w:szCs w:val="24"/>
        </w:rPr>
      </w:pPr>
      <w:r>
        <w:rPr>
          <w:rFonts w:hint="eastAsia" w:ascii="宋体" w:hAnsi="宋体"/>
          <w:sz w:val="24"/>
          <w:szCs w:val="24"/>
        </w:rPr>
        <w:t>1.供应商应遵守安全生产的有关管理规定，建立完善的安全管控体系，严格按照安全标准组织实施，采取必要的安全防护措施，消除隐患。</w:t>
      </w:r>
    </w:p>
    <w:p w14:paraId="60A3A4B9">
      <w:pPr>
        <w:spacing w:line="400" w:lineRule="exact"/>
        <w:ind w:firstLine="480" w:firstLineChars="200"/>
        <w:rPr>
          <w:rFonts w:ascii="宋体" w:hAnsi="宋体"/>
          <w:sz w:val="24"/>
          <w:szCs w:val="24"/>
        </w:rPr>
      </w:pPr>
      <w:r>
        <w:rPr>
          <w:rFonts w:hint="eastAsia" w:ascii="宋体" w:hAnsi="宋体"/>
          <w:sz w:val="24"/>
          <w:szCs w:val="24"/>
        </w:rPr>
        <w:t>2.供应商应派遣有丰富经验和相应能力的工程师进行现场组织施工，并对施工操作不当或错误所导致的直接损失和间接损失承担全部赔偿责任。</w:t>
      </w:r>
    </w:p>
    <w:p w14:paraId="46501C79">
      <w:pPr>
        <w:spacing w:line="400" w:lineRule="exact"/>
        <w:ind w:firstLine="480" w:firstLineChars="200"/>
        <w:jc w:val="left"/>
        <w:rPr>
          <w:rFonts w:ascii="宋体" w:hAnsi="宋体"/>
          <w:sz w:val="24"/>
          <w:szCs w:val="24"/>
        </w:rPr>
      </w:pPr>
      <w:r>
        <w:rPr>
          <w:rFonts w:hint="eastAsia" w:ascii="宋体" w:hAnsi="宋体"/>
          <w:sz w:val="24"/>
          <w:szCs w:val="24"/>
        </w:rPr>
        <w:t>3.在施工过程中由于供应商管理或安全措施不力造成周边环境破坏或事故责任因此发生的费用，由供应商承担。供应商负责进入现场实施人员及财物安全，发生任何伤亡事故与采购人无关，供应商自行解决并承担相应的法律责任和财产损失。如因施工导致第三人人身、财产损失由供应商承担赔偿责任。</w:t>
      </w:r>
    </w:p>
    <w:p w14:paraId="5DF14A3B">
      <w:pPr>
        <w:spacing w:line="400" w:lineRule="exact"/>
        <w:ind w:firstLine="480" w:firstLineChars="200"/>
        <w:rPr>
          <w:rFonts w:ascii="宋体" w:hAnsi="宋体"/>
          <w:sz w:val="24"/>
          <w:szCs w:val="24"/>
        </w:rPr>
      </w:pPr>
      <w:r>
        <w:rPr>
          <w:rFonts w:hint="eastAsia" w:ascii="宋体" w:hAnsi="宋体"/>
          <w:sz w:val="24"/>
          <w:szCs w:val="24"/>
        </w:rPr>
        <w:t>（三）工程质量要求及保证</w:t>
      </w:r>
    </w:p>
    <w:p w14:paraId="6B68F035">
      <w:pPr>
        <w:spacing w:line="400" w:lineRule="exact"/>
        <w:ind w:firstLine="480" w:firstLineChars="200"/>
        <w:rPr>
          <w:rFonts w:ascii="宋体" w:hAnsi="宋体"/>
          <w:sz w:val="24"/>
          <w:szCs w:val="24"/>
        </w:rPr>
      </w:pPr>
      <w:r>
        <w:rPr>
          <w:rFonts w:hint="eastAsia" w:ascii="宋体" w:hAnsi="宋体"/>
          <w:sz w:val="24"/>
          <w:szCs w:val="24"/>
        </w:rPr>
        <w:t>1.达到国家现行有关施工质量验收规范要求，并达到合格标准。（供应商提供承诺函，格式自拟）</w:t>
      </w:r>
    </w:p>
    <w:p w14:paraId="26A2A36E">
      <w:pPr>
        <w:spacing w:line="400" w:lineRule="exact"/>
        <w:ind w:firstLine="480" w:firstLineChars="200"/>
        <w:rPr>
          <w:rFonts w:ascii="宋体" w:hAnsi="宋体"/>
          <w:sz w:val="24"/>
          <w:szCs w:val="24"/>
        </w:rPr>
      </w:pPr>
      <w:r>
        <w:rPr>
          <w:rFonts w:hint="eastAsia" w:ascii="宋体" w:hAnsi="宋体"/>
          <w:sz w:val="24"/>
          <w:szCs w:val="24"/>
        </w:rPr>
        <w:t>2.设备和材料质量总体要求：所供相关设备和材料必须货真价实，符合环保节能要求，假冒伪劣产品不得采购；所供设备和材料的各项手续、文件必须真实完整有效；其他材料各项技术参数、质量指标必须符合国家技术质量监督机构及有关管理部门和行业的规定和标准。</w:t>
      </w:r>
    </w:p>
    <w:p w14:paraId="10486D31">
      <w:pPr>
        <w:spacing w:line="400" w:lineRule="exact"/>
        <w:ind w:firstLine="480" w:firstLineChars="200"/>
        <w:rPr>
          <w:rFonts w:ascii="宋体" w:hAnsi="宋体"/>
          <w:sz w:val="24"/>
          <w:szCs w:val="24"/>
        </w:rPr>
      </w:pPr>
      <w:r>
        <w:rPr>
          <w:rFonts w:hint="eastAsia" w:ascii="宋体" w:hAnsi="宋体"/>
          <w:sz w:val="24"/>
          <w:szCs w:val="24"/>
        </w:rPr>
        <w:t>3.缺陷责任期及工程保修期：</w:t>
      </w:r>
    </w:p>
    <w:p w14:paraId="7327F7A0">
      <w:pPr>
        <w:ind w:firstLine="480" w:firstLineChars="200"/>
        <w:rPr>
          <w:rFonts w:ascii="宋体" w:hAnsi="宋体"/>
          <w:sz w:val="24"/>
          <w:szCs w:val="24"/>
        </w:rPr>
      </w:pPr>
      <w:r>
        <w:rPr>
          <w:rFonts w:hint="eastAsia" w:ascii="宋体" w:hAnsi="宋体"/>
          <w:sz w:val="24"/>
          <w:szCs w:val="24"/>
        </w:rPr>
        <w:t>3.1缺陷责任期为</w:t>
      </w:r>
      <w:r>
        <w:rPr>
          <w:rFonts w:hint="eastAsia" w:ascii="宋体" w:hAnsi="宋体"/>
          <w:sz w:val="24"/>
          <w:szCs w:val="24"/>
          <w:lang w:eastAsia="zh-CN"/>
        </w:rPr>
        <w:t>18个月</w:t>
      </w:r>
      <w:r>
        <w:rPr>
          <w:rFonts w:hint="eastAsia" w:ascii="宋体" w:hAnsi="宋体"/>
          <w:sz w:val="24"/>
          <w:szCs w:val="24"/>
        </w:rPr>
        <w:t>，从施工完毕验收合格之日起计算。</w:t>
      </w:r>
    </w:p>
    <w:p w14:paraId="0C805CD6">
      <w:pPr>
        <w:spacing w:line="400" w:lineRule="exact"/>
        <w:ind w:firstLine="480" w:firstLineChars="200"/>
        <w:rPr>
          <w:rFonts w:ascii="宋体" w:hAnsi="宋体"/>
          <w:sz w:val="24"/>
          <w:szCs w:val="24"/>
        </w:rPr>
      </w:pPr>
      <w:r>
        <w:rPr>
          <w:rFonts w:hint="eastAsia" w:ascii="宋体" w:hAnsi="宋体"/>
          <w:sz w:val="24"/>
          <w:szCs w:val="24"/>
        </w:rPr>
        <w:t>3.2工程保修期按国家及相关规定、《建设工程质量管理条例》执行：屋面防水工程、有防水要求的卫生间、房间和外墙面的防渗漏为5年；除以上以外的其他设备、材料和施工质量质保期为2年,工程保修期自工程竣工验收合格（以竣工验收报告日期为准）之日起计算。</w:t>
      </w:r>
    </w:p>
    <w:p w14:paraId="4D431ABA">
      <w:pPr>
        <w:spacing w:line="400" w:lineRule="exact"/>
        <w:ind w:firstLine="480" w:firstLineChars="200"/>
        <w:rPr>
          <w:rFonts w:ascii="宋体" w:hAnsi="宋体"/>
          <w:sz w:val="24"/>
          <w:szCs w:val="24"/>
        </w:rPr>
      </w:pPr>
      <w:r>
        <w:rPr>
          <w:rFonts w:hint="eastAsia" w:ascii="宋体" w:hAnsi="宋体"/>
          <w:sz w:val="24"/>
          <w:szCs w:val="24"/>
        </w:rPr>
        <w:t>3.3质保期内，所有非人为损坏的设备及施工质量缺陷，均由供应商提供免费的现场维修，不产生任何额外费用。</w:t>
      </w:r>
    </w:p>
    <w:p w14:paraId="613CEA86">
      <w:pPr>
        <w:numPr>
          <w:ilvl w:val="0"/>
          <w:numId w:val="1"/>
        </w:numPr>
        <w:spacing w:line="400" w:lineRule="exact"/>
        <w:ind w:firstLine="480" w:firstLineChars="200"/>
        <w:outlineLvl w:val="2"/>
        <w:rPr>
          <w:rFonts w:ascii="宋体" w:hAnsi="宋体"/>
          <w:sz w:val="24"/>
          <w:szCs w:val="24"/>
        </w:rPr>
      </w:pPr>
      <w:r>
        <w:rPr>
          <w:rFonts w:hint="eastAsia" w:ascii="宋体" w:hAnsi="宋体"/>
          <w:sz w:val="24"/>
          <w:szCs w:val="24"/>
        </w:rPr>
        <w:t>项目二次深化设计及艺术创作验收</w:t>
      </w:r>
    </w:p>
    <w:p w14:paraId="1465B770">
      <w:pPr>
        <w:spacing w:line="400" w:lineRule="exact"/>
        <w:ind w:firstLine="480" w:firstLineChars="200"/>
        <w:outlineLvl w:val="2"/>
        <w:rPr>
          <w:rFonts w:ascii="宋体" w:hAnsi="宋体" w:cs="宋体"/>
          <w:color w:val="000000"/>
          <w:sz w:val="24"/>
          <w:szCs w:val="24"/>
        </w:rPr>
      </w:pPr>
      <w:r>
        <w:rPr>
          <w:rFonts w:hint="eastAsia" w:ascii="宋体" w:hAnsi="宋体" w:cs="宋体"/>
          <w:color w:val="000000"/>
          <w:sz w:val="24"/>
          <w:szCs w:val="24"/>
        </w:rPr>
        <w:t>4.1项目拟聘请的主创艺术家主创全程驻场深化方案、泥塑定稿、成品修形，不得更换核心创作人员。（</w:t>
      </w:r>
      <w:r>
        <w:rPr>
          <w:rFonts w:hint="eastAsia" w:ascii="宋体" w:hAnsi="宋体" w:cs="宋体"/>
          <w:color w:val="000000"/>
          <w:sz w:val="24"/>
          <w:szCs w:val="24"/>
          <w:lang w:eastAsia="zh-CN"/>
        </w:rPr>
        <w:t>响应文件中</w:t>
      </w:r>
      <w:r>
        <w:rPr>
          <w:rFonts w:hint="eastAsia" w:ascii="宋体" w:hAnsi="宋体" w:cs="宋体"/>
          <w:color w:val="000000"/>
          <w:sz w:val="24"/>
          <w:szCs w:val="24"/>
        </w:rPr>
        <w:t>供应商提供服务承诺函）</w:t>
      </w:r>
    </w:p>
    <w:p w14:paraId="04E4BF7A">
      <w:pPr>
        <w:spacing w:line="400" w:lineRule="exact"/>
        <w:ind w:firstLine="480" w:firstLineChars="200"/>
        <w:outlineLvl w:val="2"/>
        <w:rPr>
          <w:rFonts w:ascii="宋体" w:hAnsi="宋体" w:cs="宋体"/>
          <w:color w:val="000000"/>
          <w:sz w:val="24"/>
          <w:szCs w:val="24"/>
        </w:rPr>
      </w:pPr>
      <w:r>
        <w:rPr>
          <w:rFonts w:hint="eastAsia" w:ascii="宋体" w:hAnsi="宋体" w:cs="宋体"/>
          <w:color w:val="000000"/>
          <w:sz w:val="24"/>
          <w:szCs w:val="24"/>
        </w:rPr>
        <w:t>4.2艺术创作管控要求：方案阶段：需经甲方、党史/消防文史专家及雕塑原作者评审方案，构图讲究叙事层次、人物张力，杜绝模板化、流水线同质化造型。泥塑定稿阶段：1:1 泥塑完成后组织甲方专家及雕塑原作者现场评审，对人物神态、肢体语言、群组节奏、精神气质提出艺术修改意见，直至雕塑精神内核贴合消防员灭火救援纪实主题，无脸谱化、僵硬化人物。雕塑的制作全过程须接受雕塑原作者的艺术监制，并支付原作者艺术监制费用，此项监制费用已在清单里明确单列。如修改三次后还是达不到甲方专家及原作者的艺术要求，采购人可另行聘请雕塑专家进行泥塑创作，由此所产生的一切费用由供应商承担。（</w:t>
      </w:r>
      <w:r>
        <w:rPr>
          <w:rFonts w:hint="eastAsia"/>
          <w:lang w:eastAsia="zh-CN"/>
        </w:rPr>
        <w:t>响应文件中</w:t>
      </w:r>
      <w:r>
        <w:rPr>
          <w:rFonts w:hint="eastAsia" w:ascii="宋体" w:hAnsi="宋体" w:cs="宋体"/>
          <w:color w:val="000000"/>
          <w:sz w:val="24"/>
          <w:szCs w:val="24"/>
        </w:rPr>
        <w:t>供应商提供服务承诺函）</w:t>
      </w:r>
    </w:p>
    <w:p w14:paraId="0BE40F68">
      <w:pPr>
        <w:snapToGrid w:val="0"/>
        <w:spacing w:line="400" w:lineRule="exact"/>
        <w:ind w:firstLine="540"/>
        <w:rPr>
          <w:rFonts w:ascii="宋体" w:hAnsi="宋体"/>
          <w:sz w:val="24"/>
          <w:szCs w:val="24"/>
        </w:rPr>
      </w:pPr>
      <w:r>
        <w:rPr>
          <w:rFonts w:hint="eastAsia" w:ascii="宋体" w:hAnsi="宋体" w:cs="宋体"/>
          <w:color w:val="000000"/>
          <w:sz w:val="24"/>
          <w:szCs w:val="24"/>
        </w:rPr>
        <w:t>4.3成品艺术验收：玻璃钢成品需保持泥塑原生艺术肌理，人物神态、动态情绪连贯统一，主次虚实层次分明，具备纪实感染力与庄重史诗感；拼接痕迹、修补痕迹不得破坏整体艺术完整性。</w:t>
      </w:r>
    </w:p>
    <w:p w14:paraId="0BD40089">
      <w:pPr>
        <w:spacing w:line="400" w:lineRule="exact"/>
        <w:ind w:firstLine="480" w:firstLineChars="200"/>
        <w:rPr>
          <w:rFonts w:ascii="宋体" w:hAnsi="宋体"/>
          <w:sz w:val="24"/>
          <w:szCs w:val="24"/>
        </w:rPr>
      </w:pPr>
      <w:r>
        <w:rPr>
          <w:rFonts w:hint="eastAsia" w:ascii="宋体" w:hAnsi="宋体"/>
          <w:sz w:val="24"/>
          <w:szCs w:val="24"/>
        </w:rPr>
        <w:t>（四）项目管理班子人员配备要求</w:t>
      </w:r>
    </w:p>
    <w:p w14:paraId="24E2CB35">
      <w:pPr>
        <w:spacing w:line="400" w:lineRule="exact"/>
        <w:ind w:firstLine="480" w:firstLineChars="200"/>
        <w:rPr>
          <w:rFonts w:ascii="宋体" w:hAnsi="宋体"/>
          <w:sz w:val="24"/>
          <w:szCs w:val="24"/>
        </w:rPr>
      </w:pPr>
      <w:r>
        <w:rPr>
          <w:rFonts w:hint="eastAsia" w:ascii="宋体" w:hAnsi="宋体"/>
          <w:sz w:val="24"/>
          <w:szCs w:val="24"/>
        </w:rPr>
        <w:t>1.项目经理（1名）：拟派的项目经理须在供应商单位注册，并应具有建筑工程专业二级及以上注册建造师执业资格。响应文件中需提供以下证明材料：</w:t>
      </w:r>
    </w:p>
    <w:p w14:paraId="668C4B0A">
      <w:pPr>
        <w:spacing w:line="400" w:lineRule="exact"/>
        <w:ind w:firstLine="480" w:firstLineChars="200"/>
        <w:rPr>
          <w:rFonts w:ascii="宋体" w:hAnsi="宋体"/>
          <w:sz w:val="24"/>
          <w:szCs w:val="24"/>
        </w:rPr>
      </w:pPr>
      <w:r>
        <w:rPr>
          <w:rFonts w:hint="eastAsia" w:ascii="宋体" w:hAnsi="宋体"/>
          <w:sz w:val="24"/>
          <w:szCs w:val="24"/>
        </w:rPr>
        <w:t>1.1提供拟派项目经理身份证复印件加盖供应商公章；</w:t>
      </w:r>
    </w:p>
    <w:p w14:paraId="6E5A187D">
      <w:pPr>
        <w:spacing w:line="400" w:lineRule="exact"/>
        <w:ind w:firstLine="480" w:firstLineChars="200"/>
        <w:rPr>
          <w:rFonts w:ascii="宋体" w:hAnsi="宋体"/>
          <w:sz w:val="24"/>
          <w:szCs w:val="24"/>
        </w:rPr>
      </w:pPr>
      <w:r>
        <w:rPr>
          <w:rFonts w:hint="eastAsia" w:ascii="宋体" w:hAnsi="宋体"/>
          <w:sz w:val="24"/>
          <w:szCs w:val="24"/>
        </w:rPr>
        <w:t>1.2提供建造师执业资格证书复印件加盖供应商公章；</w:t>
      </w:r>
    </w:p>
    <w:p w14:paraId="77E079DD">
      <w:pPr>
        <w:spacing w:line="400" w:lineRule="exact"/>
        <w:ind w:firstLine="480" w:firstLineChars="200"/>
        <w:rPr>
          <w:rFonts w:ascii="宋体" w:hAnsi="宋体"/>
          <w:sz w:val="24"/>
          <w:szCs w:val="24"/>
        </w:rPr>
      </w:pPr>
      <w:r>
        <w:rPr>
          <w:rFonts w:hint="eastAsia" w:ascii="宋体" w:hAnsi="宋体"/>
          <w:sz w:val="24"/>
          <w:szCs w:val="24"/>
        </w:rPr>
        <w:t>1.3提供证明项目负责人与供应商存在合法劳动关系的证明材料复印件并加盖供应商公章。该证明材料应至少包含以下一项，并能相互印证：</w:t>
      </w:r>
    </w:p>
    <w:p w14:paraId="17B83743">
      <w:pPr>
        <w:spacing w:line="400" w:lineRule="exact"/>
        <w:ind w:firstLine="480" w:firstLineChars="200"/>
        <w:rPr>
          <w:rFonts w:ascii="宋体" w:hAnsi="宋体"/>
          <w:sz w:val="24"/>
          <w:szCs w:val="24"/>
        </w:rPr>
      </w:pPr>
      <w:bookmarkStart w:id="203" w:name="OLE_LINK2"/>
      <w:bookmarkStart w:id="204" w:name="OLE_LINK1"/>
      <w:r>
        <w:rPr>
          <w:rFonts w:hint="eastAsia" w:ascii="宋体" w:hAnsi="宋体"/>
          <w:sz w:val="24"/>
          <w:szCs w:val="24"/>
        </w:rPr>
        <w:t>（1）提供2026年1月至响应截止时间任意1个月供应商为其缴纳的养老保险社会保险证明材料复印件，并加盖供应商公章；</w:t>
      </w:r>
    </w:p>
    <w:bookmarkEnd w:id="203"/>
    <w:bookmarkEnd w:id="204"/>
    <w:p w14:paraId="3FEDE77E">
      <w:pPr>
        <w:spacing w:line="400" w:lineRule="exact"/>
        <w:ind w:firstLine="480" w:firstLineChars="200"/>
        <w:rPr>
          <w:rFonts w:ascii="宋体" w:hAnsi="宋体"/>
          <w:sz w:val="24"/>
          <w:szCs w:val="24"/>
        </w:rPr>
      </w:pPr>
      <w:r>
        <w:rPr>
          <w:rFonts w:hint="eastAsia" w:ascii="宋体" w:hAnsi="宋体"/>
          <w:sz w:val="24"/>
          <w:szCs w:val="24"/>
        </w:rPr>
        <w:t>（2）如因供应商成立时间不足2个月的可用劳动合同代替缴纳社保的证明材料。</w:t>
      </w:r>
    </w:p>
    <w:p w14:paraId="291F160E">
      <w:pPr>
        <w:spacing w:line="400" w:lineRule="exact"/>
        <w:ind w:firstLine="480" w:firstLineChars="200"/>
        <w:rPr>
          <w:rFonts w:ascii="宋体" w:hAnsi="宋体"/>
          <w:sz w:val="24"/>
          <w:szCs w:val="24"/>
        </w:rPr>
      </w:pPr>
      <w:bookmarkStart w:id="205" w:name="OLE_LINK11"/>
      <w:bookmarkStart w:id="206" w:name="OLE_LINK13"/>
      <w:bookmarkStart w:id="207" w:name="OLE_LINK12"/>
      <w:r>
        <w:rPr>
          <w:rFonts w:hint="eastAsia" w:ascii="宋体" w:hAnsi="宋体"/>
          <w:sz w:val="24"/>
          <w:szCs w:val="24"/>
        </w:rPr>
        <w:t>1.4项目经理未在其他在建项目任职的自行声明加盖供应商公章（声明函格式自拟）。</w:t>
      </w:r>
    </w:p>
    <w:p w14:paraId="4A7AC1F8">
      <w:pPr>
        <w:spacing w:line="400" w:lineRule="exact"/>
        <w:ind w:firstLine="480" w:firstLineChars="200"/>
        <w:rPr>
          <w:rFonts w:ascii="宋体" w:hAnsi="宋体"/>
          <w:sz w:val="24"/>
          <w:szCs w:val="24"/>
        </w:rPr>
      </w:pPr>
      <w:r>
        <w:rPr>
          <w:rFonts w:hint="eastAsia" w:ascii="宋体" w:hAnsi="宋体"/>
          <w:sz w:val="24"/>
          <w:szCs w:val="24"/>
        </w:rPr>
        <w:t>注：在实际施工时项目经理不得更换，一旦更换，采购人有权单方面解除合同，因不可抗力因素除外。</w:t>
      </w:r>
    </w:p>
    <w:bookmarkEnd w:id="205"/>
    <w:bookmarkEnd w:id="206"/>
    <w:bookmarkEnd w:id="207"/>
    <w:p w14:paraId="22A2A9F8">
      <w:pPr>
        <w:spacing w:line="400" w:lineRule="exact"/>
        <w:ind w:firstLine="480" w:firstLineChars="200"/>
        <w:rPr>
          <w:rFonts w:ascii="宋体" w:hAnsi="宋体"/>
          <w:sz w:val="24"/>
          <w:szCs w:val="24"/>
        </w:rPr>
      </w:pPr>
      <w:r>
        <w:rPr>
          <w:rFonts w:hint="eastAsia" w:ascii="宋体" w:hAnsi="宋体"/>
          <w:sz w:val="24"/>
          <w:szCs w:val="24"/>
        </w:rPr>
        <w:t>2.项目技术负责人（1名）：拟派的项目技术负责人为供应商本单位员工，并应具有建筑工程类中级及以上职称。</w:t>
      </w:r>
    </w:p>
    <w:p w14:paraId="48BB1F43">
      <w:pPr>
        <w:spacing w:line="400" w:lineRule="exact"/>
        <w:ind w:firstLine="480" w:firstLineChars="200"/>
        <w:rPr>
          <w:rFonts w:ascii="宋体" w:hAnsi="宋体"/>
          <w:sz w:val="24"/>
          <w:szCs w:val="24"/>
        </w:rPr>
      </w:pPr>
      <w:r>
        <w:rPr>
          <w:rFonts w:hint="eastAsia" w:ascii="宋体" w:hAnsi="宋体"/>
          <w:sz w:val="24"/>
          <w:szCs w:val="24"/>
        </w:rPr>
        <w:t>2.1提供拟技术负责人身份证复印件加盖供应商公章；</w:t>
      </w:r>
    </w:p>
    <w:p w14:paraId="377B7BA4">
      <w:pPr>
        <w:spacing w:line="400" w:lineRule="exact"/>
        <w:ind w:firstLine="480" w:firstLineChars="200"/>
        <w:rPr>
          <w:rFonts w:ascii="宋体" w:hAnsi="宋体"/>
          <w:sz w:val="24"/>
          <w:szCs w:val="24"/>
        </w:rPr>
      </w:pPr>
      <w:r>
        <w:rPr>
          <w:rFonts w:hint="eastAsia" w:ascii="宋体" w:hAnsi="宋体"/>
          <w:sz w:val="24"/>
          <w:szCs w:val="24"/>
        </w:rPr>
        <w:t>2.2提供人员职称证书复印件加盖供应商公章；</w:t>
      </w:r>
    </w:p>
    <w:p w14:paraId="57623F63">
      <w:pPr>
        <w:spacing w:line="400" w:lineRule="exact"/>
        <w:ind w:firstLine="480" w:firstLineChars="200"/>
        <w:rPr>
          <w:rFonts w:ascii="宋体" w:hAnsi="宋体"/>
          <w:sz w:val="24"/>
          <w:szCs w:val="24"/>
        </w:rPr>
      </w:pPr>
      <w:r>
        <w:rPr>
          <w:rFonts w:hint="eastAsia" w:ascii="宋体" w:hAnsi="宋体"/>
          <w:sz w:val="24"/>
          <w:szCs w:val="24"/>
        </w:rPr>
        <w:t>2.3提供证明项目技术负责人与供应商存在合法劳动关系的证明材料复印件并加盖供应商公章。该证明材料应至少包含以下一项，并能相互印证：</w:t>
      </w:r>
    </w:p>
    <w:p w14:paraId="7140B5C4">
      <w:pPr>
        <w:spacing w:line="400" w:lineRule="exact"/>
        <w:ind w:firstLine="480" w:firstLineChars="200"/>
        <w:rPr>
          <w:rFonts w:ascii="宋体" w:hAnsi="宋体"/>
          <w:sz w:val="24"/>
          <w:szCs w:val="24"/>
        </w:rPr>
      </w:pPr>
      <w:r>
        <w:rPr>
          <w:rFonts w:hint="eastAsia" w:ascii="宋体" w:hAnsi="宋体"/>
          <w:sz w:val="24"/>
          <w:szCs w:val="24"/>
        </w:rPr>
        <w:t>（1）提供2026年1月至响应截止时间任意1个月供应商为其缴纳的养老保险社会保险证明材料复印件，并加盖供应商公章；</w:t>
      </w:r>
    </w:p>
    <w:p w14:paraId="127DC51B">
      <w:pPr>
        <w:spacing w:line="400" w:lineRule="exact"/>
        <w:ind w:firstLine="480" w:firstLineChars="200"/>
        <w:rPr>
          <w:rFonts w:ascii="宋体" w:hAnsi="宋体"/>
          <w:sz w:val="24"/>
          <w:szCs w:val="24"/>
        </w:rPr>
      </w:pPr>
      <w:r>
        <w:rPr>
          <w:rFonts w:hint="eastAsia" w:ascii="宋体" w:hAnsi="宋体"/>
          <w:sz w:val="24"/>
          <w:szCs w:val="24"/>
        </w:rPr>
        <w:t>（2）如因供应商成立时间不足2个月的可用劳动合同代替缴纳社保的证明材料。</w:t>
      </w:r>
    </w:p>
    <w:p w14:paraId="0CA377F2">
      <w:pPr>
        <w:spacing w:line="400" w:lineRule="exact"/>
        <w:ind w:firstLine="480" w:firstLineChars="200"/>
        <w:rPr>
          <w:rFonts w:ascii="宋体" w:hAnsi="宋体"/>
          <w:sz w:val="24"/>
          <w:szCs w:val="24"/>
        </w:rPr>
      </w:pPr>
      <w:r>
        <w:rPr>
          <w:rFonts w:hint="eastAsia" w:ascii="宋体" w:hAnsi="宋体"/>
          <w:sz w:val="24"/>
          <w:szCs w:val="24"/>
        </w:rPr>
        <w:t>2.4技术负责人未在其他在建项目任职的自行声明加盖供应商公章（声明函格式自拟）。</w:t>
      </w:r>
    </w:p>
    <w:p w14:paraId="1D6627AB">
      <w:pPr>
        <w:spacing w:line="400" w:lineRule="exact"/>
        <w:ind w:firstLine="480" w:firstLineChars="200"/>
        <w:rPr>
          <w:rFonts w:ascii="宋体" w:hAnsi="宋体"/>
          <w:sz w:val="24"/>
          <w:szCs w:val="24"/>
        </w:rPr>
      </w:pPr>
      <w:r>
        <w:rPr>
          <w:rFonts w:hint="eastAsia" w:ascii="宋体" w:hAnsi="宋体"/>
          <w:sz w:val="24"/>
          <w:szCs w:val="24"/>
        </w:rPr>
        <w:t>3.主要管理人员：拟派的质量员（质检员）不少于1人，安全员不少于1人，材料员不少于1人，造价员或预算员或造价工程师不少于1人，施工员不少于1人。</w:t>
      </w:r>
    </w:p>
    <w:p w14:paraId="7C01EA31">
      <w:pPr>
        <w:spacing w:line="400" w:lineRule="exact"/>
        <w:ind w:firstLine="480" w:firstLineChars="200"/>
        <w:rPr>
          <w:rFonts w:ascii="宋体" w:hAnsi="宋体"/>
          <w:sz w:val="24"/>
          <w:szCs w:val="24"/>
        </w:rPr>
      </w:pPr>
      <w:r>
        <w:rPr>
          <w:rFonts w:hint="eastAsia" w:ascii="宋体" w:hAnsi="宋体"/>
          <w:sz w:val="24"/>
          <w:szCs w:val="24"/>
        </w:rPr>
        <w:t>3.1提供主要管理人员清单以及人员所持有的相关证书复印件（说明：安全员须提供</w:t>
      </w:r>
      <w:r>
        <w:rPr>
          <w:rFonts w:hint="eastAsia" w:ascii="宋体" w:hAnsi="宋体" w:cs="宋体"/>
          <w:sz w:val="24"/>
          <w:szCs w:val="24"/>
        </w:rPr>
        <w:t>建设行政主管部门颁发的有效的安全生产考核合格证书复印件</w:t>
      </w:r>
      <w:r>
        <w:rPr>
          <w:rFonts w:hint="eastAsia" w:ascii="宋体" w:hAnsi="宋体"/>
          <w:sz w:val="24"/>
          <w:szCs w:val="24"/>
        </w:rPr>
        <w:t>）；</w:t>
      </w:r>
    </w:p>
    <w:p w14:paraId="08EED5C9">
      <w:pPr>
        <w:spacing w:line="400" w:lineRule="exact"/>
        <w:ind w:firstLine="480" w:firstLineChars="200"/>
        <w:rPr>
          <w:rFonts w:ascii="宋体" w:hAnsi="宋体"/>
          <w:sz w:val="24"/>
          <w:szCs w:val="24"/>
        </w:rPr>
      </w:pPr>
      <w:r>
        <w:rPr>
          <w:rFonts w:hint="eastAsia" w:ascii="宋体" w:hAnsi="宋体"/>
          <w:sz w:val="24"/>
          <w:szCs w:val="24"/>
        </w:rPr>
        <w:t>3.2提供证明主要管理人员与供应商存在合法劳动关系的证明材料复印件并加盖供应商公章。该证明材料应至少包含以下一项，并能相互印证：</w:t>
      </w:r>
    </w:p>
    <w:p w14:paraId="487D2A1B">
      <w:pPr>
        <w:spacing w:line="400" w:lineRule="exact"/>
        <w:ind w:firstLine="480" w:firstLineChars="200"/>
        <w:rPr>
          <w:rFonts w:ascii="宋体" w:hAnsi="宋体"/>
          <w:sz w:val="24"/>
          <w:szCs w:val="24"/>
        </w:rPr>
      </w:pPr>
      <w:r>
        <w:rPr>
          <w:rFonts w:hint="eastAsia" w:ascii="宋体" w:hAnsi="宋体"/>
          <w:sz w:val="24"/>
          <w:szCs w:val="24"/>
        </w:rPr>
        <w:t>（1）提供2026年1月至响应截止时间任意1个月供应商为其缴纳的养老保险社会保险证明材料复印件，并加盖供应商公章；</w:t>
      </w:r>
    </w:p>
    <w:p w14:paraId="16F58D01">
      <w:pPr>
        <w:spacing w:line="400" w:lineRule="exact"/>
        <w:ind w:firstLine="480" w:firstLineChars="200"/>
        <w:rPr>
          <w:rFonts w:ascii="宋体" w:hAnsi="宋体" w:cs="宋体"/>
          <w:color w:val="000000"/>
          <w:sz w:val="24"/>
          <w:szCs w:val="24"/>
        </w:rPr>
      </w:pPr>
      <w:r>
        <w:rPr>
          <w:rFonts w:hint="eastAsia" w:ascii="宋体" w:hAnsi="宋体"/>
          <w:sz w:val="24"/>
          <w:szCs w:val="24"/>
        </w:rPr>
        <w:t>（2）如因供应商成立时间不足2个月的可用劳动合同代替缴纳社保的证明材料。</w:t>
      </w:r>
    </w:p>
    <w:p w14:paraId="0E1BA813">
      <w:pPr>
        <w:spacing w:line="400" w:lineRule="exact"/>
        <w:ind w:firstLine="480" w:firstLineChars="200"/>
        <w:rPr>
          <w:rFonts w:ascii="宋体" w:hAnsi="宋体"/>
          <w:sz w:val="24"/>
          <w:szCs w:val="24"/>
        </w:rPr>
      </w:pPr>
      <w:r>
        <w:rPr>
          <w:rFonts w:hint="eastAsia" w:ascii="宋体" w:hAnsi="宋体"/>
          <w:sz w:val="24"/>
          <w:szCs w:val="24"/>
        </w:rPr>
        <w:t>（</w:t>
      </w:r>
      <w:r>
        <w:rPr>
          <w:rFonts w:ascii="宋体" w:hAnsi="宋体"/>
          <w:sz w:val="24"/>
          <w:szCs w:val="24"/>
        </w:rPr>
        <w:t>五</w:t>
      </w:r>
      <w:r>
        <w:rPr>
          <w:rFonts w:hint="eastAsia" w:ascii="宋体" w:hAnsi="宋体"/>
          <w:sz w:val="24"/>
          <w:szCs w:val="24"/>
        </w:rPr>
        <w:t>）其他施工要求</w:t>
      </w:r>
    </w:p>
    <w:p w14:paraId="2F7065BD">
      <w:pPr>
        <w:spacing w:line="400" w:lineRule="exact"/>
        <w:ind w:firstLine="480" w:firstLineChars="200"/>
        <w:rPr>
          <w:rFonts w:ascii="宋体" w:hAnsi="宋体"/>
          <w:sz w:val="24"/>
          <w:szCs w:val="24"/>
        </w:rPr>
      </w:pPr>
      <w:r>
        <w:rPr>
          <w:rFonts w:hint="eastAsia" w:ascii="宋体" w:hAnsi="宋体"/>
          <w:sz w:val="24"/>
          <w:szCs w:val="24"/>
        </w:rPr>
        <w:t>1.供应商应保护好施工场所所有设施、设备、管网、物品及人员的安全。管理规范，措施到位，对采购人或第三方等造成损失应进行赔偿，出现人员伤亡等责任事故承担相应责任，采购人不承担任何责任，由供应商自行负责。</w:t>
      </w:r>
    </w:p>
    <w:p w14:paraId="317C10D7">
      <w:pPr>
        <w:spacing w:line="400" w:lineRule="exact"/>
        <w:ind w:firstLine="480" w:firstLineChars="200"/>
        <w:rPr>
          <w:rFonts w:ascii="宋体" w:hAnsi="宋体"/>
          <w:sz w:val="24"/>
          <w:szCs w:val="24"/>
        </w:rPr>
      </w:pPr>
      <w:r>
        <w:rPr>
          <w:rFonts w:hint="eastAsia" w:ascii="宋体" w:hAnsi="宋体"/>
          <w:sz w:val="24"/>
          <w:szCs w:val="24"/>
        </w:rPr>
        <w:t>2.</w:t>
      </w:r>
      <w:r>
        <w:rPr>
          <w:rFonts w:hint="eastAsia" w:ascii="宋体" w:hAnsi="宋体" w:cs="宋体"/>
          <w:sz w:val="24"/>
          <w:szCs w:val="24"/>
        </w:rPr>
        <w:t>供应商应遵守安全生产的有关管理规定，严格按照安全标准组织实施，采取必要的安全防护措施，消除隐患</w:t>
      </w:r>
      <w:r>
        <w:rPr>
          <w:rFonts w:hint="eastAsia" w:ascii="宋体" w:hAnsi="宋体"/>
          <w:sz w:val="24"/>
          <w:szCs w:val="24"/>
        </w:rPr>
        <w:t>。</w:t>
      </w:r>
    </w:p>
    <w:p w14:paraId="0BB6AC6F">
      <w:pPr>
        <w:spacing w:line="440" w:lineRule="atLeast"/>
        <w:ind w:firstLine="480" w:firstLineChars="200"/>
        <w:rPr>
          <w:rFonts w:ascii="宋体" w:hAnsi="宋体" w:cs="宋体"/>
          <w:sz w:val="24"/>
          <w:szCs w:val="24"/>
        </w:rPr>
      </w:pPr>
      <w:r>
        <w:rPr>
          <w:rFonts w:hint="eastAsia" w:ascii="宋体" w:hAnsi="宋体"/>
          <w:sz w:val="24"/>
          <w:szCs w:val="24"/>
        </w:rPr>
        <w:t>3.</w:t>
      </w:r>
      <w:r>
        <w:rPr>
          <w:rFonts w:hint="eastAsia" w:ascii="宋体" w:hAnsi="宋体" w:cs="宋体"/>
          <w:sz w:val="24"/>
          <w:szCs w:val="24"/>
        </w:rPr>
        <w:t>供应商应严格遵守相关规范化管理规定，施工过程中，施工区域始终保持完全完整封闭状态施工，除渣、运输等环节不得有粉尘污染。有重要接待、重要会议、重要活动时，要严格按照采购人要求暂停施工。</w:t>
      </w:r>
    </w:p>
    <w:p w14:paraId="0B12F7E6">
      <w:pPr>
        <w:spacing w:line="440" w:lineRule="atLeast"/>
        <w:ind w:firstLine="480" w:firstLineChars="200"/>
        <w:rPr>
          <w:rFonts w:ascii="宋体" w:hAnsi="宋体" w:cs="宋体"/>
          <w:sz w:val="24"/>
          <w:szCs w:val="24"/>
        </w:rPr>
      </w:pPr>
      <w:r>
        <w:rPr>
          <w:rFonts w:hint="eastAsia" w:ascii="宋体" w:hAnsi="宋体"/>
          <w:sz w:val="24"/>
          <w:szCs w:val="24"/>
        </w:rPr>
        <w:t>4.</w:t>
      </w:r>
      <w:r>
        <w:rPr>
          <w:rFonts w:hint="eastAsia" w:ascii="宋体" w:hAnsi="宋体" w:cs="宋体"/>
          <w:sz w:val="24"/>
          <w:szCs w:val="24"/>
        </w:rPr>
        <w:t>供应商须做到安全文明施工，做好施工噪声及扬尘控制等，施工噪音不能超过55分贝，满足《声环境质量标准》（GB3096-2008）相关标准，不得影响采购人正常办公。不得夜间施工，不得影响周边居民生活。</w:t>
      </w:r>
    </w:p>
    <w:p w14:paraId="23600E28">
      <w:pPr>
        <w:spacing w:line="400" w:lineRule="exact"/>
        <w:ind w:firstLine="480" w:firstLineChars="200"/>
        <w:rPr>
          <w:rFonts w:ascii="宋体" w:hAnsi="宋体" w:cs="宋体"/>
          <w:sz w:val="24"/>
          <w:szCs w:val="24"/>
        </w:rPr>
      </w:pPr>
    </w:p>
    <w:p w14:paraId="32907AB2">
      <w:pPr>
        <w:spacing w:line="400" w:lineRule="exact"/>
        <w:rPr>
          <w:rFonts w:ascii="宋体" w:hAnsi="宋体" w:cs="宋体"/>
          <w:sz w:val="24"/>
          <w:szCs w:val="24"/>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p>
    <w:p w14:paraId="687E78AF">
      <w:pPr>
        <w:pStyle w:val="2"/>
        <w:tabs>
          <w:tab w:val="left" w:pos="3360"/>
        </w:tabs>
        <w:rPr>
          <w:rFonts w:cs="宋体"/>
          <w:bCs/>
          <w:szCs w:val="36"/>
        </w:rPr>
      </w:pPr>
      <w:bookmarkStart w:id="208" w:name="_Toc24768"/>
      <w:bookmarkStart w:id="209" w:name="_Toc4737"/>
      <w:bookmarkStart w:id="210" w:name="_Toc11109"/>
      <w:bookmarkStart w:id="211" w:name="_Toc17204"/>
      <w:bookmarkStart w:id="212" w:name="_Toc9547"/>
      <w:bookmarkStart w:id="213" w:name="_Toc21581"/>
      <w:bookmarkStart w:id="214" w:name="_Toc819"/>
      <w:bookmarkStart w:id="215" w:name="_Toc25336"/>
      <w:bookmarkStart w:id="216" w:name="_Toc16401"/>
      <w:bookmarkStart w:id="217" w:name="_Toc76462327"/>
      <w:bookmarkStart w:id="218" w:name="_Toc31987"/>
      <w:bookmarkStart w:id="219" w:name="_Toc31792"/>
      <w:bookmarkStart w:id="220" w:name="_Toc2477"/>
      <w:bookmarkStart w:id="221" w:name="_Toc6692"/>
      <w:bookmarkStart w:id="222" w:name="_Toc26873"/>
      <w:bookmarkStart w:id="223" w:name="_Toc21295"/>
      <w:bookmarkStart w:id="224" w:name="_Toc12898"/>
      <w:bookmarkStart w:id="225" w:name="_Toc211850949"/>
      <w:r>
        <w:rPr>
          <w:rFonts w:hint="eastAsia" w:cs="宋体"/>
          <w:bCs/>
          <w:szCs w:val="36"/>
        </w:rPr>
        <w:t xml:space="preserve">第三篇  </w:t>
      </w:r>
      <w:bookmarkEnd w:id="177"/>
      <w:r>
        <w:rPr>
          <w:rFonts w:hint="eastAsia" w:cs="宋体"/>
          <w:bCs/>
          <w:szCs w:val="36"/>
        </w:rPr>
        <w:t>项目商务需求</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38CCA3D0">
      <w:pPr>
        <w:snapToGrid w:val="0"/>
        <w:spacing w:line="400" w:lineRule="exact"/>
        <w:ind w:firstLine="480" w:firstLineChars="200"/>
        <w:rPr>
          <w:rFonts w:ascii="宋体" w:hAnsi="宋体" w:cs="宋体"/>
          <w:sz w:val="24"/>
          <w:szCs w:val="24"/>
        </w:rPr>
      </w:pPr>
      <w:bookmarkStart w:id="226" w:name="_Toc344475120"/>
      <w:bookmarkStart w:id="227" w:name="_Toc76462328"/>
      <w:r>
        <w:rPr>
          <w:rFonts w:hint="eastAsia" w:ascii="宋体" w:hAnsi="宋体" w:cs="宋体"/>
          <w:sz w:val="24"/>
          <w:szCs w:val="24"/>
        </w:rPr>
        <w:t>“※”标注的商务需求为符合性审查中的实质性要求，响应文件若不满足按无效响应处理。</w:t>
      </w:r>
    </w:p>
    <w:bookmarkEnd w:id="226"/>
    <w:bookmarkEnd w:id="227"/>
    <w:p w14:paraId="486565C7">
      <w:pPr>
        <w:keepNext/>
        <w:keepLines/>
        <w:adjustRightInd w:val="0"/>
        <w:snapToGrid w:val="0"/>
        <w:spacing w:line="400" w:lineRule="exact"/>
        <w:jc w:val="left"/>
        <w:outlineLvl w:val="1"/>
        <w:rPr>
          <w:rFonts w:ascii="宋体" w:hAnsi="宋体"/>
          <w:b/>
          <w:sz w:val="24"/>
        </w:rPr>
      </w:pPr>
      <w:bookmarkStart w:id="228" w:name="_Toc97881378"/>
      <w:bookmarkStart w:id="229" w:name="_Toc101446110"/>
      <w:bookmarkStart w:id="230" w:name="_Toc31765"/>
      <w:bookmarkStart w:id="231" w:name="_Toc344475121"/>
      <w:bookmarkStart w:id="232" w:name="_Toc76462329"/>
      <w:r>
        <w:rPr>
          <w:rFonts w:hint="eastAsia" w:ascii="宋体" w:hAnsi="宋体"/>
          <w:sz w:val="24"/>
          <w:szCs w:val="24"/>
        </w:rPr>
        <w:t>※</w:t>
      </w:r>
      <w:r>
        <w:rPr>
          <w:rFonts w:hint="eastAsia" w:ascii="宋体" w:hAnsi="宋体"/>
          <w:b/>
          <w:sz w:val="24"/>
        </w:rPr>
        <w:t>一、</w:t>
      </w:r>
      <w:bookmarkEnd w:id="228"/>
      <w:bookmarkEnd w:id="229"/>
      <w:r>
        <w:rPr>
          <w:rFonts w:hint="eastAsia" w:ascii="宋体" w:hAnsi="宋体"/>
          <w:b/>
          <w:sz w:val="24"/>
        </w:rPr>
        <w:t>计划时间、实施地点及验收方式</w:t>
      </w:r>
      <w:bookmarkEnd w:id="230"/>
    </w:p>
    <w:p w14:paraId="48892F09">
      <w:pPr>
        <w:snapToGrid w:val="0"/>
        <w:spacing w:line="400" w:lineRule="exact"/>
        <w:ind w:firstLine="540"/>
        <w:rPr>
          <w:rFonts w:ascii="宋体" w:hAnsi="宋体"/>
          <w:sz w:val="24"/>
          <w:szCs w:val="24"/>
        </w:rPr>
      </w:pPr>
      <w:r>
        <w:rPr>
          <w:rFonts w:hint="eastAsia" w:ascii="宋体" w:hAnsi="宋体"/>
          <w:sz w:val="24"/>
          <w:szCs w:val="24"/>
        </w:rPr>
        <w:t>（一）计划时间：</w:t>
      </w:r>
      <w:r>
        <w:rPr>
          <w:rFonts w:hint="eastAsia" w:ascii="宋体" w:hAnsi="宋体" w:cs="宋体"/>
          <w:color w:val="000000" w:themeColor="text1"/>
          <w:sz w:val="24"/>
          <w:szCs w:val="24"/>
          <w14:textFill>
            <w14:solidFill>
              <w14:schemeClr w14:val="tx1"/>
            </w14:solidFill>
          </w14:textFill>
        </w:rPr>
        <w:t>90个日历日内完工并经竣工验收合格，具体开工日期以采购人下达的开工令为准（若供应商有更优承诺，按更优承诺执行）。</w:t>
      </w:r>
    </w:p>
    <w:p w14:paraId="7A217AFE">
      <w:pPr>
        <w:snapToGrid w:val="0"/>
        <w:spacing w:line="400" w:lineRule="exact"/>
        <w:ind w:firstLine="540"/>
        <w:rPr>
          <w:rFonts w:ascii="宋体" w:hAnsi="宋体"/>
          <w:sz w:val="24"/>
          <w:szCs w:val="24"/>
        </w:rPr>
      </w:pPr>
      <w:r>
        <w:rPr>
          <w:rFonts w:hint="eastAsia" w:ascii="宋体" w:hAnsi="宋体"/>
          <w:sz w:val="24"/>
          <w:szCs w:val="24"/>
        </w:rPr>
        <w:t>（二）实施地点：</w:t>
      </w:r>
      <w:r>
        <w:rPr>
          <w:rFonts w:hint="eastAsia" w:ascii="宋体" w:hAnsi="宋体"/>
          <w:sz w:val="24"/>
          <w:szCs w:val="24"/>
          <w:lang w:eastAsia="zh-CN"/>
        </w:rPr>
        <w:t>重庆市璧山区消防救援支队</w:t>
      </w:r>
      <w:r>
        <w:rPr>
          <w:rFonts w:hint="eastAsia" w:ascii="宋体" w:hAnsi="宋体"/>
          <w:sz w:val="24"/>
          <w:szCs w:val="24"/>
        </w:rPr>
        <w:t>，采购人指定地点。</w:t>
      </w:r>
    </w:p>
    <w:p w14:paraId="5CE7C94F">
      <w:pPr>
        <w:snapToGrid w:val="0"/>
        <w:spacing w:line="400" w:lineRule="exact"/>
        <w:ind w:firstLine="540"/>
        <w:rPr>
          <w:rFonts w:ascii="宋体" w:hAnsi="宋体"/>
          <w:sz w:val="24"/>
          <w:szCs w:val="24"/>
        </w:rPr>
      </w:pPr>
      <w:r>
        <w:rPr>
          <w:rFonts w:hint="eastAsia" w:ascii="宋体" w:hAnsi="宋体"/>
          <w:sz w:val="24"/>
          <w:szCs w:val="24"/>
        </w:rPr>
        <w:t>（三）验收方式：</w:t>
      </w:r>
    </w:p>
    <w:p w14:paraId="2FA831F6">
      <w:pPr>
        <w:snapToGrid w:val="0"/>
        <w:spacing w:line="400" w:lineRule="exact"/>
        <w:ind w:firstLine="540"/>
        <w:rPr>
          <w:rFonts w:ascii="宋体" w:hAnsi="宋体"/>
          <w:sz w:val="24"/>
          <w:szCs w:val="24"/>
        </w:rPr>
      </w:pPr>
      <w:r>
        <w:rPr>
          <w:rFonts w:hint="eastAsia" w:ascii="宋体" w:hAnsi="宋体"/>
          <w:sz w:val="24"/>
          <w:szCs w:val="24"/>
        </w:rPr>
        <w:t>1.验收单位：</w:t>
      </w:r>
      <w:bookmarkStart w:id="233" w:name="OLE_LINK16"/>
      <w:r>
        <w:rPr>
          <w:rFonts w:hint="eastAsia" w:ascii="宋体" w:hAnsi="宋体"/>
          <w:sz w:val="24"/>
          <w:szCs w:val="24"/>
        </w:rPr>
        <w:t>采购人组织监理及相关部门等共同验收。如验收不合格，对采购人造成损失的，成交供应商应承担修复、重做、赔偿损失等责任，采购人不再另行付费。</w:t>
      </w:r>
    </w:p>
    <w:bookmarkEnd w:id="233"/>
    <w:p w14:paraId="722D1000">
      <w:pPr>
        <w:snapToGrid w:val="0"/>
        <w:spacing w:line="400" w:lineRule="exact"/>
        <w:ind w:firstLine="540"/>
        <w:rPr>
          <w:rFonts w:ascii="宋体" w:hAnsi="宋体"/>
          <w:sz w:val="24"/>
          <w:szCs w:val="24"/>
        </w:rPr>
      </w:pPr>
      <w:r>
        <w:rPr>
          <w:rFonts w:hint="eastAsia" w:ascii="宋体" w:hAnsi="宋体"/>
          <w:sz w:val="24"/>
          <w:szCs w:val="24"/>
        </w:rPr>
        <w:t>注：设备和材料到货后，成交供应商应通知采购人对设备和材料进行验收，经验收合格后才能进行后续施工工作。</w:t>
      </w:r>
    </w:p>
    <w:p w14:paraId="2E1BF97C">
      <w:pPr>
        <w:snapToGrid w:val="0"/>
        <w:spacing w:line="400" w:lineRule="exact"/>
        <w:ind w:firstLine="540"/>
        <w:rPr>
          <w:rFonts w:ascii="宋体" w:hAnsi="宋体"/>
          <w:sz w:val="24"/>
          <w:szCs w:val="24"/>
        </w:rPr>
      </w:pPr>
      <w:r>
        <w:rPr>
          <w:rFonts w:hint="eastAsia" w:ascii="宋体" w:hAnsi="宋体"/>
          <w:sz w:val="24"/>
          <w:szCs w:val="24"/>
        </w:rPr>
        <w:t>2.</w:t>
      </w:r>
      <w:bookmarkStart w:id="234" w:name="OLE_LINK18"/>
      <w:bookmarkStart w:id="235" w:name="OLE_LINK17"/>
      <w:r>
        <w:rPr>
          <w:rFonts w:hint="eastAsia" w:ascii="宋体" w:hAnsi="宋体"/>
          <w:sz w:val="24"/>
          <w:szCs w:val="24"/>
        </w:rPr>
        <w:t>验收标准：满足施工设计图纸技术要求，施工过程应遵照现行国家和重庆市施工质量标准以及相关的规程、规范进行施工，满足竞争性磋商文件及合同约定的技术要求，达到国家、重庆市及行业现行规范及验收合格标准，并应确保所有改造部位功能完备、安全可靠、观感良好，与原有建筑及周边环境协调一致，严格按照有关验收程序进行过程检查及验收。</w:t>
      </w:r>
      <w:bookmarkEnd w:id="234"/>
      <w:bookmarkEnd w:id="235"/>
    </w:p>
    <w:p w14:paraId="69B410D0">
      <w:pPr>
        <w:snapToGrid w:val="0"/>
        <w:spacing w:line="400" w:lineRule="exact"/>
        <w:ind w:firstLine="540"/>
        <w:rPr>
          <w:rFonts w:ascii="宋体" w:hAnsi="宋体"/>
          <w:sz w:val="24"/>
          <w:szCs w:val="24"/>
        </w:rPr>
      </w:pPr>
      <w:r>
        <w:rPr>
          <w:rFonts w:hint="eastAsia" w:ascii="宋体" w:hAnsi="宋体"/>
          <w:sz w:val="24"/>
          <w:szCs w:val="24"/>
        </w:rPr>
        <w:t>3.验收解决：采购人对工程质量提出异议要求检验或检测的：检验/检测结果为合格的，检测相关费用由采购人承担。检验/检测结果为不合格或达不到验收标准的，其产生的费用由成交供应商承担。</w:t>
      </w:r>
    </w:p>
    <w:p w14:paraId="2D3EFA64">
      <w:pPr>
        <w:snapToGrid w:val="0"/>
        <w:spacing w:line="400" w:lineRule="exact"/>
        <w:ind w:firstLine="540"/>
        <w:rPr>
          <w:rFonts w:ascii="宋体" w:hAnsi="宋体"/>
          <w:sz w:val="24"/>
          <w:szCs w:val="24"/>
        </w:rPr>
      </w:pPr>
      <w:r>
        <w:rPr>
          <w:rFonts w:hint="eastAsia" w:ascii="宋体" w:hAnsi="宋体"/>
          <w:sz w:val="24"/>
          <w:szCs w:val="24"/>
        </w:rPr>
        <w:t>4.成交供应商须和采购人等相关参建方一起做好施工全过程中相关工程资料的留存并报送建设方及监理方等存档，须有施工现场的施工前后及期间相应节点的对比影像资料（特别是隐蔽工程及暂列金额工程）用于后期结算。因缺少影像资料造成无法办理相关工程内容结算的损失由成交供应商自行承担。</w:t>
      </w:r>
    </w:p>
    <w:p w14:paraId="0FC67FD9">
      <w:pPr>
        <w:keepNext/>
        <w:keepLines/>
        <w:adjustRightInd w:val="0"/>
        <w:snapToGrid w:val="0"/>
        <w:spacing w:line="400" w:lineRule="exact"/>
        <w:jc w:val="left"/>
        <w:outlineLvl w:val="1"/>
        <w:rPr>
          <w:rFonts w:ascii="宋体" w:hAnsi="宋体"/>
          <w:b/>
          <w:sz w:val="24"/>
        </w:rPr>
      </w:pPr>
      <w:bookmarkStart w:id="236" w:name="_Toc30854"/>
      <w:r>
        <w:rPr>
          <w:rFonts w:hint="eastAsia" w:ascii="宋体" w:hAnsi="宋体"/>
          <w:sz w:val="24"/>
          <w:szCs w:val="24"/>
        </w:rPr>
        <w:t>※</w:t>
      </w:r>
      <w:r>
        <w:rPr>
          <w:rFonts w:hint="eastAsia" w:ascii="宋体" w:hAnsi="宋体"/>
          <w:b/>
          <w:sz w:val="24"/>
        </w:rPr>
        <w:t>二、质量保证及售后服务</w:t>
      </w:r>
      <w:bookmarkEnd w:id="236"/>
    </w:p>
    <w:p w14:paraId="2D90DB7D">
      <w:pPr>
        <w:snapToGrid w:val="0"/>
        <w:spacing w:line="400" w:lineRule="exact"/>
        <w:ind w:firstLine="540"/>
        <w:rPr>
          <w:rFonts w:ascii="宋体" w:hAnsi="宋体"/>
          <w:sz w:val="24"/>
          <w:szCs w:val="24"/>
        </w:rPr>
      </w:pPr>
      <w:r>
        <w:rPr>
          <w:rFonts w:hint="eastAsia" w:ascii="宋体" w:hAnsi="宋体"/>
          <w:sz w:val="24"/>
          <w:szCs w:val="24"/>
        </w:rPr>
        <w:t>（一）工程设施设备和材料质量总体要求：工程相关设施设备和材料必须货真价实，符合环保节能要求，假冒伪劣产品不得参与政府采购；设施设备和材料的各项手续、文件必须真实完整有效；其他材料各项质量指标必须符合国家技术质量监督机构及有关管理部门和行业的规定和标准。</w:t>
      </w:r>
    </w:p>
    <w:p w14:paraId="41F1347E">
      <w:pPr>
        <w:snapToGrid w:val="0"/>
        <w:spacing w:line="400" w:lineRule="exact"/>
        <w:ind w:firstLine="540"/>
        <w:rPr>
          <w:rFonts w:ascii="宋体" w:hAnsi="宋体"/>
          <w:sz w:val="24"/>
          <w:szCs w:val="24"/>
        </w:rPr>
      </w:pPr>
      <w:r>
        <w:rPr>
          <w:rFonts w:hint="eastAsia" w:ascii="宋体" w:hAnsi="宋体"/>
          <w:sz w:val="24"/>
          <w:szCs w:val="24"/>
        </w:rPr>
        <w:t>（二）施工过程应遵照现行国家有关及规程规范进行施工，按照有关要求进行检查验收。供应商提供的所有施工设施设备和材料应有完善的质量检测手段和质量保证体系，必须符合国家标准和行业标准。</w:t>
      </w:r>
    </w:p>
    <w:p w14:paraId="5A96995C">
      <w:pPr>
        <w:snapToGrid w:val="0"/>
        <w:spacing w:line="400" w:lineRule="exact"/>
        <w:ind w:firstLine="540"/>
        <w:rPr>
          <w:rFonts w:ascii="宋体" w:hAnsi="宋体"/>
          <w:sz w:val="24"/>
          <w:szCs w:val="24"/>
        </w:rPr>
      </w:pPr>
      <w:r>
        <w:rPr>
          <w:rFonts w:hint="eastAsia" w:ascii="宋体" w:hAnsi="宋体"/>
          <w:sz w:val="24"/>
          <w:szCs w:val="24"/>
        </w:rPr>
        <w:t>（三）供应商保证项目施工期间的安全；项目所需货物到达采购人现场所在地完好无损，如有缺漏、损坏，由供应商负责调换、补齐或赔偿。</w:t>
      </w:r>
    </w:p>
    <w:p w14:paraId="5653FDD4">
      <w:pPr>
        <w:snapToGrid w:val="0"/>
        <w:spacing w:line="400" w:lineRule="exact"/>
        <w:ind w:firstLine="540"/>
        <w:rPr>
          <w:rFonts w:ascii="宋体" w:hAnsi="宋体"/>
          <w:sz w:val="24"/>
          <w:szCs w:val="24"/>
        </w:rPr>
      </w:pPr>
      <w:r>
        <w:rPr>
          <w:rFonts w:hint="eastAsia" w:ascii="宋体" w:hAnsi="宋体"/>
          <w:sz w:val="24"/>
          <w:szCs w:val="24"/>
        </w:rPr>
        <w:t>（四）工程完工后，按国家相关标准验收程序和规程进行验收，验收合格后双方认可签字。验收合格条件如下：</w:t>
      </w:r>
    </w:p>
    <w:p w14:paraId="01EA174E">
      <w:pPr>
        <w:snapToGrid w:val="0"/>
        <w:spacing w:line="400" w:lineRule="exact"/>
        <w:ind w:firstLine="540"/>
        <w:rPr>
          <w:rFonts w:ascii="宋体" w:hAnsi="宋体"/>
          <w:sz w:val="24"/>
          <w:szCs w:val="24"/>
        </w:rPr>
      </w:pPr>
      <w:r>
        <w:rPr>
          <w:rFonts w:hint="eastAsia" w:ascii="宋体" w:hAnsi="宋体"/>
          <w:sz w:val="24"/>
          <w:szCs w:val="24"/>
        </w:rPr>
        <w:t>1.项目施工所需货物品种、规格、数量、技术参数等与采购合同一致，性能指标达到国家现行标准；项目施工标准达到国家现行标准及采购人要求。</w:t>
      </w:r>
    </w:p>
    <w:p w14:paraId="2EE3535E">
      <w:pPr>
        <w:snapToGrid w:val="0"/>
        <w:spacing w:line="400" w:lineRule="exact"/>
        <w:ind w:firstLine="540"/>
        <w:rPr>
          <w:rFonts w:ascii="宋体" w:hAnsi="宋体"/>
          <w:sz w:val="24"/>
          <w:szCs w:val="24"/>
        </w:rPr>
      </w:pPr>
      <w:r>
        <w:rPr>
          <w:rFonts w:hint="eastAsia" w:ascii="宋体" w:hAnsi="宋体"/>
          <w:sz w:val="24"/>
          <w:szCs w:val="24"/>
        </w:rPr>
        <w:t>2.项目所需货物技术资料、合格证等资料齐全。</w:t>
      </w:r>
    </w:p>
    <w:p w14:paraId="5557884C">
      <w:pPr>
        <w:snapToGrid w:val="0"/>
        <w:spacing w:line="400" w:lineRule="exact"/>
        <w:ind w:firstLine="540"/>
        <w:rPr>
          <w:rFonts w:ascii="宋体" w:hAnsi="宋体"/>
          <w:sz w:val="24"/>
          <w:szCs w:val="24"/>
        </w:rPr>
      </w:pPr>
      <w:r>
        <w:rPr>
          <w:rFonts w:hint="eastAsia" w:ascii="宋体" w:hAnsi="宋体"/>
          <w:sz w:val="24"/>
          <w:szCs w:val="24"/>
        </w:rPr>
        <w:t>3.在规定时间内完工并验收，并经采购人确认。</w:t>
      </w:r>
    </w:p>
    <w:p w14:paraId="6D13FF45">
      <w:pPr>
        <w:snapToGrid w:val="0"/>
        <w:spacing w:line="400" w:lineRule="exact"/>
        <w:ind w:firstLine="540"/>
        <w:rPr>
          <w:rFonts w:ascii="宋体" w:hAnsi="宋体"/>
          <w:sz w:val="24"/>
          <w:szCs w:val="24"/>
        </w:rPr>
      </w:pPr>
      <w:r>
        <w:rPr>
          <w:rFonts w:hint="eastAsia" w:ascii="宋体" w:hAnsi="宋体"/>
          <w:sz w:val="24"/>
          <w:szCs w:val="24"/>
        </w:rPr>
        <w:t>（五）供应商使用的项目所需货物及材料未达到磋商文件规定要求，且对采购人造成损失的，由供应商承担一切责任，并赔偿所造成的损失。</w:t>
      </w:r>
    </w:p>
    <w:p w14:paraId="20A36B2C">
      <w:pPr>
        <w:snapToGrid w:val="0"/>
        <w:spacing w:line="400" w:lineRule="exact"/>
        <w:ind w:firstLine="540"/>
        <w:rPr>
          <w:rFonts w:ascii="宋体" w:hAnsi="宋体"/>
          <w:sz w:val="24"/>
          <w:szCs w:val="24"/>
        </w:rPr>
      </w:pPr>
      <w:r>
        <w:rPr>
          <w:rFonts w:hint="eastAsia" w:ascii="宋体" w:hAnsi="宋体"/>
          <w:sz w:val="24"/>
          <w:szCs w:val="24"/>
        </w:rPr>
        <w:t>（六）工程保修期内，所有设施设备维护和施工质量缺陷维修均为现场服务，由此产生的费用均不再收取。成交供应商应在接到采购人通知后24小时内到现场进行维修维护，如质量保证期内成交供应商未按时间要求对工程质量问题进行维修整改，采购人有权从履约担保金中安排资金用于工程维修维护及赔偿，如有不足，将通过法律途径向成交供应商追偿。</w:t>
      </w:r>
    </w:p>
    <w:p w14:paraId="3F4E0991">
      <w:pPr>
        <w:keepNext/>
        <w:keepLines/>
        <w:adjustRightInd w:val="0"/>
        <w:snapToGrid w:val="0"/>
        <w:spacing w:line="400" w:lineRule="exact"/>
        <w:jc w:val="left"/>
        <w:outlineLvl w:val="1"/>
        <w:rPr>
          <w:rFonts w:ascii="宋体" w:hAnsi="宋体"/>
          <w:b/>
          <w:sz w:val="24"/>
        </w:rPr>
      </w:pPr>
      <w:bookmarkStart w:id="237" w:name="_Toc101446111"/>
      <w:bookmarkStart w:id="238" w:name="_Toc22439"/>
      <w:r>
        <w:rPr>
          <w:rFonts w:hint="eastAsia" w:ascii="宋体" w:hAnsi="宋体"/>
          <w:sz w:val="24"/>
          <w:szCs w:val="24"/>
        </w:rPr>
        <w:t>※</w:t>
      </w:r>
      <w:r>
        <w:rPr>
          <w:rFonts w:hint="eastAsia" w:ascii="宋体" w:hAnsi="宋体"/>
          <w:b/>
          <w:sz w:val="24"/>
        </w:rPr>
        <w:t>三、</w:t>
      </w:r>
      <w:bookmarkEnd w:id="231"/>
      <w:r>
        <w:rPr>
          <w:rFonts w:hint="eastAsia" w:ascii="宋体" w:hAnsi="宋体"/>
          <w:b/>
          <w:sz w:val="24"/>
        </w:rPr>
        <w:t>报价要求</w:t>
      </w:r>
      <w:bookmarkEnd w:id="232"/>
      <w:bookmarkEnd w:id="237"/>
      <w:bookmarkEnd w:id="238"/>
    </w:p>
    <w:p w14:paraId="481ABE6C">
      <w:pPr>
        <w:snapToGrid w:val="0"/>
        <w:spacing w:line="400" w:lineRule="exact"/>
        <w:ind w:firstLine="540"/>
        <w:rPr>
          <w:rFonts w:ascii="宋体" w:hAnsi="宋体"/>
          <w:sz w:val="24"/>
          <w:szCs w:val="24"/>
        </w:rPr>
      </w:pPr>
      <w:r>
        <w:rPr>
          <w:rFonts w:hint="eastAsia" w:ascii="宋体" w:hAnsi="宋体"/>
          <w:sz w:val="24"/>
          <w:szCs w:val="24"/>
        </w:rPr>
        <w:t>（一）本工程采用</w:t>
      </w:r>
      <w:r>
        <w:rPr>
          <w:rFonts w:hint="eastAsia" w:ascii="宋体" w:hAnsi="宋体"/>
          <w:sz w:val="24"/>
          <w:szCs w:val="24"/>
          <w:lang w:val="zh-CN"/>
        </w:rPr>
        <w:t>工程量清单计价，固定综合单价</w:t>
      </w:r>
      <w:r>
        <w:rPr>
          <w:rFonts w:hint="eastAsia" w:ascii="宋体" w:hAnsi="宋体"/>
          <w:sz w:val="24"/>
          <w:szCs w:val="24"/>
        </w:rPr>
        <w:t>。</w:t>
      </w:r>
    </w:p>
    <w:p w14:paraId="24DBC7DA">
      <w:pPr>
        <w:snapToGrid w:val="0"/>
        <w:spacing w:line="400" w:lineRule="exact"/>
        <w:ind w:firstLine="540"/>
        <w:rPr>
          <w:rFonts w:ascii="宋体" w:hAnsi="宋体"/>
          <w:sz w:val="24"/>
          <w:szCs w:val="24"/>
        </w:rPr>
      </w:pPr>
      <w:r>
        <w:rPr>
          <w:rFonts w:hint="eastAsia" w:ascii="宋体" w:hAnsi="宋体"/>
          <w:sz w:val="24"/>
          <w:szCs w:val="24"/>
        </w:rPr>
        <w:t>1.磋商报价范围：各供应商应按照磋商文件的施工内容范围的规定，对采购人提供的工程量清单，结合施工设计图纸的要求予以自主报价，</w:t>
      </w:r>
      <w:r>
        <w:rPr>
          <w:rFonts w:hint="eastAsia" w:ascii="宋体" w:hAnsi="宋体"/>
          <w:sz w:val="24"/>
          <w:szCs w:val="24"/>
          <w:lang w:val="zh-CN"/>
        </w:rPr>
        <w:t>按要求填写相应清单表格</w:t>
      </w:r>
      <w:r>
        <w:rPr>
          <w:rFonts w:hint="eastAsia" w:ascii="宋体" w:hAnsi="宋体"/>
          <w:sz w:val="24"/>
          <w:szCs w:val="24"/>
        </w:rPr>
        <w:t>。工程量清单中的工程量是用作磋商报价的估算工程量，不作为最终结算的工程量。用于结算的工程量是供应商实际完成的工程量，并按有关规定计量的合格工程量。磋商过程中二次报价时，供应商第二次报价按照全部工程总价进行响应报价。报价时，供应商应充分考虑施工区域、作业难度、施工难度、现场文明施工要求、质量要求、采购人各项管理规定等因素。</w:t>
      </w:r>
    </w:p>
    <w:p w14:paraId="34FE9B46">
      <w:pPr>
        <w:snapToGrid w:val="0"/>
        <w:spacing w:line="400" w:lineRule="exact"/>
        <w:ind w:firstLine="540"/>
        <w:rPr>
          <w:rFonts w:hint="eastAsia" w:ascii="宋体" w:hAnsi="宋体"/>
          <w:sz w:val="24"/>
          <w:szCs w:val="24"/>
        </w:rPr>
      </w:pPr>
      <w:r>
        <w:rPr>
          <w:rFonts w:hint="eastAsia" w:ascii="宋体" w:hAnsi="宋体"/>
          <w:sz w:val="24"/>
          <w:szCs w:val="24"/>
        </w:rPr>
        <w:t>2.报价原则：由供应商以磋商文件、合同条件、工程量清单、本次磋商范围内的施工图纸内容、国家技术和经济规范及标准，按照工程量清单及说明、《建设工程工程量清单计价标准》（GB/T50500-2024）、《重庆市建设工程工程量清单计价实施细则》(JJYJ50-003-2026)；定额执行《重庆市装饰装修工程计价定额》（CQZSDE-2018）、《重庆市房屋修缮工程计价定额》（CQFWXSDE-2018）、《重庆市安装工程计价定额》（CQAZDE-2018）、《重庆市建筑工程计价定额》（CQJZDE-2018）、《重庆市建设工程费用定额》（CQFYDE-2018）及其配套文件等为依据，由供应商结合自身实力、市场行情自主合理报价。磋商报价应包括完成本工程项目的人工费、材料费、机械费、企业管理费、利润、风险费用、措施费（含安全文明施工费）、税金等所有费用。采购人除此以外不支付其它费用。</w:t>
      </w:r>
    </w:p>
    <w:p w14:paraId="0C133AE0">
      <w:pPr>
        <w:snapToGrid w:val="0"/>
        <w:spacing w:line="400" w:lineRule="exact"/>
        <w:ind w:firstLine="540"/>
        <w:rPr>
          <w:rFonts w:hint="eastAsia" w:ascii="宋体" w:hAnsi="宋体"/>
          <w:sz w:val="24"/>
          <w:szCs w:val="24"/>
        </w:rPr>
      </w:pPr>
      <w:r>
        <w:rPr>
          <w:rFonts w:hint="eastAsia" w:ascii="宋体" w:hAnsi="宋体"/>
          <w:sz w:val="24"/>
          <w:szCs w:val="24"/>
        </w:rPr>
        <w:t>3.</w:t>
      </w:r>
      <w:bookmarkStart w:id="239" w:name="OLE_LINK19"/>
      <w:bookmarkStart w:id="240" w:name="OLE_LINK20"/>
      <w:r>
        <w:rPr>
          <w:rFonts w:hint="eastAsia" w:ascii="宋体" w:hAnsi="宋体"/>
          <w:sz w:val="24"/>
          <w:szCs w:val="24"/>
        </w:rPr>
        <w:t>本工程各分部分项工程量清单子项不论其对应的项目特征和工作内容是否描述完整，都将被认为已包括</w:t>
      </w:r>
      <w:bookmarkStart w:id="241" w:name="OLE_LINK21"/>
      <w:bookmarkStart w:id="242" w:name="OLE_LINK22"/>
      <w:r>
        <w:rPr>
          <w:rFonts w:hint="eastAsia" w:ascii="宋体" w:hAnsi="宋体"/>
          <w:sz w:val="24"/>
          <w:szCs w:val="24"/>
        </w:rPr>
        <w:t>《建设工程工程量清单计价标准》（GB/T50500-2024）</w:t>
      </w:r>
      <w:bookmarkEnd w:id="241"/>
      <w:bookmarkEnd w:id="242"/>
      <w:r>
        <w:rPr>
          <w:rFonts w:hint="eastAsia" w:ascii="宋体" w:hAnsi="宋体"/>
          <w:sz w:val="24"/>
          <w:szCs w:val="24"/>
        </w:rPr>
        <w:t>、《重庆市建设工程工程量清单计价实施细则》(JJYJ50-003-2026)；定额执行《重庆市装饰装修工程计价定额》（CQZSDE-2018）、《重庆市房屋修缮工程计价定额》（CQFWXSDE-2018）、《重庆市安装工程计价定额》（CQAZDE-2018）、《重庆市建筑工程计价定额》（CQJZDE-2018）、《重庆市建设工程费用定额》（CQFYDE-2018）及其配套文件中相应项目编码和项目名称及施工图纸、相关规范、标准、政策性文件、规定、限制和禁止使用通告等所有工程内容及完成此工作内容而必须的各种主要、辅助工作；综合单价应包括完成该子项所需的人工费、材料费、机械费、企业管理费、利润、风险费用；施工组织措施费包干使用，结算时不作调整；施工技术措施费按实结算；</w:t>
      </w:r>
      <w:bookmarkStart w:id="243" w:name="OLE_LINK35"/>
      <w:r>
        <w:rPr>
          <w:rFonts w:hint="eastAsia" w:ascii="宋体" w:hAnsi="宋体"/>
          <w:sz w:val="24"/>
          <w:szCs w:val="24"/>
        </w:rPr>
        <w:t>安全文明施工费应按照《重庆市建设工程费用定额》（CQFYDE-2018）及管理政策规定及《重庆市住房和城乡建设委员会关于修订发布《重庆市建设工程安全文明施工费计取及使用管理规定》的通知》（渝建管〔2024〕38号）计取</w:t>
      </w:r>
      <w:bookmarkEnd w:id="243"/>
      <w:r>
        <w:rPr>
          <w:rFonts w:hint="eastAsia" w:ascii="宋体" w:hAnsi="宋体"/>
          <w:sz w:val="24"/>
          <w:szCs w:val="24"/>
        </w:rPr>
        <w:t>；税金按照《重庆市城乡建设委员会关于建筑营业税改征增值税调整建设工程计价依据的通知》（渝建〔2016〕35号）和《重庆市住房和城乡建设委员会关于适用增值税新税率调整建设工程计价依据的通知》（渝建〔2019〕143号）执行。成交后采购人无论任何因素不在对综合单价、施工组织措施费进行调整。磋商报价由分部分项工程费、措施项目费（含安全文明施工费）、其他项目费（暂估价和暂列金额）、税金组成。</w:t>
      </w:r>
    </w:p>
    <w:bookmarkEnd w:id="239"/>
    <w:bookmarkEnd w:id="240"/>
    <w:p w14:paraId="00855354">
      <w:pPr>
        <w:snapToGrid w:val="0"/>
        <w:spacing w:line="400" w:lineRule="exact"/>
        <w:ind w:firstLine="540"/>
        <w:rPr>
          <w:rFonts w:ascii="宋体" w:hAnsi="宋体"/>
          <w:sz w:val="24"/>
          <w:szCs w:val="24"/>
        </w:rPr>
      </w:pPr>
      <w:r>
        <w:rPr>
          <w:rFonts w:hint="eastAsia" w:ascii="宋体" w:hAnsi="宋体"/>
          <w:sz w:val="24"/>
          <w:szCs w:val="24"/>
        </w:rPr>
        <w:t>4.如发现工程量清单中的数量与施工图纸中数量不一致，应在磋商活动开始前书面通知采购人进行核查，若有更正调整，采购人将以补遗文件的形式予以更正，否则，应以工程量清单中列出的数量为准。</w:t>
      </w:r>
    </w:p>
    <w:p w14:paraId="127202D9">
      <w:pPr>
        <w:snapToGrid w:val="0"/>
        <w:spacing w:line="400" w:lineRule="exact"/>
        <w:ind w:firstLine="540"/>
        <w:rPr>
          <w:rFonts w:ascii="宋体" w:hAnsi="宋体"/>
          <w:sz w:val="24"/>
          <w:szCs w:val="24"/>
        </w:rPr>
      </w:pPr>
      <w:r>
        <w:rPr>
          <w:rFonts w:hint="eastAsia" w:ascii="宋体" w:hAnsi="宋体"/>
          <w:sz w:val="24"/>
          <w:szCs w:val="24"/>
        </w:rPr>
        <w:t>5.采购人在工程量清单中所列出的专业工程暂估价、暂列金额，供应商不得修改。否则视为对磋商文件不作实质性响应，其响应文件按无效处理。</w:t>
      </w:r>
    </w:p>
    <w:p w14:paraId="22243FBD">
      <w:pPr>
        <w:snapToGrid w:val="0"/>
        <w:spacing w:line="400" w:lineRule="exact"/>
        <w:ind w:firstLine="540"/>
        <w:rPr>
          <w:rFonts w:ascii="宋体" w:hAnsi="宋体"/>
          <w:sz w:val="24"/>
          <w:szCs w:val="24"/>
        </w:rPr>
      </w:pPr>
      <w:r>
        <w:rPr>
          <w:rFonts w:hint="eastAsia" w:ascii="宋体" w:hAnsi="宋体"/>
          <w:sz w:val="24"/>
          <w:szCs w:val="24"/>
        </w:rPr>
        <w:t>6.工程量清单中的项、量、综合单价：</w:t>
      </w:r>
    </w:p>
    <w:p w14:paraId="6AE72369">
      <w:pPr>
        <w:snapToGrid w:val="0"/>
        <w:spacing w:line="400" w:lineRule="exact"/>
        <w:ind w:firstLine="540"/>
        <w:rPr>
          <w:rFonts w:ascii="宋体" w:hAnsi="宋体"/>
          <w:sz w:val="24"/>
          <w:szCs w:val="24"/>
        </w:rPr>
      </w:pPr>
      <w:r>
        <w:rPr>
          <w:rFonts w:hint="eastAsia" w:ascii="宋体" w:hAnsi="宋体"/>
          <w:sz w:val="24"/>
          <w:szCs w:val="24"/>
        </w:rPr>
        <w:t>6.1除采购人对工程量清单内容进行补遗修改外，供应商在编制磋商报价时不得擅自变改采购人提供的分部分项工程量清单中的序号、项目编码、项目名称、项目特征、工程内容、工程量及计量单位，否则视为对磋商文件不作实质性响应，其响应文件按无效处理。</w:t>
      </w:r>
    </w:p>
    <w:p w14:paraId="1DB24482">
      <w:pPr>
        <w:snapToGrid w:val="0"/>
        <w:spacing w:line="400" w:lineRule="exact"/>
        <w:ind w:firstLine="540"/>
        <w:rPr>
          <w:rFonts w:ascii="宋体" w:hAnsi="宋体"/>
          <w:sz w:val="24"/>
          <w:szCs w:val="24"/>
        </w:rPr>
      </w:pPr>
      <w:r>
        <w:rPr>
          <w:rFonts w:hint="eastAsia" w:ascii="宋体" w:hAnsi="宋体"/>
          <w:sz w:val="24"/>
          <w:szCs w:val="24"/>
        </w:rPr>
        <w:t>6.2供应商只有严格按采购人提供的《工程量清单》和本磋商文件中提供的已标价工程量清单表格格式内所有项目进行报价，才能视为总体报价完整，不得出现漏项或增项，否则视为对磋商文件不作实质性响应，其响应文件按无效处理。</w:t>
      </w:r>
    </w:p>
    <w:p w14:paraId="7672D9F6">
      <w:pPr>
        <w:snapToGrid w:val="0"/>
        <w:spacing w:line="400" w:lineRule="exact"/>
        <w:ind w:firstLine="540"/>
        <w:rPr>
          <w:rFonts w:ascii="宋体" w:hAnsi="宋体"/>
          <w:sz w:val="24"/>
          <w:szCs w:val="24"/>
        </w:rPr>
      </w:pPr>
      <w:r>
        <w:rPr>
          <w:rFonts w:hint="eastAsia" w:ascii="宋体" w:hAnsi="宋体"/>
          <w:sz w:val="24"/>
          <w:szCs w:val="24"/>
        </w:rPr>
        <w:t>6.3报价空白或报价为零，则视为该子项的价款已包括在工程量清单其他子目的单价和合价中，成交后必须完成该子项工作内容，采购人不对该子项进行结算与支付；施工过程中，因采购人原因需要对报价空白或报价为零的项目减少实施工程量或不予实施，采购人将按磋商报价时计价原则计算出该项目的综合单价以及相应的规费、措施费和税金，并据此从结算价中扣除。</w:t>
      </w:r>
    </w:p>
    <w:p w14:paraId="6167755C">
      <w:pPr>
        <w:snapToGrid w:val="0"/>
        <w:spacing w:line="400" w:lineRule="exact"/>
        <w:ind w:firstLine="540"/>
        <w:rPr>
          <w:rFonts w:hint="eastAsia" w:ascii="宋体" w:hAnsi="宋体"/>
          <w:sz w:val="24"/>
          <w:szCs w:val="24"/>
        </w:rPr>
      </w:pPr>
      <w:r>
        <w:rPr>
          <w:rFonts w:hint="eastAsia" w:ascii="宋体" w:hAnsi="宋体"/>
          <w:sz w:val="24"/>
          <w:szCs w:val="24"/>
        </w:rPr>
        <w:t>6.4本工程量清单的计量按照</w:t>
      </w:r>
      <w:bookmarkStart w:id="244" w:name="OLE_LINK27"/>
      <w:bookmarkStart w:id="245" w:name="OLE_LINK29"/>
      <w:bookmarkStart w:id="246" w:name="OLE_LINK28"/>
      <w:bookmarkStart w:id="247" w:name="OLE_LINK31"/>
      <w:bookmarkStart w:id="248" w:name="OLE_LINK26"/>
      <w:r>
        <w:rPr>
          <w:rFonts w:hint="eastAsia" w:ascii="宋体" w:hAnsi="宋体"/>
          <w:sz w:val="24"/>
          <w:szCs w:val="24"/>
        </w:rPr>
        <w:t>《建设工程工程量清单计价标准》(GB/T50500-2024)、《重庆市建设工程工程量清单计价实施细则》(JJYJ50-003-2026)</w:t>
      </w:r>
      <w:bookmarkEnd w:id="244"/>
      <w:bookmarkEnd w:id="245"/>
      <w:bookmarkEnd w:id="246"/>
      <w:bookmarkEnd w:id="247"/>
      <w:bookmarkEnd w:id="248"/>
      <w:r>
        <w:rPr>
          <w:rFonts w:hint="eastAsia" w:ascii="宋体" w:hAnsi="宋体"/>
          <w:sz w:val="24"/>
          <w:szCs w:val="24"/>
        </w:rPr>
        <w:t>相应细目的“工程量计算规则”中相应细目的“工程量计算规则”进行计算。除采购人另有规定外，凡超出图纸所示的任何长度、面积、体积、重量等均不予计量和支付。工程数量按设计数量净值计算，凡施工过程中的材料损耗、消耗，无论材料由何方供应，也无论这些损耗是否包含在消耗定额内，均由供应商纳入相关工程量清单中的综合单价内。</w:t>
      </w:r>
    </w:p>
    <w:p w14:paraId="3CAF2B4F">
      <w:pPr>
        <w:snapToGrid w:val="0"/>
        <w:spacing w:line="400" w:lineRule="exact"/>
        <w:ind w:firstLine="540"/>
        <w:rPr>
          <w:rFonts w:ascii="宋体" w:hAnsi="宋体"/>
          <w:sz w:val="24"/>
          <w:szCs w:val="24"/>
        </w:rPr>
      </w:pPr>
      <w:r>
        <w:rPr>
          <w:rFonts w:hint="eastAsia" w:ascii="宋体" w:hAnsi="宋体"/>
          <w:sz w:val="24"/>
          <w:szCs w:val="24"/>
        </w:rPr>
        <w:t>7.材料采购及报价</w:t>
      </w:r>
    </w:p>
    <w:p w14:paraId="5C377992">
      <w:pPr>
        <w:snapToGrid w:val="0"/>
        <w:spacing w:line="400" w:lineRule="exact"/>
        <w:ind w:firstLine="540"/>
        <w:rPr>
          <w:rFonts w:ascii="宋体" w:hAnsi="宋体"/>
          <w:sz w:val="24"/>
          <w:szCs w:val="24"/>
        </w:rPr>
      </w:pPr>
      <w:r>
        <w:rPr>
          <w:rFonts w:hint="eastAsia" w:ascii="宋体" w:hAnsi="宋体"/>
          <w:sz w:val="24"/>
          <w:szCs w:val="24"/>
        </w:rPr>
        <w:t>7.1本项目所需的主要材料（包含但不限于原材料、配件零件及施工材料）应保证质量，供应商须在材料采购前14日内将所采购材料（设备）的厂家、技术参数、品牌、质量等级等指标以书面报告形式通知采购人，采购人收到成交供应商的书面报告后14日内予以确认，经采购人认质、封样（如有必要）后成交供应商方可采购进场。采购人认为成交供应商所使用的材料（设备）的质量品质存在缺陷，或者偏离图纸及规范要求（以设计单位和监理单位书面意见为准），不能适用于本项目，采购人有权要求更换调整，采购人不因更换材料（设备）品牌而调整材料（设备）的价格及其他相关费用；若成交供应商拒绝按采购人要求更换的，则该种材料（设备）将改为第三方供货，采购人将收取成交供应商该类材料（设备）费用的20%作为违约金，并按采购人实际支付的货款从成交供应商的结算价款中予以扣除。</w:t>
      </w:r>
    </w:p>
    <w:p w14:paraId="76CF0070">
      <w:pPr>
        <w:snapToGrid w:val="0"/>
        <w:spacing w:line="400" w:lineRule="exact"/>
        <w:ind w:firstLine="540"/>
        <w:rPr>
          <w:rFonts w:ascii="宋体" w:hAnsi="宋体"/>
          <w:sz w:val="24"/>
          <w:szCs w:val="24"/>
        </w:rPr>
      </w:pPr>
      <w:r>
        <w:rPr>
          <w:rFonts w:hint="eastAsia" w:ascii="宋体" w:hAnsi="宋体"/>
          <w:sz w:val="24"/>
          <w:szCs w:val="24"/>
        </w:rPr>
        <w:t>7.2人工、材料费：人工工日单价按2018计价定额中的定额单价执行，人工参照成交当期</w:t>
      </w:r>
      <w:r>
        <w:rPr>
          <w:rFonts w:hint="eastAsia" w:ascii="宋体" w:hAnsi="宋体" w:cs="宋体"/>
          <w:sz w:val="24"/>
          <w:szCs w:val="24"/>
        </w:rPr>
        <w:t>《</w:t>
      </w:r>
      <w:bookmarkStart w:id="249" w:name="OLE_LINK33"/>
      <w:bookmarkStart w:id="250" w:name="OLE_LINK32"/>
      <w:r>
        <w:rPr>
          <w:rFonts w:hint="eastAsia" w:ascii="宋体" w:hAnsi="宋体" w:cs="宋体"/>
          <w:sz w:val="24"/>
          <w:szCs w:val="24"/>
        </w:rPr>
        <w:t>重庆工程造价信息</w:t>
      </w:r>
      <w:bookmarkEnd w:id="249"/>
      <w:bookmarkEnd w:id="250"/>
      <w:r>
        <w:rPr>
          <w:rFonts w:hint="eastAsia" w:ascii="宋体" w:hAnsi="宋体" w:cs="宋体"/>
          <w:sz w:val="24"/>
          <w:szCs w:val="24"/>
        </w:rPr>
        <w:t>》</w:t>
      </w:r>
      <w:r>
        <w:rPr>
          <w:rFonts w:hint="eastAsia" w:ascii="宋体" w:hAnsi="宋体"/>
          <w:sz w:val="24"/>
          <w:szCs w:val="24"/>
        </w:rPr>
        <w:t>信息价执行，材料价格参照成交当期</w:t>
      </w:r>
      <w:r>
        <w:rPr>
          <w:rFonts w:hint="eastAsia" w:ascii="宋体" w:hAnsi="宋体" w:cs="宋体"/>
          <w:sz w:val="24"/>
          <w:szCs w:val="24"/>
        </w:rPr>
        <w:t>《重庆工程造价信息》</w:t>
      </w:r>
      <w:r>
        <w:rPr>
          <w:rFonts w:hint="eastAsia" w:ascii="宋体" w:hAnsi="宋体"/>
          <w:sz w:val="24"/>
          <w:szCs w:val="24"/>
        </w:rPr>
        <w:t>信息价并结合市场价执行，供应商根据信息价格结合市场行情以及供应商的自身实力自主报价，成交后材料、设备价格均不作调整。</w:t>
      </w:r>
    </w:p>
    <w:p w14:paraId="033AE97C">
      <w:pPr>
        <w:snapToGrid w:val="0"/>
        <w:spacing w:line="400" w:lineRule="exact"/>
        <w:ind w:firstLine="540"/>
        <w:rPr>
          <w:rFonts w:ascii="宋体" w:hAnsi="宋体"/>
          <w:sz w:val="24"/>
          <w:szCs w:val="24"/>
        </w:rPr>
      </w:pPr>
      <w:r>
        <w:rPr>
          <w:rFonts w:hint="eastAsia" w:ascii="宋体" w:hAnsi="宋体"/>
          <w:sz w:val="24"/>
          <w:szCs w:val="24"/>
        </w:rPr>
        <w:t>7.3本工程所有成品、半成品、材料、设备运输距离由供应商根据自身情况及踏勘现场情况自行测算，纳入相应项目的综合单价中，成交后不调整。</w:t>
      </w:r>
    </w:p>
    <w:p w14:paraId="3D154348">
      <w:pPr>
        <w:snapToGrid w:val="0"/>
        <w:spacing w:line="400" w:lineRule="exact"/>
        <w:ind w:firstLine="540"/>
        <w:rPr>
          <w:rFonts w:ascii="宋体" w:hAnsi="宋体"/>
          <w:sz w:val="24"/>
          <w:szCs w:val="24"/>
        </w:rPr>
      </w:pPr>
      <w:r>
        <w:rPr>
          <w:rFonts w:hint="eastAsia" w:ascii="宋体" w:hAnsi="宋体"/>
          <w:sz w:val="24"/>
          <w:szCs w:val="24"/>
        </w:rPr>
        <w:t>7.4施工组织措施费包干使用，结算时不作调整；施工技术措施费按实结算。</w:t>
      </w:r>
    </w:p>
    <w:p w14:paraId="3D21FE48">
      <w:pPr>
        <w:snapToGrid w:val="0"/>
        <w:spacing w:line="400" w:lineRule="exact"/>
        <w:ind w:firstLine="540"/>
        <w:rPr>
          <w:rFonts w:ascii="宋体" w:hAnsi="宋体"/>
          <w:sz w:val="24"/>
          <w:szCs w:val="24"/>
        </w:rPr>
      </w:pPr>
      <w:r>
        <w:rPr>
          <w:rFonts w:hint="eastAsia" w:ascii="宋体" w:hAnsi="宋体"/>
          <w:sz w:val="24"/>
          <w:szCs w:val="24"/>
        </w:rPr>
        <w:t>8.安全文明施工费：根据《重庆市城乡建设委员会关于印发&lt;重庆市建设工程安全文明施工费计取及使用管理规定&gt;的通知》（渝建管〔2024〕38号）规定执行。</w:t>
      </w:r>
    </w:p>
    <w:p w14:paraId="2A8FA70B">
      <w:pPr>
        <w:snapToGrid w:val="0"/>
        <w:spacing w:line="400" w:lineRule="exact"/>
        <w:ind w:firstLine="540"/>
        <w:rPr>
          <w:rFonts w:ascii="宋体" w:hAnsi="宋体"/>
          <w:sz w:val="24"/>
          <w:szCs w:val="24"/>
        </w:rPr>
      </w:pPr>
      <w:r>
        <w:rPr>
          <w:rFonts w:hint="eastAsia" w:ascii="宋体" w:hAnsi="宋体"/>
          <w:sz w:val="24"/>
          <w:szCs w:val="24"/>
        </w:rPr>
        <w:t>9.规费：按照《重庆市建设工程费用定额》（CQFYDE-2018）所规定费率执行。</w:t>
      </w:r>
    </w:p>
    <w:p w14:paraId="5B07A722">
      <w:pPr>
        <w:snapToGrid w:val="0"/>
        <w:spacing w:line="400" w:lineRule="exact"/>
        <w:ind w:firstLine="540"/>
        <w:rPr>
          <w:rFonts w:ascii="宋体" w:hAnsi="宋体"/>
          <w:sz w:val="24"/>
          <w:szCs w:val="24"/>
        </w:rPr>
      </w:pPr>
      <w:r>
        <w:rPr>
          <w:rFonts w:hint="eastAsia" w:ascii="宋体" w:hAnsi="宋体"/>
          <w:sz w:val="24"/>
          <w:szCs w:val="24"/>
        </w:rPr>
        <w:t>10.税金：按照《重庆市城乡建设委员会关于建筑营业税改征增值税调整建设工程计价依据的通知》（渝建〔2016〕35号）和《关于适用增值税新税率调整建设工程计价依据的通知》（渝建〔2019〕143号）执行。</w:t>
      </w:r>
    </w:p>
    <w:p w14:paraId="48648C38">
      <w:pPr>
        <w:snapToGrid w:val="0"/>
        <w:spacing w:line="400" w:lineRule="exact"/>
        <w:ind w:firstLine="540"/>
        <w:rPr>
          <w:rFonts w:ascii="宋体" w:hAnsi="宋体"/>
          <w:sz w:val="24"/>
          <w:szCs w:val="24"/>
        </w:rPr>
      </w:pPr>
      <w:bookmarkStart w:id="251" w:name="_Toc97881380"/>
      <w:r>
        <w:rPr>
          <w:rFonts w:hint="eastAsia" w:ascii="宋体" w:hAnsi="宋体"/>
          <w:sz w:val="24"/>
          <w:szCs w:val="24"/>
        </w:rPr>
        <w:t>（二）本项目两次报价均采用人民币报价。</w:t>
      </w:r>
    </w:p>
    <w:p w14:paraId="64B8D2F3">
      <w:pPr>
        <w:snapToGrid w:val="0"/>
        <w:spacing w:line="400" w:lineRule="exact"/>
        <w:ind w:firstLine="540"/>
        <w:rPr>
          <w:rFonts w:ascii="宋体" w:hAnsi="宋体"/>
          <w:sz w:val="24"/>
          <w:szCs w:val="24"/>
        </w:rPr>
      </w:pPr>
      <w:r>
        <w:rPr>
          <w:rFonts w:hint="eastAsia" w:ascii="宋体" w:hAnsi="宋体"/>
          <w:sz w:val="24"/>
          <w:szCs w:val="24"/>
        </w:rPr>
        <w:t>（三）首次报价必须按照清单报价规则进行报价，暂列价、暂估（暂定）材料价等金额不得更改。</w:t>
      </w:r>
    </w:p>
    <w:p w14:paraId="2A98E69E">
      <w:pPr>
        <w:snapToGrid w:val="0"/>
        <w:spacing w:line="400" w:lineRule="exact"/>
        <w:ind w:firstLine="540"/>
        <w:rPr>
          <w:rFonts w:ascii="宋体" w:hAnsi="宋体"/>
          <w:sz w:val="24"/>
          <w:szCs w:val="24"/>
        </w:rPr>
      </w:pPr>
      <w:r>
        <w:rPr>
          <w:rFonts w:hint="eastAsia" w:ascii="宋体" w:hAnsi="宋体"/>
          <w:sz w:val="24"/>
          <w:szCs w:val="24"/>
        </w:rPr>
        <w:t>（四）供应商未按要求进行报价的作为未进行实质性响应。</w:t>
      </w:r>
    </w:p>
    <w:p w14:paraId="66AB31ED">
      <w:pPr>
        <w:snapToGrid w:val="0"/>
        <w:spacing w:line="400" w:lineRule="exact"/>
        <w:ind w:firstLine="540"/>
        <w:rPr>
          <w:rFonts w:ascii="宋体" w:hAnsi="宋体"/>
          <w:sz w:val="24"/>
          <w:szCs w:val="24"/>
        </w:rPr>
      </w:pPr>
      <w:r>
        <w:rPr>
          <w:rFonts w:hint="eastAsia" w:ascii="宋体" w:hAnsi="宋体"/>
          <w:sz w:val="24"/>
          <w:szCs w:val="24"/>
        </w:rPr>
        <w:t>（五）第二次报价按照工程总价进行报价（安全文明施工费、暂估价、暂列金额等不可竞争费用必须按给定金额填报不得浮动，否则，其响应文件按无效处理）。</w:t>
      </w:r>
    </w:p>
    <w:p w14:paraId="08B050D5">
      <w:pPr>
        <w:snapToGrid w:val="0"/>
        <w:spacing w:line="400" w:lineRule="exact"/>
        <w:ind w:firstLine="540"/>
        <w:rPr>
          <w:rFonts w:ascii="宋体" w:hAnsi="宋体"/>
          <w:sz w:val="24"/>
          <w:szCs w:val="24"/>
        </w:rPr>
      </w:pPr>
      <w:r>
        <w:rPr>
          <w:rFonts w:hint="eastAsia" w:ascii="宋体" w:hAnsi="宋体"/>
          <w:sz w:val="24"/>
          <w:szCs w:val="24"/>
        </w:rPr>
        <w:t>（六）本工程设置总价最高限价，总价最高限价为</w:t>
      </w:r>
      <w:r>
        <w:rPr>
          <w:rFonts w:ascii="宋体" w:hAnsi="宋体" w:cs="宋体"/>
          <w:b/>
          <w:bCs/>
          <w:color w:val="000000"/>
          <w:sz w:val="24"/>
          <w:szCs w:val="24"/>
        </w:rPr>
        <w:t>1044705.18</w:t>
      </w:r>
      <w:r>
        <w:rPr>
          <w:rFonts w:hint="eastAsia" w:ascii="宋体" w:hAnsi="宋体" w:cs="宋体"/>
          <w:b/>
          <w:bCs/>
          <w:color w:val="000000"/>
          <w:sz w:val="24"/>
          <w:szCs w:val="24"/>
        </w:rPr>
        <w:t>元</w:t>
      </w:r>
      <w:r>
        <w:rPr>
          <w:rFonts w:hint="eastAsia" w:ascii="宋体" w:hAnsi="宋体"/>
          <w:sz w:val="24"/>
          <w:szCs w:val="24"/>
        </w:rPr>
        <w:t>（含</w:t>
      </w:r>
      <w:r>
        <w:rPr>
          <w:rFonts w:hint="eastAsia" w:ascii="宋体" w:hAnsi="宋体" w:cs="宋体"/>
          <w:b/>
          <w:bCs/>
          <w:color w:val="000000"/>
          <w:sz w:val="24"/>
          <w:szCs w:val="24"/>
        </w:rPr>
        <w:t>安全文明施工费</w:t>
      </w:r>
      <w:r>
        <w:rPr>
          <w:rFonts w:ascii="宋体" w:hAnsi="宋体" w:cs="宋体"/>
          <w:b/>
          <w:bCs/>
          <w:color w:val="000000"/>
          <w:sz w:val="24"/>
          <w:szCs w:val="24"/>
        </w:rPr>
        <w:t>14511.64</w:t>
      </w:r>
      <w:r>
        <w:rPr>
          <w:rFonts w:hint="eastAsia" w:ascii="宋体" w:hAnsi="宋体" w:cs="宋体"/>
          <w:b/>
          <w:bCs/>
          <w:color w:val="000000"/>
          <w:sz w:val="24"/>
          <w:szCs w:val="24"/>
        </w:rPr>
        <w:t>元）、暂估价（108439元）</w:t>
      </w:r>
      <w:r>
        <w:rPr>
          <w:rFonts w:hint="eastAsia" w:ascii="宋体" w:hAnsi="宋体"/>
          <w:sz w:val="24"/>
          <w:szCs w:val="24"/>
        </w:rPr>
        <w:t>），供应商的磋商报价不得超过本项目设置的最高限价，安全文明施工费、暂估价、暂列金额等不可竞争费用必须按给定金额填报不得浮动，否则，其响应文件按无效处理。</w:t>
      </w:r>
    </w:p>
    <w:p w14:paraId="01C49030">
      <w:pPr>
        <w:snapToGrid w:val="0"/>
        <w:spacing w:line="400" w:lineRule="exact"/>
        <w:ind w:firstLine="540"/>
        <w:rPr>
          <w:rFonts w:ascii="宋体" w:hAnsi="宋体"/>
          <w:sz w:val="24"/>
          <w:szCs w:val="24"/>
        </w:rPr>
      </w:pPr>
      <w:r>
        <w:rPr>
          <w:rFonts w:hint="eastAsia" w:ascii="宋体" w:hAnsi="宋体"/>
          <w:sz w:val="24"/>
          <w:szCs w:val="24"/>
        </w:rPr>
        <w:t>（七）其他说明</w:t>
      </w:r>
    </w:p>
    <w:p w14:paraId="4D97E454">
      <w:pPr>
        <w:snapToGrid w:val="0"/>
        <w:spacing w:line="400" w:lineRule="exact"/>
        <w:ind w:firstLine="540"/>
        <w:rPr>
          <w:rFonts w:ascii="宋体" w:hAnsi="宋体"/>
          <w:sz w:val="24"/>
          <w:szCs w:val="24"/>
        </w:rPr>
      </w:pPr>
      <w:r>
        <w:rPr>
          <w:rFonts w:hint="eastAsia" w:ascii="宋体" w:hAnsi="宋体"/>
          <w:sz w:val="24"/>
          <w:szCs w:val="24"/>
        </w:rPr>
        <w:t>1.竞争性磋商报价函中的总报价必须与工程量清单报价表所报金额一致，若不一致，作无效处理；供应商不得对采购人发出的工程量清单的项、量进行修改或省略项目特征，否则按无效处理。</w:t>
      </w:r>
    </w:p>
    <w:p w14:paraId="59D32013">
      <w:pPr>
        <w:snapToGrid w:val="0"/>
        <w:spacing w:line="400" w:lineRule="exact"/>
        <w:ind w:firstLine="540"/>
        <w:rPr>
          <w:rFonts w:ascii="宋体" w:hAnsi="宋体"/>
          <w:sz w:val="24"/>
          <w:szCs w:val="24"/>
        </w:rPr>
      </w:pPr>
      <w:r>
        <w:rPr>
          <w:rFonts w:hint="eastAsia" w:ascii="宋体" w:hAnsi="宋体"/>
          <w:sz w:val="24"/>
          <w:szCs w:val="24"/>
        </w:rPr>
        <w:t>2.按政策和合同约定的应由成交供应商交纳的各种保险费由成交供应商自行投保，保险费由成交供应商承担并支付，各种规费、环保费、检测试验费根据企业自身和本工程情况，测算包含在相应的报价中。</w:t>
      </w:r>
    </w:p>
    <w:p w14:paraId="71B362CF">
      <w:pPr>
        <w:snapToGrid w:val="0"/>
        <w:spacing w:line="400" w:lineRule="exact"/>
        <w:ind w:firstLine="540"/>
        <w:rPr>
          <w:rFonts w:ascii="宋体" w:hAnsi="宋体"/>
          <w:sz w:val="24"/>
          <w:szCs w:val="24"/>
        </w:rPr>
      </w:pPr>
      <w:r>
        <w:rPr>
          <w:rFonts w:hint="eastAsia" w:ascii="宋体" w:hAnsi="宋体"/>
          <w:sz w:val="24"/>
          <w:szCs w:val="24"/>
        </w:rPr>
        <w:t>3.符合合同条款规定的全部费用应认为已被计入有标价的工程量清单所列各子目之中，未列子目不予计量的工作，其费用应视为已分摊在本合同工程的有关子目的单价或总价之中。</w:t>
      </w:r>
    </w:p>
    <w:p w14:paraId="341B374F">
      <w:pPr>
        <w:snapToGrid w:val="0"/>
        <w:spacing w:line="400" w:lineRule="exact"/>
        <w:ind w:firstLine="540"/>
        <w:rPr>
          <w:rFonts w:ascii="宋体" w:hAnsi="宋体"/>
          <w:sz w:val="24"/>
          <w:szCs w:val="24"/>
        </w:rPr>
      </w:pPr>
      <w:r>
        <w:rPr>
          <w:rFonts w:hint="eastAsia" w:ascii="宋体" w:hAnsi="宋体"/>
          <w:sz w:val="24"/>
          <w:szCs w:val="24"/>
        </w:rPr>
        <w:t>4.每一项目只允许有一个报价</w:t>
      </w:r>
      <w:r>
        <w:rPr>
          <w:rFonts w:hint="eastAsia" w:ascii="宋体" w:hAnsi="宋体"/>
          <w:sz w:val="24"/>
          <w:szCs w:val="24"/>
          <w:lang w:eastAsia="zh-CN"/>
        </w:rPr>
        <w:t>，</w:t>
      </w:r>
      <w:r>
        <w:rPr>
          <w:rFonts w:hint="eastAsia" w:ascii="宋体" w:hAnsi="宋体"/>
          <w:sz w:val="24"/>
          <w:szCs w:val="24"/>
        </w:rPr>
        <w:t>任何有选择的报价将不予接受，其响应文件为无效。</w:t>
      </w:r>
    </w:p>
    <w:p w14:paraId="6D366EE3">
      <w:pPr>
        <w:snapToGrid w:val="0"/>
        <w:spacing w:line="400" w:lineRule="exact"/>
        <w:ind w:firstLine="540"/>
        <w:rPr>
          <w:rFonts w:ascii="宋体" w:hAnsi="宋体"/>
          <w:sz w:val="24"/>
          <w:szCs w:val="24"/>
        </w:rPr>
      </w:pPr>
      <w:r>
        <w:rPr>
          <w:rFonts w:hint="eastAsia" w:ascii="宋体" w:hAnsi="宋体"/>
          <w:sz w:val="24"/>
          <w:szCs w:val="24"/>
        </w:rPr>
        <w:t>5.各供应商对于相同的工程量清单（即工作内容和项目特征描述相同）报价须一致。若出现报价不一致，按无效处理。</w:t>
      </w:r>
    </w:p>
    <w:p w14:paraId="2E97E542">
      <w:pPr>
        <w:snapToGrid w:val="0"/>
        <w:spacing w:line="400" w:lineRule="exact"/>
        <w:ind w:firstLine="540"/>
        <w:rPr>
          <w:rFonts w:ascii="宋体" w:hAnsi="宋体"/>
          <w:sz w:val="24"/>
          <w:szCs w:val="24"/>
        </w:rPr>
      </w:pPr>
      <w:r>
        <w:rPr>
          <w:rFonts w:hint="eastAsia" w:ascii="宋体" w:hAnsi="宋体"/>
          <w:sz w:val="24"/>
          <w:szCs w:val="24"/>
        </w:rPr>
        <w:t>6.弃渣外运运距及处置费各供应商自行考虑，纳入分部分项工程量清单项目报价中，包干使用。</w:t>
      </w:r>
    </w:p>
    <w:p w14:paraId="6369FAFA">
      <w:pPr>
        <w:snapToGrid w:val="0"/>
        <w:spacing w:line="400" w:lineRule="exact"/>
        <w:ind w:firstLine="540"/>
        <w:rPr>
          <w:rFonts w:ascii="宋体" w:hAnsi="宋体"/>
          <w:sz w:val="24"/>
          <w:szCs w:val="24"/>
        </w:rPr>
      </w:pPr>
      <w:r>
        <w:rPr>
          <w:rFonts w:hint="eastAsia" w:ascii="宋体" w:hAnsi="宋体"/>
          <w:sz w:val="24"/>
          <w:szCs w:val="24"/>
        </w:rPr>
        <w:t>7.采购人提供水电接口，水电所有费用已包含在成交供应商磋商报价中包干使用，结算时不作调整。为了不受停电影响延误工期，成交供应商应自行预备柴油发电机组，确保施工期间能正常使用，采购人不对其费用予以补偿。如停电，由成交供应商自行发电，成交供应商应自行考虑该因素的有关费用，采购人不对发电费用予以补偿。</w:t>
      </w:r>
    </w:p>
    <w:p w14:paraId="2C0DEF2A">
      <w:pPr>
        <w:snapToGrid w:val="0"/>
        <w:spacing w:line="400" w:lineRule="exact"/>
        <w:ind w:firstLine="540"/>
        <w:rPr>
          <w:rFonts w:ascii="宋体" w:hAnsi="宋体"/>
          <w:sz w:val="24"/>
          <w:szCs w:val="24"/>
        </w:rPr>
      </w:pPr>
      <w:r>
        <w:rPr>
          <w:rFonts w:hint="eastAsia" w:ascii="宋体" w:hAnsi="宋体"/>
          <w:sz w:val="24"/>
          <w:szCs w:val="24"/>
        </w:rPr>
        <w:t>8.供应商应先到工地踏勘以充分了解工地位置、地质情况、地下管网状况、进出场道路、交通管制、拆迁干扰、储存空间、装卸限制、水电接口、行车干扰、人行交通及任何其它足以影响承包价格的情况，任何因忽视或误解工地情况而导致的索赔或工期延长申请将不获批准。</w:t>
      </w:r>
    </w:p>
    <w:p w14:paraId="625441B6">
      <w:pPr>
        <w:snapToGrid w:val="0"/>
        <w:spacing w:line="400" w:lineRule="exact"/>
        <w:ind w:firstLine="540"/>
        <w:rPr>
          <w:rFonts w:ascii="宋体" w:hAnsi="宋体"/>
          <w:sz w:val="24"/>
          <w:szCs w:val="24"/>
        </w:rPr>
      </w:pPr>
      <w:r>
        <w:rPr>
          <w:rFonts w:hint="eastAsia" w:ascii="宋体" w:hAnsi="宋体"/>
          <w:sz w:val="24"/>
          <w:szCs w:val="24"/>
        </w:rPr>
        <w:t>9.各供应商根据采购人提供的工程量清单和《重庆市建设工程费用定额》（CQFYDE-2018）规定的表格，结合本项目并根据实际情况填报工程量清单。</w:t>
      </w:r>
    </w:p>
    <w:p w14:paraId="2804FE3C">
      <w:pPr>
        <w:pStyle w:val="3"/>
        <w:adjustRightInd w:val="0"/>
        <w:snapToGrid w:val="0"/>
        <w:spacing w:line="400" w:lineRule="exact"/>
        <w:ind w:firstLine="482" w:firstLineChars="200"/>
        <w:jc w:val="left"/>
        <w:rPr>
          <w:rFonts w:ascii="宋体" w:hAnsi="宋体" w:eastAsia="宋体" w:cs="宋体"/>
          <w:sz w:val="24"/>
        </w:rPr>
      </w:pPr>
      <w:bookmarkStart w:id="252" w:name="_Toc211850950"/>
      <w:bookmarkStart w:id="253" w:name="_Toc1303"/>
      <w:r>
        <w:rPr>
          <w:rFonts w:hint="eastAsia" w:ascii="宋体" w:hAnsi="宋体"/>
          <w:sz w:val="24"/>
          <w:szCs w:val="24"/>
        </w:rPr>
        <w:t>※</w:t>
      </w:r>
      <w:r>
        <w:rPr>
          <w:rFonts w:hint="eastAsia" w:ascii="宋体" w:hAnsi="宋体" w:eastAsia="宋体" w:cs="宋体"/>
          <w:sz w:val="24"/>
        </w:rPr>
        <w:t>四、结算原则</w:t>
      </w:r>
      <w:bookmarkEnd w:id="251"/>
      <w:bookmarkEnd w:id="252"/>
      <w:bookmarkEnd w:id="253"/>
    </w:p>
    <w:p w14:paraId="420FAC73">
      <w:pPr>
        <w:snapToGrid w:val="0"/>
        <w:spacing w:line="400" w:lineRule="exact"/>
        <w:ind w:firstLine="540"/>
        <w:rPr>
          <w:rFonts w:ascii="宋体" w:hAnsi="宋体"/>
          <w:sz w:val="24"/>
          <w:szCs w:val="24"/>
        </w:rPr>
      </w:pPr>
      <w:r>
        <w:rPr>
          <w:rFonts w:hint="eastAsia" w:ascii="宋体" w:hAnsi="宋体"/>
          <w:sz w:val="24"/>
          <w:szCs w:val="24"/>
        </w:rPr>
        <w:t>（一）本合同采用固定综合单价合同，综合单价不因工程量的增减（工程量的变化、施工方式的变化）而调整。除非合同另有约定，磋商报价的工程量清单中的综合单价均已包含但不限于供应商为实施和完成合同工程量清单项目所需的人工费、材料费、机械费、企业管理费、利润、风险费用。</w:t>
      </w:r>
    </w:p>
    <w:p w14:paraId="189D3545">
      <w:pPr>
        <w:snapToGrid w:val="0"/>
        <w:spacing w:line="400" w:lineRule="exact"/>
        <w:ind w:firstLine="540"/>
        <w:rPr>
          <w:rFonts w:ascii="宋体" w:hAnsi="宋体"/>
          <w:sz w:val="24"/>
          <w:szCs w:val="24"/>
        </w:rPr>
      </w:pPr>
      <w:r>
        <w:rPr>
          <w:rFonts w:hint="eastAsia" w:ascii="宋体" w:hAnsi="宋体"/>
          <w:sz w:val="24"/>
          <w:szCs w:val="24"/>
        </w:rPr>
        <w:t>（二）各部分的结算原则如下:</w:t>
      </w:r>
    </w:p>
    <w:p w14:paraId="3B30121B">
      <w:pPr>
        <w:snapToGrid w:val="0"/>
        <w:spacing w:line="400" w:lineRule="exact"/>
        <w:ind w:firstLine="540"/>
        <w:rPr>
          <w:rFonts w:ascii="宋体" w:hAnsi="宋体"/>
          <w:sz w:val="24"/>
          <w:szCs w:val="24"/>
        </w:rPr>
      </w:pPr>
      <w:r>
        <w:rPr>
          <w:rFonts w:hint="eastAsia" w:ascii="宋体" w:hAnsi="宋体"/>
          <w:sz w:val="24"/>
          <w:szCs w:val="24"/>
        </w:rPr>
        <w:t>1.分部分项工程量清单结算总价:</w:t>
      </w:r>
    </w:p>
    <w:p w14:paraId="0DA9421B">
      <w:pPr>
        <w:snapToGrid w:val="0"/>
        <w:spacing w:line="400" w:lineRule="exact"/>
        <w:ind w:firstLine="540"/>
        <w:rPr>
          <w:rFonts w:ascii="宋体" w:hAnsi="宋体"/>
          <w:sz w:val="24"/>
          <w:szCs w:val="24"/>
        </w:rPr>
      </w:pPr>
      <w:r>
        <w:rPr>
          <w:rFonts w:hint="eastAsia" w:ascii="宋体" w:hAnsi="宋体"/>
          <w:sz w:val="24"/>
          <w:szCs w:val="24"/>
        </w:rPr>
        <w:t>分部分项工程结算价=综合单价×子项工程量</w:t>
      </w:r>
    </w:p>
    <w:p w14:paraId="74AC3B8A">
      <w:pPr>
        <w:snapToGrid w:val="0"/>
        <w:spacing w:line="400" w:lineRule="exact"/>
        <w:ind w:firstLine="480" w:firstLineChars="200"/>
        <w:rPr>
          <w:rFonts w:ascii="宋体" w:hAnsi="宋体"/>
          <w:sz w:val="24"/>
          <w:szCs w:val="24"/>
        </w:rPr>
      </w:pPr>
      <w:r>
        <w:rPr>
          <w:rFonts w:hint="eastAsia" w:ascii="宋体" w:hAnsi="宋体"/>
          <w:sz w:val="24"/>
          <w:szCs w:val="24"/>
        </w:rPr>
        <w:t>综合单价=供应商初始报价中分部分项清单中的综合单价×（1-下浮比例）</w:t>
      </w:r>
    </w:p>
    <w:p w14:paraId="55D6E09C">
      <w:pPr>
        <w:snapToGrid w:val="0"/>
        <w:spacing w:line="400" w:lineRule="exact"/>
        <w:ind w:firstLine="480" w:firstLineChars="200"/>
        <w:rPr>
          <w:rFonts w:ascii="宋体" w:hAnsi="宋体"/>
          <w:sz w:val="24"/>
          <w:szCs w:val="24"/>
        </w:rPr>
      </w:pPr>
      <w:r>
        <w:rPr>
          <w:rFonts w:hint="eastAsia" w:ascii="宋体" w:hAnsi="宋体"/>
          <w:sz w:val="24"/>
          <w:szCs w:val="24"/>
        </w:rPr>
        <w:t>下浮比例=1-{供应商最后总报价-[安全文明施工费+暂估价（如果有）+暂列金额（如果有）</w:t>
      </w:r>
      <w:r>
        <w:rPr>
          <w:rFonts w:hint="eastAsia" w:eastAsia="仿宋_GB2312"/>
          <w:sz w:val="24"/>
        </w:rPr>
        <w:t>]</w:t>
      </w:r>
      <w:r>
        <w:rPr>
          <w:rFonts w:hint="eastAsia" w:ascii="宋体" w:hAnsi="宋体"/>
          <w:sz w:val="24"/>
          <w:szCs w:val="24"/>
        </w:rPr>
        <w:t>}/{供应商初始总报价-[安全文明施工费+暂估价（如果有）+暂列金额（如果有）]</w:t>
      </w:r>
      <w:r>
        <w:rPr>
          <w:rFonts w:hint="eastAsia" w:eastAsia="仿宋_GB2312"/>
          <w:sz w:val="24"/>
        </w:rPr>
        <w:t>}</w:t>
      </w:r>
      <w:r>
        <w:rPr>
          <w:rFonts w:hint="eastAsia" w:ascii="宋体" w:hAnsi="宋体"/>
          <w:sz w:val="24"/>
          <w:szCs w:val="24"/>
        </w:rPr>
        <w:t>×100%。</w:t>
      </w:r>
    </w:p>
    <w:p w14:paraId="3742BA27">
      <w:pPr>
        <w:snapToGrid w:val="0"/>
        <w:spacing w:line="400" w:lineRule="exact"/>
        <w:ind w:firstLine="540"/>
        <w:rPr>
          <w:rFonts w:ascii="宋体" w:hAnsi="宋体"/>
          <w:sz w:val="24"/>
          <w:szCs w:val="24"/>
        </w:rPr>
      </w:pPr>
      <w:r>
        <w:rPr>
          <w:rFonts w:hint="eastAsia" w:ascii="宋体" w:hAnsi="宋体"/>
          <w:sz w:val="24"/>
          <w:szCs w:val="24"/>
        </w:rPr>
        <w:t>子工程量:工程量计算以施工图、设计变更、有效签证资料(签字且盖章)及竣工图作为计算依据，按《建设工程工程量清单计价标准》（GB/T50500-2024）、《重庆市建设工程工程量清单计价实施细则》(JJYJ50-003-2026)；定额执行《重庆市装饰装修工程计价定额》（CQZSDE-2018）、《重庆市房屋修缮工程计价定额》（CQFWXSDE-2018）、《重庆市安装工程计价定额》（CQAZDE-2018）、《重庆市建筑工程计价定额》（CQJZDE-2018）、《重庆市建设工程费用定额》（CQFYDE-2018）及其配套文件规定的计量规则计算的合格工程量作为结算依据。</w:t>
      </w:r>
    </w:p>
    <w:p w14:paraId="376CCBAC">
      <w:pPr>
        <w:snapToGrid w:val="0"/>
        <w:spacing w:line="400" w:lineRule="exact"/>
        <w:ind w:firstLine="540"/>
        <w:rPr>
          <w:rFonts w:ascii="宋体" w:hAnsi="宋体"/>
          <w:sz w:val="24"/>
          <w:szCs w:val="24"/>
        </w:rPr>
      </w:pPr>
      <w:r>
        <w:rPr>
          <w:rFonts w:hint="eastAsia" w:ascii="宋体" w:hAnsi="宋体"/>
          <w:sz w:val="24"/>
          <w:szCs w:val="24"/>
        </w:rPr>
        <w:t>2.设计变更费、新增项目</w:t>
      </w:r>
    </w:p>
    <w:p w14:paraId="40A3FCAE">
      <w:pPr>
        <w:snapToGrid w:val="0"/>
        <w:spacing w:line="400" w:lineRule="exact"/>
        <w:ind w:firstLine="540"/>
        <w:rPr>
          <w:rFonts w:ascii="宋体" w:hAnsi="宋体"/>
          <w:sz w:val="24"/>
          <w:szCs w:val="24"/>
        </w:rPr>
      </w:pPr>
      <w:r>
        <w:rPr>
          <w:rFonts w:hint="eastAsia" w:ascii="宋体" w:hAnsi="宋体"/>
          <w:sz w:val="24"/>
          <w:szCs w:val="24"/>
        </w:rPr>
        <w:t>当发生设计变更或新增项目，发包人及监理工程师按照下列计价原则结算：</w:t>
      </w:r>
    </w:p>
    <w:p w14:paraId="3E67CE27">
      <w:pPr>
        <w:snapToGrid w:val="0"/>
        <w:spacing w:line="400" w:lineRule="exact"/>
        <w:ind w:firstLine="540"/>
        <w:rPr>
          <w:rFonts w:ascii="宋体" w:hAnsi="宋体"/>
          <w:sz w:val="24"/>
          <w:szCs w:val="24"/>
        </w:rPr>
      </w:pPr>
      <w:r>
        <w:rPr>
          <w:rFonts w:hint="eastAsia" w:ascii="宋体" w:hAnsi="宋体"/>
          <w:sz w:val="24"/>
          <w:szCs w:val="24"/>
        </w:rPr>
        <w:t>①已标价工程量清单中有适用于变更工作的子目，采用该子目的综合单价。</w:t>
      </w:r>
    </w:p>
    <w:p w14:paraId="2B4408BA">
      <w:pPr>
        <w:snapToGrid w:val="0"/>
        <w:spacing w:line="400" w:lineRule="exact"/>
        <w:ind w:firstLine="540"/>
        <w:rPr>
          <w:rFonts w:ascii="宋体" w:hAnsi="宋体"/>
          <w:sz w:val="24"/>
          <w:szCs w:val="24"/>
        </w:rPr>
      </w:pPr>
      <w:r>
        <w:rPr>
          <w:rFonts w:hint="eastAsia" w:ascii="宋体" w:hAnsi="宋体"/>
          <w:sz w:val="24"/>
          <w:szCs w:val="24"/>
        </w:rPr>
        <w:t>②已标价工程量清单中无适用于变更工程的子目，但有类似子目的，可在合理范围内参照类似子目的综合单价，对该子目主材的价格进行调整。主材调整原则:响应时有的材料，调入时取报价与磋商当期重庆市建设工程造价总站主办的《重庆工程造价信息》的低值；磋商时没有的材料，按发包人充分结合施工期市场核定的价格执行，并不高于施工同期《重庆工程造价信息》，调整后的综合单价作为类似子目的综合单价(类似项目由采购人确定，磋商的人工、材料单价表作为合同附件)。</w:t>
      </w:r>
    </w:p>
    <w:p w14:paraId="464204D2">
      <w:pPr>
        <w:snapToGrid w:val="0"/>
        <w:spacing w:line="400" w:lineRule="exact"/>
        <w:ind w:firstLine="540"/>
        <w:rPr>
          <w:rFonts w:ascii="宋体" w:hAnsi="宋体"/>
          <w:sz w:val="24"/>
          <w:szCs w:val="24"/>
        </w:rPr>
      </w:pPr>
      <w:r>
        <w:rPr>
          <w:rFonts w:hint="eastAsia" w:ascii="宋体" w:hAnsi="宋体"/>
          <w:sz w:val="24"/>
          <w:szCs w:val="24"/>
        </w:rPr>
        <w:t>③已标价工程量清单中无适用或类似子目的综合单价，按国家技术和经济规范及标准、《建设工程工程量清单计价标准》（GB/T50500-2024）、《重庆市建设工程工程量清单计价实施细则》(JJYJ50-003-2026)；定额执行《重庆市装饰装修工程计价定额》（CQZSDE-2018）、《重庆市房屋修缮工程计价定额》（CQFWXSDE-2018）、《重庆市安装工程计价定额》（CQAZDE-2018）、《重庆市建筑工程计价定额》（CQJZDE-2018）、《重庆市建设工程费用定额》（CQFYDE-2018）及其配套文件等（配套文件只执行合同签订之日前重庆市建委颁发的文件，合同签订之日后颁发的有关政策文件不予执行。）编制，再按成交总价与总价最高限价同比例进行下浮（其中人工价差、材料价差、未计价材料、不下浮）。其中人工工日、材料单价的确定原则：人工费按磋商时有的报价执行，若供应商磋商报价高于施工实施期《重庆工程造价信息》中对应的人工工日单价平均值（若发布的某一类别人工工日单价是区间值的，则按其算术平均值执行），则按施工实施期《重庆工程造价信息》中对应的人工工日单价平均值执行；材料结算价格：清单报价中已有的按响应文件中清单报价执行；清单报价中没有的按该项目施工期间的《重庆工程造价信息》信息价的算术平均价执行；磋商时没有的，发包人结合市场进行核定价格，且不高于施工同期《重庆工程造价信息》的价格。</w:t>
      </w:r>
    </w:p>
    <w:p w14:paraId="743ABE3E">
      <w:pPr>
        <w:snapToGrid w:val="0"/>
        <w:spacing w:line="400" w:lineRule="exact"/>
        <w:ind w:firstLine="540"/>
        <w:rPr>
          <w:rFonts w:ascii="宋体" w:hAnsi="宋体"/>
          <w:sz w:val="24"/>
          <w:szCs w:val="24"/>
        </w:rPr>
      </w:pPr>
      <w:r>
        <w:rPr>
          <w:rFonts w:hint="eastAsia" w:ascii="宋体" w:hAnsi="宋体"/>
          <w:sz w:val="24"/>
          <w:szCs w:val="24"/>
        </w:rPr>
        <w:t>（三）措施项目费</w:t>
      </w:r>
    </w:p>
    <w:p w14:paraId="22422C64">
      <w:pPr>
        <w:snapToGrid w:val="0"/>
        <w:spacing w:line="400" w:lineRule="exact"/>
        <w:ind w:firstLine="540"/>
        <w:rPr>
          <w:rFonts w:ascii="宋体" w:hAnsi="宋体"/>
          <w:sz w:val="24"/>
          <w:szCs w:val="24"/>
        </w:rPr>
      </w:pPr>
      <w:r>
        <w:rPr>
          <w:rFonts w:hint="eastAsia" w:ascii="宋体" w:hAnsi="宋体"/>
          <w:sz w:val="24"/>
          <w:szCs w:val="24"/>
        </w:rPr>
        <w:t>1.施工组织措施项目费</w:t>
      </w:r>
    </w:p>
    <w:p w14:paraId="48BF1264">
      <w:pPr>
        <w:snapToGrid w:val="0"/>
        <w:spacing w:line="400" w:lineRule="exact"/>
        <w:ind w:firstLine="540"/>
        <w:rPr>
          <w:rFonts w:ascii="宋体" w:hAnsi="宋体"/>
          <w:sz w:val="24"/>
          <w:szCs w:val="24"/>
        </w:rPr>
      </w:pPr>
      <w:r>
        <w:rPr>
          <w:rFonts w:hint="eastAsia" w:ascii="宋体" w:hAnsi="宋体"/>
          <w:sz w:val="24"/>
          <w:szCs w:val="24"/>
        </w:rPr>
        <w:t>1.1施工组织措施费：无论因设计变更或施工工艺变化等任何因素而引起实际措施费的变化，均按最后成交时施工组织措施项目费（除安全文明施工费外）的报价作为结算价包干使用。</w:t>
      </w:r>
    </w:p>
    <w:p w14:paraId="4100B3EC">
      <w:pPr>
        <w:snapToGrid w:val="0"/>
        <w:spacing w:line="400" w:lineRule="exact"/>
        <w:ind w:firstLine="540"/>
        <w:rPr>
          <w:rFonts w:ascii="宋体" w:hAnsi="宋体"/>
          <w:sz w:val="24"/>
          <w:szCs w:val="24"/>
        </w:rPr>
      </w:pPr>
      <w:r>
        <w:rPr>
          <w:rFonts w:hint="eastAsia" w:ascii="宋体" w:hAnsi="宋体"/>
          <w:sz w:val="24"/>
          <w:szCs w:val="24"/>
        </w:rPr>
        <w:t>1.2</w:t>
      </w:r>
      <w:bookmarkStart w:id="254" w:name="OLE_LINK36"/>
      <w:bookmarkStart w:id="255" w:name="OLE_LINK37"/>
      <w:r>
        <w:rPr>
          <w:rFonts w:hint="eastAsia" w:ascii="宋体" w:hAnsi="宋体"/>
          <w:sz w:val="24"/>
          <w:szCs w:val="24"/>
        </w:rPr>
        <w:t>安全文明施工费用：按渝建管〔2024〕38号文结合渝建〔2019〕143号文等相关配套规定标准进行结算。安全文明施工综合评定结果为不合格，则不计取。</w:t>
      </w:r>
    </w:p>
    <w:bookmarkEnd w:id="254"/>
    <w:bookmarkEnd w:id="255"/>
    <w:p w14:paraId="54F6F0B5">
      <w:pPr>
        <w:snapToGrid w:val="0"/>
        <w:spacing w:line="400" w:lineRule="exact"/>
        <w:ind w:firstLine="540"/>
        <w:rPr>
          <w:rFonts w:ascii="宋体" w:hAnsi="宋体"/>
          <w:sz w:val="24"/>
          <w:szCs w:val="24"/>
        </w:rPr>
      </w:pPr>
      <w:r>
        <w:rPr>
          <w:rFonts w:hint="eastAsia" w:ascii="宋体" w:hAnsi="宋体"/>
          <w:sz w:val="24"/>
          <w:szCs w:val="24"/>
        </w:rPr>
        <w:t>2.施工技术措施项目费：</w:t>
      </w:r>
    </w:p>
    <w:p w14:paraId="3EBF7417">
      <w:pPr>
        <w:snapToGrid w:val="0"/>
        <w:spacing w:line="400" w:lineRule="exact"/>
        <w:ind w:firstLine="540"/>
        <w:rPr>
          <w:rFonts w:ascii="宋体" w:hAnsi="宋体"/>
          <w:sz w:val="24"/>
          <w:szCs w:val="24"/>
        </w:rPr>
      </w:pPr>
      <w:r>
        <w:rPr>
          <w:rFonts w:hint="eastAsia" w:ascii="宋体" w:hAnsi="宋体"/>
          <w:sz w:val="24"/>
          <w:szCs w:val="24"/>
        </w:rPr>
        <w:t>技术措施清单中以项计列的项目，无论因设计变更或施工工艺变化等任何因素而引起实际措施费的变化，均按最后成交时施工技术措施项目费的报价作为结算价包干使用。技术措施清单中以项目编码、项目名称、项目特征、工程内容、工程量及计量单位列项的项目，按实计量结算。</w:t>
      </w:r>
    </w:p>
    <w:p w14:paraId="3009516F">
      <w:pPr>
        <w:snapToGrid w:val="0"/>
        <w:spacing w:line="400" w:lineRule="exact"/>
        <w:ind w:firstLine="540"/>
        <w:rPr>
          <w:rFonts w:ascii="宋体" w:hAnsi="宋体"/>
          <w:sz w:val="24"/>
          <w:szCs w:val="24"/>
        </w:rPr>
      </w:pPr>
      <w:r>
        <w:rPr>
          <w:rFonts w:hint="eastAsia" w:ascii="宋体" w:hAnsi="宋体"/>
          <w:sz w:val="24"/>
          <w:szCs w:val="24"/>
        </w:rPr>
        <w:t>3.税金：按现行规定费率结算。若成交供应商报价中的费率低于规定费率，则以报价费率结算。</w:t>
      </w:r>
    </w:p>
    <w:p w14:paraId="2E054FA3">
      <w:pPr>
        <w:snapToGrid w:val="0"/>
        <w:spacing w:line="400" w:lineRule="exact"/>
        <w:ind w:firstLine="540"/>
        <w:rPr>
          <w:rFonts w:ascii="宋体" w:hAnsi="宋体"/>
          <w:sz w:val="24"/>
          <w:szCs w:val="24"/>
        </w:rPr>
      </w:pPr>
      <w:r>
        <w:rPr>
          <w:rFonts w:hint="eastAsia" w:ascii="宋体" w:hAnsi="宋体"/>
          <w:sz w:val="24"/>
          <w:szCs w:val="24"/>
        </w:rPr>
        <w:t>（四）最终结算原则</w:t>
      </w:r>
    </w:p>
    <w:p w14:paraId="5A32CF24">
      <w:pPr>
        <w:snapToGrid w:val="0"/>
        <w:spacing w:line="400" w:lineRule="exact"/>
        <w:ind w:firstLine="540"/>
        <w:rPr>
          <w:rFonts w:ascii="宋体" w:hAnsi="宋体"/>
          <w:sz w:val="24"/>
          <w:szCs w:val="24"/>
        </w:rPr>
      </w:pPr>
      <w:r>
        <w:rPr>
          <w:rFonts w:hint="eastAsia" w:ascii="宋体" w:hAnsi="宋体"/>
          <w:sz w:val="24"/>
          <w:szCs w:val="24"/>
        </w:rPr>
        <w:t>1.竣工结算价=Σ分部分项工程结算价+Σ措施项目结算价+Σ其他项目结算价±Σ价格调整（如有）±Σ变更、索赔与现场签证结算价±Σ奖励、罚金、违约金及其他费用 +Σ税金。</w:t>
      </w:r>
    </w:p>
    <w:p w14:paraId="5B458F30">
      <w:pPr>
        <w:snapToGrid w:val="0"/>
        <w:spacing w:line="400" w:lineRule="exact"/>
        <w:ind w:firstLine="540"/>
        <w:rPr>
          <w:rFonts w:ascii="宋体" w:hAnsi="宋体"/>
          <w:sz w:val="24"/>
          <w:szCs w:val="24"/>
        </w:rPr>
      </w:pPr>
      <w:r>
        <w:rPr>
          <w:rFonts w:hint="eastAsia" w:ascii="宋体" w:hAnsi="宋体"/>
          <w:sz w:val="24"/>
          <w:szCs w:val="24"/>
        </w:rPr>
        <w:t>2.合同履行中,需追加与合同标的相同的货物、工程或者服务的，在不改变合同其他条款的前提下，可以与供应商协商签订补充合同，但所有补充合同的采购金额不得超过原合同采购金额的百分之十。</w:t>
      </w:r>
    </w:p>
    <w:p w14:paraId="2AA61976">
      <w:pPr>
        <w:snapToGrid w:val="0"/>
        <w:spacing w:line="400" w:lineRule="exact"/>
        <w:ind w:firstLine="540"/>
        <w:rPr>
          <w:rFonts w:ascii="宋体" w:hAnsi="宋体"/>
          <w:sz w:val="24"/>
          <w:szCs w:val="24"/>
        </w:rPr>
      </w:pPr>
      <w:r>
        <w:rPr>
          <w:rFonts w:hint="eastAsia" w:ascii="宋体" w:hAnsi="宋体"/>
          <w:sz w:val="24"/>
          <w:szCs w:val="24"/>
        </w:rPr>
        <w:t>（五）本工程结算价最终以采购人确定的第三方机构审定金额为准。</w:t>
      </w:r>
    </w:p>
    <w:p w14:paraId="35B87E64">
      <w:pPr>
        <w:keepNext/>
        <w:keepLines/>
        <w:adjustRightInd w:val="0"/>
        <w:snapToGrid w:val="0"/>
        <w:spacing w:line="400" w:lineRule="exact"/>
        <w:jc w:val="left"/>
        <w:outlineLvl w:val="1"/>
        <w:rPr>
          <w:rFonts w:ascii="宋体" w:hAnsi="宋体"/>
          <w:sz w:val="24"/>
          <w:szCs w:val="24"/>
        </w:rPr>
      </w:pPr>
      <w:bookmarkStart w:id="256" w:name="_Toc958"/>
      <w:r>
        <w:rPr>
          <w:rFonts w:hint="eastAsia" w:ascii="宋体" w:hAnsi="宋体"/>
          <w:sz w:val="24"/>
          <w:szCs w:val="24"/>
        </w:rPr>
        <w:t>※</w:t>
      </w:r>
      <w:r>
        <w:rPr>
          <w:rFonts w:hint="eastAsia" w:ascii="宋体" w:hAnsi="宋体"/>
          <w:b/>
          <w:sz w:val="24"/>
        </w:rPr>
        <w:t>五、履约担保</w:t>
      </w:r>
      <w:bookmarkEnd w:id="256"/>
    </w:p>
    <w:p w14:paraId="3D274C60">
      <w:pPr>
        <w:snapToGrid w:val="0"/>
        <w:spacing w:line="400" w:lineRule="exact"/>
        <w:ind w:firstLine="540"/>
        <w:rPr>
          <w:rFonts w:ascii="宋体" w:hAnsi="宋体"/>
          <w:sz w:val="24"/>
          <w:szCs w:val="24"/>
        </w:rPr>
      </w:pPr>
      <w:bookmarkStart w:id="257" w:name="_Toc31894"/>
      <w:r>
        <w:rPr>
          <w:rFonts w:hint="eastAsia" w:ascii="宋体" w:hAnsi="宋体"/>
          <w:sz w:val="24"/>
          <w:szCs w:val="24"/>
        </w:rPr>
        <w:t>（一）履约担保金的形式:银行转账、支票、电汇、见索即付不可撤销的金融机构、担保机构出具的保函等非现金形式。</w:t>
      </w:r>
    </w:p>
    <w:p w14:paraId="58FA7E07">
      <w:pPr>
        <w:snapToGrid w:val="0"/>
        <w:spacing w:line="400" w:lineRule="exact"/>
        <w:ind w:firstLine="540"/>
        <w:rPr>
          <w:rFonts w:ascii="宋体" w:hAnsi="宋体"/>
          <w:sz w:val="24"/>
          <w:szCs w:val="24"/>
        </w:rPr>
      </w:pPr>
      <w:r>
        <w:rPr>
          <w:rFonts w:hint="eastAsia" w:ascii="宋体" w:hAnsi="宋体"/>
          <w:sz w:val="24"/>
          <w:szCs w:val="24"/>
        </w:rPr>
        <w:t>（二）履约担保金的金额:合同成交金额的5%。</w:t>
      </w:r>
    </w:p>
    <w:p w14:paraId="62654FEE">
      <w:pPr>
        <w:snapToGrid w:val="0"/>
        <w:spacing w:line="400" w:lineRule="exact"/>
        <w:ind w:firstLine="540"/>
        <w:rPr>
          <w:rFonts w:ascii="宋体" w:hAnsi="宋体"/>
          <w:sz w:val="24"/>
          <w:szCs w:val="24"/>
        </w:rPr>
      </w:pPr>
      <w:r>
        <w:rPr>
          <w:rFonts w:hint="eastAsia" w:ascii="宋体" w:hAnsi="宋体"/>
          <w:sz w:val="24"/>
          <w:szCs w:val="24"/>
        </w:rPr>
        <w:t>（三）履约担保期限：自合同生效之日起，至工程竣工验收合格并完成竣工结算审计之日止。</w:t>
      </w:r>
    </w:p>
    <w:p w14:paraId="5A33A5F2">
      <w:pPr>
        <w:snapToGrid w:val="0"/>
        <w:spacing w:line="400" w:lineRule="exact"/>
        <w:ind w:firstLine="540"/>
        <w:rPr>
          <w:rFonts w:ascii="宋体" w:hAnsi="宋体"/>
          <w:sz w:val="24"/>
          <w:szCs w:val="24"/>
        </w:rPr>
      </w:pPr>
      <w:r>
        <w:rPr>
          <w:rFonts w:hint="eastAsia" w:ascii="宋体" w:hAnsi="宋体"/>
          <w:sz w:val="24"/>
          <w:szCs w:val="24"/>
        </w:rPr>
        <w:t>（四）履约担保金提交时间：成交供应商应在</w:t>
      </w:r>
      <w:r>
        <w:rPr>
          <w:rFonts w:hint="eastAsia" w:ascii="宋体" w:hAnsi="宋体"/>
          <w:sz w:val="24"/>
          <w:szCs w:val="24"/>
          <w:lang w:eastAsia="zh-CN"/>
        </w:rPr>
        <w:t>合同签订时</w:t>
      </w:r>
      <w:r>
        <w:rPr>
          <w:rFonts w:hint="eastAsia" w:ascii="宋体" w:hAnsi="宋体"/>
          <w:sz w:val="24"/>
          <w:szCs w:val="24"/>
        </w:rPr>
        <w:t>汇入采购人指定账户或提交见索即付不可撤销的金融机构、担保机构出具的保函。未按约定时间到账或提交的，经采购人报有关部门研究同意后有权终止合同签订。</w:t>
      </w:r>
    </w:p>
    <w:p w14:paraId="3EB6D640">
      <w:pPr>
        <w:snapToGrid w:val="0"/>
        <w:spacing w:line="400" w:lineRule="exact"/>
        <w:ind w:firstLine="540"/>
        <w:rPr>
          <w:rFonts w:ascii="宋体" w:hAnsi="宋体"/>
          <w:sz w:val="24"/>
          <w:szCs w:val="24"/>
        </w:rPr>
      </w:pPr>
      <w:r>
        <w:rPr>
          <w:rFonts w:hint="eastAsia" w:ascii="宋体" w:hAnsi="宋体"/>
          <w:sz w:val="24"/>
          <w:szCs w:val="24"/>
        </w:rPr>
        <w:t>（五）履约担保金返还方式：工程竣工验收合格</w:t>
      </w:r>
      <w:r>
        <w:rPr>
          <w:rFonts w:ascii="宋体" w:hAnsi="宋体"/>
          <w:sz w:val="24"/>
          <w:szCs w:val="24"/>
        </w:rPr>
        <w:t>且通过结算审计后</w:t>
      </w:r>
      <w:r>
        <w:rPr>
          <w:rFonts w:hint="eastAsia" w:ascii="宋体" w:hAnsi="宋体"/>
          <w:sz w:val="24"/>
          <w:szCs w:val="24"/>
        </w:rPr>
        <w:t>15个工作日内一次性退还（不计利息）。</w:t>
      </w:r>
    </w:p>
    <w:p w14:paraId="28349DCA">
      <w:pPr>
        <w:snapToGrid w:val="0"/>
        <w:spacing w:line="400" w:lineRule="exact"/>
        <w:ind w:firstLine="540"/>
        <w:rPr>
          <w:rFonts w:ascii="宋体" w:hAnsi="宋体"/>
          <w:sz w:val="24"/>
          <w:szCs w:val="24"/>
        </w:rPr>
      </w:pPr>
      <w:r>
        <w:rPr>
          <w:rFonts w:hint="eastAsia" w:ascii="宋体" w:hAnsi="宋体"/>
          <w:sz w:val="24"/>
          <w:szCs w:val="24"/>
        </w:rPr>
        <w:t>（六）若因成交供应商原因，其提供本</w:t>
      </w:r>
      <w:r>
        <w:rPr>
          <w:rFonts w:hint="eastAsia" w:ascii="宋体" w:hAnsi="宋体" w:cs="宋体"/>
          <w:kern w:val="0"/>
          <w:sz w:val="24"/>
          <w:szCs w:val="24"/>
        </w:rPr>
        <w:t>项目所需货物及材料及工期</w:t>
      </w:r>
      <w:r>
        <w:rPr>
          <w:rFonts w:hint="eastAsia" w:ascii="宋体" w:hAnsi="宋体"/>
          <w:sz w:val="24"/>
          <w:szCs w:val="24"/>
        </w:rPr>
        <w:t>未达到合同或采购文件规定的标准，并对采购人造成损失的，成交供应商应承担全部赔偿责任。采购人有权从履约保证金中扣除相当于实际损失金额的款项；若实际损失超过履约保证金金额，采购人有权就超出部分继续向成交供应商追偿。</w:t>
      </w:r>
    </w:p>
    <w:p w14:paraId="64CD440D">
      <w:pPr>
        <w:keepNext/>
        <w:keepLines/>
        <w:adjustRightInd w:val="0"/>
        <w:snapToGrid w:val="0"/>
        <w:spacing w:line="400" w:lineRule="exact"/>
        <w:jc w:val="left"/>
        <w:outlineLvl w:val="1"/>
        <w:rPr>
          <w:rFonts w:ascii="宋体" w:hAnsi="宋体"/>
          <w:b/>
          <w:sz w:val="24"/>
        </w:rPr>
      </w:pPr>
      <w:r>
        <w:rPr>
          <w:rFonts w:hint="eastAsia" w:ascii="宋体" w:hAnsi="宋体"/>
          <w:sz w:val="24"/>
          <w:szCs w:val="24"/>
        </w:rPr>
        <w:t>※</w:t>
      </w:r>
      <w:r>
        <w:rPr>
          <w:rFonts w:hint="eastAsia" w:ascii="宋体" w:hAnsi="宋体"/>
          <w:b/>
          <w:sz w:val="24"/>
        </w:rPr>
        <w:t>六、付款方式</w:t>
      </w:r>
      <w:bookmarkEnd w:id="257"/>
    </w:p>
    <w:p w14:paraId="50429B72">
      <w:pPr>
        <w:snapToGrid w:val="0"/>
        <w:spacing w:line="400" w:lineRule="exact"/>
        <w:ind w:firstLine="480" w:firstLineChars="200"/>
        <w:rPr>
          <w:rFonts w:ascii="宋体" w:hAnsi="宋体"/>
          <w:sz w:val="24"/>
          <w:szCs w:val="24"/>
        </w:rPr>
      </w:pPr>
      <w:r>
        <w:rPr>
          <w:rFonts w:hint="eastAsia" w:ascii="宋体" w:hAnsi="宋体"/>
          <w:sz w:val="24"/>
          <w:szCs w:val="24"/>
        </w:rPr>
        <w:t>（一）预付款：合同签订后15个工作日内采购人支付预付款比例不低于合同金额的30%；</w:t>
      </w:r>
    </w:p>
    <w:p w14:paraId="3D848EDB">
      <w:pPr>
        <w:snapToGrid w:val="0"/>
        <w:spacing w:line="400" w:lineRule="exact"/>
        <w:ind w:firstLine="480" w:firstLineChars="200"/>
        <w:rPr>
          <w:rFonts w:ascii="宋体" w:hAnsi="宋体"/>
          <w:sz w:val="24"/>
          <w:szCs w:val="24"/>
        </w:rPr>
      </w:pPr>
      <w:r>
        <w:rPr>
          <w:rFonts w:hint="eastAsia" w:ascii="宋体" w:hAnsi="宋体"/>
          <w:sz w:val="24"/>
          <w:szCs w:val="24"/>
        </w:rPr>
        <w:t>（二）现场基础装修完工后10个工作日内采购人支付进度款至合同金额的60%；</w:t>
      </w:r>
    </w:p>
    <w:p w14:paraId="0B3AFA14">
      <w:pPr>
        <w:snapToGrid w:val="0"/>
        <w:spacing w:line="400" w:lineRule="exact"/>
        <w:ind w:firstLine="480" w:firstLineChars="200"/>
        <w:rPr>
          <w:rFonts w:ascii="宋体" w:hAnsi="宋体"/>
          <w:sz w:val="24"/>
          <w:szCs w:val="24"/>
        </w:rPr>
      </w:pPr>
      <w:r>
        <w:rPr>
          <w:rFonts w:hint="eastAsia" w:ascii="宋体" w:hAnsi="宋体"/>
          <w:sz w:val="24"/>
          <w:szCs w:val="24"/>
        </w:rPr>
        <w:t xml:space="preserve">（三）工程完工验收合格后15个工作日内采购人支付至合同金额的80%；   </w:t>
      </w:r>
    </w:p>
    <w:p w14:paraId="3D469F48">
      <w:pPr>
        <w:snapToGrid w:val="0"/>
        <w:spacing w:line="400" w:lineRule="exact"/>
        <w:ind w:firstLine="480" w:firstLineChars="200"/>
        <w:rPr>
          <w:rFonts w:ascii="宋体" w:hAnsi="宋体"/>
          <w:sz w:val="24"/>
          <w:szCs w:val="24"/>
        </w:rPr>
      </w:pPr>
      <w:r>
        <w:rPr>
          <w:rFonts w:hint="eastAsia" w:ascii="宋体" w:hAnsi="宋体"/>
          <w:sz w:val="24"/>
          <w:szCs w:val="24"/>
        </w:rPr>
        <w:t>（四）工程竣工验收合格且通过结算审计后，15个工作日</w:t>
      </w:r>
      <w:r>
        <w:rPr>
          <w:rFonts w:hint="eastAsia" w:ascii="宋体" w:hAnsi="宋体"/>
          <w:sz w:val="24"/>
          <w:szCs w:val="24"/>
          <w:lang w:eastAsia="zh-CN"/>
        </w:rPr>
        <w:t>内</w:t>
      </w:r>
      <w:r>
        <w:rPr>
          <w:rFonts w:hint="eastAsia" w:ascii="宋体" w:hAnsi="宋体"/>
          <w:sz w:val="24"/>
          <w:szCs w:val="24"/>
        </w:rPr>
        <w:t>采购人支付至审定金额的97%，剩余结算审定金额的3%转为质保金；</w:t>
      </w:r>
    </w:p>
    <w:p w14:paraId="1E0C4847">
      <w:pPr>
        <w:snapToGrid w:val="0"/>
        <w:spacing w:line="400" w:lineRule="exact"/>
        <w:ind w:firstLine="480" w:firstLineChars="200"/>
        <w:rPr>
          <w:rFonts w:ascii="宋体" w:hAnsi="宋体"/>
          <w:sz w:val="24"/>
          <w:szCs w:val="24"/>
        </w:rPr>
      </w:pPr>
      <w:r>
        <w:rPr>
          <w:rFonts w:hint="eastAsia" w:ascii="宋体" w:hAnsi="宋体"/>
          <w:sz w:val="24"/>
          <w:szCs w:val="24"/>
        </w:rPr>
        <w:t>（五）缺陷责任期（</w:t>
      </w:r>
      <w:r>
        <w:rPr>
          <w:rFonts w:hint="eastAsia" w:ascii="宋体" w:hAnsi="宋体"/>
          <w:sz w:val="24"/>
          <w:szCs w:val="24"/>
          <w:lang w:eastAsia="zh-CN"/>
        </w:rPr>
        <w:t>18个月</w:t>
      </w:r>
      <w:r>
        <w:rPr>
          <w:rFonts w:hint="eastAsia" w:ascii="宋体" w:hAnsi="宋体"/>
          <w:sz w:val="24"/>
          <w:szCs w:val="24"/>
        </w:rPr>
        <w:t>，若供应商有最优承诺，按最优承诺执行) 满，无工程质量争议且采购人收到发票等完整的付款资料后，采购人30个工作日内支付至审定金额的100%。</w:t>
      </w:r>
    </w:p>
    <w:p w14:paraId="178F8E69">
      <w:pPr>
        <w:snapToGrid w:val="0"/>
        <w:spacing w:line="400" w:lineRule="exact"/>
        <w:ind w:firstLine="540"/>
        <w:rPr>
          <w:rFonts w:ascii="宋体" w:hAnsi="宋体"/>
          <w:sz w:val="24"/>
          <w:szCs w:val="24"/>
        </w:rPr>
      </w:pPr>
      <w:r>
        <w:rPr>
          <w:rFonts w:hint="eastAsia" w:ascii="宋体" w:hAnsi="宋体"/>
          <w:sz w:val="24"/>
          <w:szCs w:val="24"/>
        </w:rPr>
        <w:t>（六）其他付款要求</w:t>
      </w:r>
    </w:p>
    <w:p w14:paraId="11498FFE">
      <w:pPr>
        <w:snapToGrid w:val="0"/>
        <w:spacing w:line="400" w:lineRule="exact"/>
        <w:ind w:firstLine="540"/>
        <w:rPr>
          <w:rFonts w:ascii="宋体" w:hAnsi="宋体"/>
          <w:sz w:val="24"/>
          <w:szCs w:val="24"/>
        </w:rPr>
      </w:pPr>
      <w:r>
        <w:rPr>
          <w:rFonts w:hint="eastAsia" w:ascii="宋体" w:hAnsi="宋体"/>
          <w:sz w:val="24"/>
          <w:szCs w:val="24"/>
        </w:rPr>
        <w:t>1.成交供应商不得发生拖欠农民工工资行为，严格按照渝人社发〔2022〕45号《重庆市工程建设领域农民工工资专用账户管理实施细则》要求支付民工工资。</w:t>
      </w:r>
    </w:p>
    <w:p w14:paraId="62A48EA9">
      <w:pPr>
        <w:snapToGrid w:val="0"/>
        <w:spacing w:line="400" w:lineRule="exact"/>
        <w:ind w:firstLine="540"/>
        <w:rPr>
          <w:rFonts w:ascii="宋体" w:hAnsi="宋体"/>
          <w:sz w:val="24"/>
          <w:szCs w:val="24"/>
        </w:rPr>
      </w:pPr>
      <w:r>
        <w:rPr>
          <w:rFonts w:hint="eastAsia" w:ascii="宋体" w:hAnsi="宋体"/>
          <w:sz w:val="24"/>
          <w:szCs w:val="24"/>
        </w:rPr>
        <w:t>注：①每次付款前，成交供应商须按有关规定提供合格发票，因成交供应商原因未能及时提供发票造成的支付延期由成交供应商承担全部责任。</w:t>
      </w:r>
    </w:p>
    <w:p w14:paraId="096F5713">
      <w:pPr>
        <w:snapToGrid w:val="0"/>
        <w:spacing w:line="400" w:lineRule="exact"/>
        <w:ind w:firstLine="540"/>
        <w:rPr>
          <w:rFonts w:ascii="宋体" w:hAnsi="宋体"/>
          <w:sz w:val="24"/>
          <w:szCs w:val="24"/>
        </w:rPr>
      </w:pPr>
      <w:r>
        <w:rPr>
          <w:rFonts w:hint="eastAsia" w:ascii="宋体" w:hAnsi="宋体"/>
          <w:sz w:val="24"/>
          <w:szCs w:val="24"/>
        </w:rPr>
        <w:t>②采购人在支付预付款前，成交供应商须向采购人提供与预付款同等额度的见索即付不可撤销的金融机构、担保机构出具的保函。如成交供应商收到预付款后不履行相关义务，采购人可通过担保函收回已支付的预付款。</w:t>
      </w:r>
    </w:p>
    <w:p w14:paraId="7C7EE64D">
      <w:pPr>
        <w:snapToGrid w:val="0"/>
        <w:spacing w:line="400" w:lineRule="exact"/>
        <w:ind w:firstLine="540"/>
        <w:rPr>
          <w:rFonts w:ascii="宋体" w:hAnsi="宋体"/>
          <w:sz w:val="24"/>
          <w:szCs w:val="24"/>
        </w:rPr>
      </w:pPr>
      <w:r>
        <w:rPr>
          <w:rFonts w:hint="eastAsia" w:ascii="宋体" w:hAnsi="宋体"/>
          <w:sz w:val="24"/>
          <w:szCs w:val="24"/>
        </w:rPr>
        <w:t>2.结算审计审减率超过10%(含)以上的，审计费由采购人和成交供应商各承担一半，成交供应商在结算尾款前支付相应审计费，未能及时支付的，采购人在支付工程结算款时扣除。</w:t>
      </w:r>
    </w:p>
    <w:p w14:paraId="737544B1">
      <w:pPr>
        <w:keepNext/>
        <w:keepLines/>
        <w:adjustRightInd w:val="0"/>
        <w:snapToGrid w:val="0"/>
        <w:spacing w:line="400" w:lineRule="exact"/>
        <w:jc w:val="left"/>
        <w:outlineLvl w:val="1"/>
        <w:rPr>
          <w:rFonts w:ascii="宋体" w:hAnsi="宋体"/>
          <w:b/>
          <w:sz w:val="24"/>
        </w:rPr>
      </w:pPr>
      <w:bookmarkStart w:id="258" w:name="_Toc22168"/>
      <w:r>
        <w:rPr>
          <w:rFonts w:hint="eastAsia" w:ascii="宋体" w:hAnsi="宋体"/>
          <w:sz w:val="24"/>
          <w:szCs w:val="24"/>
        </w:rPr>
        <w:t>※</w:t>
      </w:r>
      <w:r>
        <w:rPr>
          <w:rFonts w:hint="eastAsia" w:ascii="宋体" w:hAnsi="宋体"/>
          <w:b/>
          <w:sz w:val="24"/>
        </w:rPr>
        <w:t>七、关于转、分包</w:t>
      </w:r>
      <w:bookmarkEnd w:id="258"/>
    </w:p>
    <w:p w14:paraId="6CCF8B56">
      <w:pPr>
        <w:snapToGrid w:val="0"/>
        <w:spacing w:line="400" w:lineRule="exact"/>
        <w:ind w:firstLine="540"/>
        <w:rPr>
          <w:rFonts w:ascii="宋体" w:hAnsi="宋体"/>
          <w:sz w:val="24"/>
          <w:szCs w:val="24"/>
        </w:rPr>
      </w:pPr>
      <w:r>
        <w:rPr>
          <w:rFonts w:hint="eastAsia" w:ascii="宋体" w:hAnsi="宋体"/>
          <w:sz w:val="24"/>
          <w:szCs w:val="24"/>
        </w:rPr>
        <w:t>(一)成交供应商不得将本工程项目转包、违法分包。一经发现，采购人有权立即解除合同，并没收履约保证金，因此给采购人造成的损失应由成交供应商承担赔偿责任。</w:t>
      </w:r>
    </w:p>
    <w:p w14:paraId="6431903F">
      <w:pPr>
        <w:snapToGrid w:val="0"/>
        <w:spacing w:line="400" w:lineRule="exact"/>
        <w:ind w:firstLine="540"/>
        <w:rPr>
          <w:rFonts w:ascii="宋体" w:hAnsi="宋体" w:cs="宋体"/>
          <w:b/>
          <w:bCs/>
          <w:sz w:val="24"/>
          <w:szCs w:val="24"/>
        </w:rPr>
      </w:pPr>
      <w:r>
        <w:rPr>
          <w:rFonts w:hint="eastAsia" w:ascii="宋体" w:hAnsi="宋体"/>
          <w:sz w:val="24"/>
          <w:szCs w:val="24"/>
        </w:rPr>
        <w:t>(二)供应商参与本工程项目磋商时，须提供不得转包、违法分包的承诺函。</w:t>
      </w:r>
      <w:r>
        <w:rPr>
          <w:rFonts w:hint="eastAsia" w:ascii="宋体" w:hAnsi="宋体"/>
          <w:b/>
          <w:bCs/>
          <w:sz w:val="24"/>
          <w:szCs w:val="24"/>
        </w:rPr>
        <w:t>（提供承诺函，格式自拟）</w:t>
      </w:r>
    </w:p>
    <w:p w14:paraId="0D00AD55">
      <w:pPr>
        <w:pStyle w:val="2"/>
        <w:tabs>
          <w:tab w:val="left" w:pos="3360"/>
        </w:tabs>
        <w:rPr>
          <w:rFonts w:cs="宋体"/>
          <w:bCs/>
          <w:szCs w:val="36"/>
        </w:rPr>
      </w:pPr>
      <w:bookmarkStart w:id="259" w:name="_Toc1757"/>
      <w:bookmarkStart w:id="260" w:name="_Toc76462332"/>
      <w:r>
        <w:rPr>
          <w:rFonts w:hint="eastAsia" w:cs="宋体"/>
          <w:b w:val="0"/>
          <w:szCs w:val="36"/>
        </w:rPr>
        <w:br w:type="page"/>
      </w:r>
      <w:bookmarkStart w:id="261" w:name="_Toc31953"/>
      <w:bookmarkStart w:id="262" w:name="_Toc17261"/>
      <w:bookmarkStart w:id="263" w:name="_Toc25419"/>
      <w:bookmarkStart w:id="264" w:name="_Toc6639"/>
      <w:bookmarkStart w:id="265" w:name="_Toc12886"/>
      <w:bookmarkStart w:id="266" w:name="_Toc211850951"/>
      <w:bookmarkStart w:id="267" w:name="_Toc3731"/>
      <w:bookmarkStart w:id="268" w:name="_Toc18659"/>
      <w:bookmarkStart w:id="269" w:name="_Toc19897"/>
      <w:bookmarkStart w:id="270" w:name="_Toc15465"/>
      <w:bookmarkStart w:id="271" w:name="_Toc3907"/>
      <w:bookmarkStart w:id="272" w:name="_Toc22334"/>
      <w:bookmarkStart w:id="273" w:name="_Toc14622"/>
      <w:bookmarkStart w:id="274" w:name="_Toc22701"/>
      <w:bookmarkStart w:id="275" w:name="_Toc8579"/>
      <w:bookmarkStart w:id="276" w:name="_Toc12375"/>
      <w:r>
        <w:rPr>
          <w:rFonts w:hint="eastAsia" w:cs="宋体"/>
          <w:bCs/>
          <w:szCs w:val="36"/>
        </w:rPr>
        <w:t>第四篇  磋商程序及方法、评审标准、无效响应和采购终止</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419E3A46">
      <w:pPr>
        <w:pStyle w:val="3"/>
        <w:adjustRightInd w:val="0"/>
        <w:snapToGrid w:val="0"/>
        <w:spacing w:line="240" w:lineRule="auto"/>
        <w:jc w:val="left"/>
        <w:rPr>
          <w:rFonts w:ascii="宋体" w:hAnsi="宋体" w:eastAsia="宋体" w:cs="宋体"/>
          <w:sz w:val="24"/>
        </w:rPr>
      </w:pPr>
      <w:bookmarkStart w:id="277" w:name="_Toc76462333"/>
      <w:bookmarkStart w:id="278" w:name="_Toc9060"/>
      <w:bookmarkStart w:id="279" w:name="_Toc21602"/>
      <w:bookmarkStart w:id="280" w:name="_Toc28646"/>
      <w:bookmarkStart w:id="281" w:name="_Toc1626"/>
      <w:bookmarkStart w:id="282" w:name="_Toc28847"/>
      <w:bookmarkStart w:id="283" w:name="_Toc31489"/>
      <w:bookmarkStart w:id="284" w:name="_Toc17660"/>
      <w:bookmarkStart w:id="285" w:name="_Toc29300"/>
      <w:bookmarkStart w:id="286" w:name="_Toc17588"/>
      <w:bookmarkStart w:id="287" w:name="_Toc9186"/>
      <w:bookmarkStart w:id="288" w:name="_Toc211850952"/>
      <w:bookmarkStart w:id="289" w:name="_Toc3815"/>
      <w:bookmarkStart w:id="290" w:name="_Toc18303"/>
      <w:bookmarkStart w:id="291" w:name="_Toc6152"/>
      <w:bookmarkStart w:id="292" w:name="_Toc26178"/>
      <w:bookmarkStart w:id="293" w:name="_Toc8399"/>
      <w:bookmarkStart w:id="294" w:name="_Toc21700"/>
      <w:r>
        <w:rPr>
          <w:rFonts w:hint="eastAsia" w:ascii="宋体" w:hAnsi="宋体" w:eastAsia="宋体" w:cs="宋体"/>
          <w:sz w:val="24"/>
        </w:rPr>
        <w:t>一、磋商程序及方法</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086D3146">
      <w:pPr>
        <w:spacing w:line="400" w:lineRule="exact"/>
        <w:ind w:firstLine="480" w:firstLineChars="200"/>
        <w:rPr>
          <w:rFonts w:ascii="宋体" w:hAnsi="宋体" w:cs="宋体"/>
          <w:sz w:val="24"/>
          <w:szCs w:val="24"/>
        </w:rPr>
      </w:pPr>
      <w:r>
        <w:rPr>
          <w:rFonts w:hint="eastAsia" w:ascii="宋体" w:hAnsi="宋体" w:cs="宋体"/>
          <w:sz w:val="24"/>
          <w:szCs w:val="24"/>
        </w:rPr>
        <w:t>（一）磋商按竞争性磋商文件规定的时间和地点进行，供应商须有法定代表人（或其授权代表）或自然人参加并签到。竞争性磋商以抽签的形式确定磋商顺序，由本项目依法组建的竞争性磋商小组（以下简称磋商小组）分别与各供应商进行磋商。</w:t>
      </w:r>
    </w:p>
    <w:p w14:paraId="03394A6E">
      <w:pPr>
        <w:spacing w:line="400" w:lineRule="exact"/>
        <w:ind w:firstLine="480" w:firstLineChars="200"/>
        <w:rPr>
          <w:rFonts w:ascii="宋体" w:hAnsi="宋体" w:cs="宋体"/>
          <w:sz w:val="24"/>
          <w:szCs w:val="24"/>
        </w:rPr>
      </w:pPr>
      <w:r>
        <w:rPr>
          <w:rFonts w:hint="eastAsia" w:ascii="宋体" w:hAnsi="宋体" w:cs="宋体"/>
          <w:sz w:val="24"/>
          <w:szCs w:val="24"/>
        </w:rPr>
        <w:t>（二）磋商小组对各供应商的资格条件、响应文件的有效性、完整性和响应程度进行审查。各供应商只有在完全符合要求的前提下，才能参与正式磋商。</w:t>
      </w:r>
    </w:p>
    <w:p w14:paraId="003DDBC2">
      <w:pPr>
        <w:snapToGrid w:val="0"/>
        <w:spacing w:line="400" w:lineRule="exact"/>
        <w:ind w:firstLine="480" w:firstLineChars="200"/>
        <w:rPr>
          <w:rFonts w:ascii="宋体" w:hAnsi="宋体" w:cs="宋体"/>
          <w:kern w:val="0"/>
          <w:sz w:val="24"/>
          <w:szCs w:val="24"/>
        </w:rPr>
      </w:pPr>
      <w:r>
        <w:rPr>
          <w:rFonts w:hint="eastAsia" w:ascii="宋体" w:hAnsi="宋体" w:cs="宋体"/>
          <w:sz w:val="24"/>
          <w:szCs w:val="24"/>
        </w:rPr>
        <w:t>1.</w:t>
      </w:r>
      <w:r>
        <w:rPr>
          <w:rFonts w:hint="eastAsia" w:ascii="宋体" w:hAnsi="宋体" w:cs="宋体"/>
          <w:kern w:val="0"/>
          <w:sz w:val="24"/>
          <w:szCs w:val="24"/>
        </w:rPr>
        <w:t>资格性审查。依据法律法规和竞争性磋商文件的规定，对响应文件中的资格证明、等进行审查，以确定供应商是否具备磋商资格。资格性审查资料表如下：</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13907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ign w:val="center"/>
          </w:tcPr>
          <w:p w14:paraId="5941E535">
            <w:pPr>
              <w:jc w:val="center"/>
              <w:rPr>
                <w:rFonts w:ascii="宋体" w:hAnsi="宋体" w:cs="宋体"/>
                <w:b/>
                <w:kern w:val="0"/>
                <w:sz w:val="21"/>
                <w:szCs w:val="21"/>
              </w:rPr>
            </w:pPr>
            <w:r>
              <w:rPr>
                <w:rFonts w:hint="eastAsia" w:ascii="宋体" w:hAnsi="宋体"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ign w:val="center"/>
          </w:tcPr>
          <w:p w14:paraId="3A730958">
            <w:pPr>
              <w:jc w:val="center"/>
              <w:rPr>
                <w:rFonts w:ascii="宋体" w:hAnsi="宋体" w:cs="宋体"/>
                <w:b/>
                <w:kern w:val="0"/>
                <w:sz w:val="21"/>
                <w:szCs w:val="21"/>
              </w:rPr>
            </w:pPr>
            <w:r>
              <w:rPr>
                <w:rFonts w:hint="eastAsia" w:ascii="宋体" w:hAnsi="宋体"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ign w:val="center"/>
          </w:tcPr>
          <w:p w14:paraId="3DDC2996">
            <w:pPr>
              <w:jc w:val="center"/>
              <w:rPr>
                <w:rFonts w:ascii="宋体" w:hAnsi="宋体" w:cs="宋体"/>
                <w:b/>
                <w:kern w:val="0"/>
                <w:sz w:val="21"/>
                <w:szCs w:val="21"/>
              </w:rPr>
            </w:pPr>
            <w:r>
              <w:rPr>
                <w:rFonts w:hint="eastAsia" w:ascii="宋体" w:hAnsi="宋体" w:cs="宋体"/>
                <w:b/>
                <w:kern w:val="0"/>
                <w:sz w:val="21"/>
                <w:szCs w:val="21"/>
              </w:rPr>
              <w:t>检查内容</w:t>
            </w:r>
          </w:p>
        </w:tc>
      </w:tr>
      <w:tr w14:paraId="0783F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ign w:val="center"/>
          </w:tcPr>
          <w:p w14:paraId="2DA11FB5">
            <w:pPr>
              <w:jc w:val="center"/>
              <w:rPr>
                <w:rFonts w:ascii="宋体" w:hAnsi="宋体" w:cs="宋体"/>
                <w:sz w:val="21"/>
                <w:szCs w:val="21"/>
              </w:rPr>
            </w:pPr>
            <w:r>
              <w:rPr>
                <w:rFonts w:hint="eastAsia" w:ascii="宋体" w:hAnsi="宋体" w:cs="宋体"/>
                <w:sz w:val="21"/>
                <w:szCs w:val="21"/>
              </w:rPr>
              <w:t>（一）</w:t>
            </w:r>
          </w:p>
        </w:tc>
        <w:tc>
          <w:tcPr>
            <w:tcW w:w="709" w:type="dxa"/>
            <w:vMerge w:val="restart"/>
            <w:noWrap/>
            <w:vAlign w:val="center"/>
          </w:tcPr>
          <w:p w14:paraId="01C994EA">
            <w:pPr>
              <w:rPr>
                <w:rFonts w:ascii="宋体" w:hAnsi="宋体" w:cs="宋体"/>
                <w:sz w:val="21"/>
                <w:szCs w:val="21"/>
                <w:lang w:val="zh-CN"/>
              </w:rPr>
            </w:pPr>
            <w:r>
              <w:rPr>
                <w:rFonts w:hint="eastAsia" w:ascii="宋体" w:hAnsi="宋体" w:cs="宋体"/>
                <w:sz w:val="21"/>
                <w:szCs w:val="21"/>
                <w:lang w:val="zh-CN"/>
              </w:rPr>
              <w:t>《中华人民共和国政府采购法》第二十二条规定</w:t>
            </w:r>
          </w:p>
        </w:tc>
        <w:tc>
          <w:tcPr>
            <w:tcW w:w="3118" w:type="dxa"/>
            <w:noWrap/>
            <w:vAlign w:val="center"/>
          </w:tcPr>
          <w:p w14:paraId="7A63BC6A">
            <w:pPr>
              <w:rPr>
                <w:rFonts w:ascii="宋体" w:hAnsi="宋体" w:cs="宋体"/>
                <w:sz w:val="21"/>
                <w:szCs w:val="21"/>
              </w:rPr>
            </w:pPr>
            <w:r>
              <w:rPr>
                <w:rFonts w:hint="eastAsia" w:ascii="宋体" w:hAnsi="宋体" w:cs="宋体"/>
                <w:sz w:val="21"/>
                <w:szCs w:val="21"/>
              </w:rPr>
              <w:t>1.具有独立承担民事责任的能力</w:t>
            </w:r>
          </w:p>
        </w:tc>
        <w:tc>
          <w:tcPr>
            <w:tcW w:w="4984" w:type="dxa"/>
            <w:noWrap/>
            <w:vAlign w:val="center"/>
          </w:tcPr>
          <w:p w14:paraId="7FB0446A">
            <w:pPr>
              <w:rPr>
                <w:rFonts w:ascii="宋体" w:hAnsi="宋体" w:cs="宋体"/>
                <w:sz w:val="21"/>
                <w:szCs w:val="21"/>
              </w:rPr>
            </w:pPr>
            <w:r>
              <w:rPr>
                <w:rFonts w:hint="eastAsia" w:ascii="宋体" w:hAnsi="宋体" w:cs="宋体"/>
                <w:sz w:val="21"/>
                <w:szCs w:val="21"/>
              </w:rPr>
              <w:t xml:space="preserve">1.供应商法人营业执照（副本）或事业单位法人证书（副本）或个体工商户营业执照或有效的自然人身份证明或社会团体法人登记证书（提供复印件）。 </w:t>
            </w:r>
          </w:p>
          <w:p w14:paraId="5A4BE5C2">
            <w:pPr>
              <w:rPr>
                <w:rFonts w:ascii="宋体" w:hAnsi="宋体" w:cs="宋体"/>
                <w:sz w:val="21"/>
                <w:szCs w:val="21"/>
              </w:rPr>
            </w:pPr>
            <w:r>
              <w:rPr>
                <w:rFonts w:hint="eastAsia" w:ascii="宋体" w:hAnsi="宋体" w:cs="宋体"/>
                <w:sz w:val="21"/>
                <w:szCs w:val="21"/>
              </w:rPr>
              <w:t>2.供应商法定代表人身份证明和法定代表人授权代表委托书。</w:t>
            </w:r>
          </w:p>
        </w:tc>
      </w:tr>
      <w:tr w14:paraId="1183F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ign w:val="center"/>
          </w:tcPr>
          <w:p w14:paraId="5F5B12A5">
            <w:pPr>
              <w:jc w:val="center"/>
              <w:rPr>
                <w:rFonts w:ascii="宋体" w:hAnsi="宋体" w:cs="宋体"/>
                <w:sz w:val="21"/>
                <w:szCs w:val="21"/>
              </w:rPr>
            </w:pPr>
          </w:p>
        </w:tc>
        <w:tc>
          <w:tcPr>
            <w:tcW w:w="709" w:type="dxa"/>
            <w:vMerge w:val="continue"/>
            <w:noWrap/>
            <w:vAlign w:val="center"/>
          </w:tcPr>
          <w:p w14:paraId="278381A0">
            <w:pPr>
              <w:rPr>
                <w:rFonts w:ascii="宋体" w:hAnsi="宋体" w:cs="宋体"/>
                <w:sz w:val="21"/>
                <w:szCs w:val="21"/>
                <w:lang w:val="zh-CN"/>
              </w:rPr>
            </w:pPr>
          </w:p>
        </w:tc>
        <w:tc>
          <w:tcPr>
            <w:tcW w:w="3118" w:type="dxa"/>
            <w:noWrap/>
            <w:vAlign w:val="center"/>
          </w:tcPr>
          <w:p w14:paraId="069327BF">
            <w:pPr>
              <w:rPr>
                <w:rFonts w:ascii="宋体" w:hAnsi="宋体" w:cs="宋体"/>
                <w:sz w:val="21"/>
                <w:szCs w:val="21"/>
              </w:rPr>
            </w:pPr>
            <w:r>
              <w:rPr>
                <w:rFonts w:hint="eastAsia" w:ascii="宋体" w:hAnsi="宋体" w:cs="宋体"/>
                <w:sz w:val="21"/>
                <w:szCs w:val="21"/>
                <w:lang w:val="zh-CN"/>
              </w:rPr>
              <w:t>2.</w:t>
            </w:r>
            <w:r>
              <w:rPr>
                <w:rFonts w:hint="eastAsia" w:ascii="宋体" w:hAnsi="宋体" w:cs="宋体"/>
                <w:sz w:val="21"/>
                <w:szCs w:val="21"/>
              </w:rPr>
              <w:t>具有良好的商业信誉和健全的财务会计制度</w:t>
            </w:r>
          </w:p>
        </w:tc>
        <w:tc>
          <w:tcPr>
            <w:tcW w:w="4984" w:type="dxa"/>
            <w:vMerge w:val="restart"/>
            <w:noWrap/>
            <w:vAlign w:val="center"/>
          </w:tcPr>
          <w:p w14:paraId="464DB51C">
            <w:pPr>
              <w:rPr>
                <w:rFonts w:ascii="宋体" w:hAnsi="宋体" w:cs="宋体"/>
                <w:b/>
                <w:sz w:val="21"/>
                <w:szCs w:val="21"/>
              </w:rPr>
            </w:pPr>
            <w:r>
              <w:rPr>
                <w:rFonts w:hint="eastAsia" w:ascii="宋体" w:hAnsi="宋体" w:cs="宋体"/>
                <w:b/>
                <w:sz w:val="21"/>
                <w:szCs w:val="21"/>
              </w:rPr>
              <w:t>供应商提供“基本资格条件承诺函”（格式详见第七篇）</w:t>
            </w:r>
          </w:p>
        </w:tc>
      </w:tr>
      <w:tr w14:paraId="173D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ign w:val="center"/>
          </w:tcPr>
          <w:p w14:paraId="23CAA50F">
            <w:pPr>
              <w:jc w:val="center"/>
              <w:rPr>
                <w:rFonts w:ascii="宋体" w:hAnsi="宋体" w:cs="宋体"/>
                <w:sz w:val="21"/>
                <w:szCs w:val="21"/>
              </w:rPr>
            </w:pPr>
          </w:p>
        </w:tc>
        <w:tc>
          <w:tcPr>
            <w:tcW w:w="709" w:type="dxa"/>
            <w:vMerge w:val="continue"/>
            <w:noWrap/>
            <w:vAlign w:val="center"/>
          </w:tcPr>
          <w:p w14:paraId="09509A0E">
            <w:pPr>
              <w:rPr>
                <w:rFonts w:ascii="宋体" w:hAnsi="宋体" w:cs="宋体"/>
                <w:sz w:val="21"/>
                <w:szCs w:val="21"/>
                <w:lang w:val="zh-CN"/>
              </w:rPr>
            </w:pPr>
          </w:p>
        </w:tc>
        <w:tc>
          <w:tcPr>
            <w:tcW w:w="3118" w:type="dxa"/>
            <w:noWrap/>
            <w:vAlign w:val="center"/>
          </w:tcPr>
          <w:p w14:paraId="7CE122B1">
            <w:pPr>
              <w:rPr>
                <w:rFonts w:ascii="宋体" w:hAnsi="宋体" w:cs="宋体"/>
                <w:sz w:val="21"/>
                <w:szCs w:val="21"/>
                <w:lang w:val="zh-CN"/>
              </w:rPr>
            </w:pPr>
            <w:r>
              <w:rPr>
                <w:rFonts w:hint="eastAsia" w:ascii="宋体" w:hAnsi="宋体" w:cs="宋体"/>
                <w:sz w:val="21"/>
                <w:szCs w:val="21"/>
                <w:lang w:val="zh-CN"/>
              </w:rPr>
              <w:t>3.具有履行合同所必需的设备和专业技术能力</w:t>
            </w:r>
          </w:p>
        </w:tc>
        <w:tc>
          <w:tcPr>
            <w:tcW w:w="4984" w:type="dxa"/>
            <w:vMerge w:val="continue"/>
            <w:noWrap/>
            <w:vAlign w:val="center"/>
          </w:tcPr>
          <w:p w14:paraId="1CB66703">
            <w:pPr>
              <w:rPr>
                <w:rFonts w:ascii="宋体" w:hAnsi="宋体" w:cs="宋体"/>
                <w:sz w:val="21"/>
                <w:szCs w:val="21"/>
              </w:rPr>
            </w:pPr>
          </w:p>
        </w:tc>
      </w:tr>
      <w:tr w14:paraId="0FED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ign w:val="center"/>
          </w:tcPr>
          <w:p w14:paraId="1C112E2D">
            <w:pPr>
              <w:jc w:val="center"/>
              <w:rPr>
                <w:rFonts w:ascii="宋体" w:hAnsi="宋体" w:cs="宋体"/>
                <w:sz w:val="21"/>
                <w:szCs w:val="21"/>
              </w:rPr>
            </w:pPr>
          </w:p>
        </w:tc>
        <w:tc>
          <w:tcPr>
            <w:tcW w:w="709" w:type="dxa"/>
            <w:vMerge w:val="continue"/>
            <w:noWrap/>
            <w:vAlign w:val="center"/>
          </w:tcPr>
          <w:p w14:paraId="55F731B0">
            <w:pPr>
              <w:rPr>
                <w:rFonts w:ascii="宋体" w:hAnsi="宋体" w:cs="宋体"/>
                <w:sz w:val="21"/>
                <w:szCs w:val="21"/>
                <w:lang w:val="zh-CN"/>
              </w:rPr>
            </w:pPr>
          </w:p>
        </w:tc>
        <w:tc>
          <w:tcPr>
            <w:tcW w:w="3118" w:type="dxa"/>
            <w:noWrap/>
            <w:vAlign w:val="center"/>
          </w:tcPr>
          <w:p w14:paraId="1311CFB8">
            <w:pPr>
              <w:rPr>
                <w:rFonts w:ascii="宋体" w:hAnsi="宋体" w:cs="宋体"/>
                <w:sz w:val="21"/>
                <w:szCs w:val="21"/>
                <w:lang w:val="zh-CN"/>
              </w:rPr>
            </w:pPr>
            <w:r>
              <w:rPr>
                <w:rFonts w:hint="eastAsia" w:ascii="宋体" w:hAnsi="宋体" w:cs="宋体"/>
                <w:sz w:val="21"/>
                <w:szCs w:val="21"/>
                <w:lang w:val="zh-CN"/>
              </w:rPr>
              <w:t>4.有依法缴纳税收和社会保障金的良好记录</w:t>
            </w:r>
          </w:p>
        </w:tc>
        <w:tc>
          <w:tcPr>
            <w:tcW w:w="4984" w:type="dxa"/>
            <w:vMerge w:val="continue"/>
            <w:noWrap/>
            <w:vAlign w:val="center"/>
          </w:tcPr>
          <w:p w14:paraId="6A6C526F">
            <w:pPr>
              <w:rPr>
                <w:rFonts w:ascii="宋体" w:hAnsi="宋体" w:cs="宋体"/>
                <w:sz w:val="21"/>
                <w:szCs w:val="21"/>
              </w:rPr>
            </w:pPr>
          </w:p>
        </w:tc>
      </w:tr>
      <w:tr w14:paraId="3381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ign w:val="center"/>
          </w:tcPr>
          <w:p w14:paraId="7EA4592E">
            <w:pPr>
              <w:jc w:val="center"/>
              <w:rPr>
                <w:rFonts w:ascii="宋体" w:hAnsi="宋体" w:cs="宋体"/>
                <w:sz w:val="21"/>
                <w:szCs w:val="21"/>
              </w:rPr>
            </w:pPr>
          </w:p>
        </w:tc>
        <w:tc>
          <w:tcPr>
            <w:tcW w:w="709" w:type="dxa"/>
            <w:vMerge w:val="continue"/>
            <w:noWrap/>
            <w:vAlign w:val="center"/>
          </w:tcPr>
          <w:p w14:paraId="55E8AFA9">
            <w:pPr>
              <w:rPr>
                <w:rFonts w:ascii="宋体" w:hAnsi="宋体" w:cs="宋体"/>
                <w:sz w:val="21"/>
                <w:szCs w:val="21"/>
                <w:lang w:val="zh-CN"/>
              </w:rPr>
            </w:pPr>
          </w:p>
        </w:tc>
        <w:tc>
          <w:tcPr>
            <w:tcW w:w="3118" w:type="dxa"/>
            <w:noWrap/>
            <w:vAlign w:val="center"/>
          </w:tcPr>
          <w:p w14:paraId="37E3EA70">
            <w:pPr>
              <w:rPr>
                <w:rFonts w:ascii="宋体" w:hAnsi="宋体" w:cs="宋体"/>
                <w:sz w:val="21"/>
                <w:szCs w:val="21"/>
                <w:lang w:val="zh-CN"/>
              </w:rPr>
            </w:pPr>
            <w:r>
              <w:rPr>
                <w:rFonts w:hint="eastAsia" w:ascii="宋体" w:hAnsi="宋体" w:cs="宋体"/>
                <w:sz w:val="21"/>
                <w:szCs w:val="21"/>
              </w:rPr>
              <w:t>5.参加政府采购活动前三年内，在经营活动中没有重大违法记录</w:t>
            </w:r>
          </w:p>
        </w:tc>
        <w:tc>
          <w:tcPr>
            <w:tcW w:w="4984" w:type="dxa"/>
            <w:vMerge w:val="continue"/>
            <w:noWrap/>
            <w:vAlign w:val="center"/>
          </w:tcPr>
          <w:p w14:paraId="07918E06">
            <w:pPr>
              <w:rPr>
                <w:rFonts w:ascii="宋体" w:hAnsi="宋体" w:cs="宋体"/>
                <w:b/>
                <w:sz w:val="21"/>
                <w:szCs w:val="21"/>
              </w:rPr>
            </w:pPr>
          </w:p>
        </w:tc>
      </w:tr>
      <w:tr w14:paraId="0079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ign w:val="center"/>
          </w:tcPr>
          <w:p w14:paraId="796929D3">
            <w:pPr>
              <w:jc w:val="center"/>
              <w:rPr>
                <w:rFonts w:ascii="宋体" w:hAnsi="宋体" w:cs="宋体"/>
                <w:sz w:val="21"/>
                <w:szCs w:val="21"/>
              </w:rPr>
            </w:pPr>
          </w:p>
        </w:tc>
        <w:tc>
          <w:tcPr>
            <w:tcW w:w="709" w:type="dxa"/>
            <w:vMerge w:val="continue"/>
            <w:noWrap/>
            <w:vAlign w:val="center"/>
          </w:tcPr>
          <w:p w14:paraId="2B357FDD">
            <w:pPr>
              <w:rPr>
                <w:rFonts w:ascii="宋体" w:hAnsi="宋体" w:cs="宋体"/>
                <w:sz w:val="21"/>
                <w:szCs w:val="21"/>
              </w:rPr>
            </w:pPr>
          </w:p>
        </w:tc>
        <w:tc>
          <w:tcPr>
            <w:tcW w:w="3118" w:type="dxa"/>
            <w:noWrap/>
            <w:vAlign w:val="center"/>
          </w:tcPr>
          <w:p w14:paraId="47B835A4">
            <w:pPr>
              <w:rPr>
                <w:rFonts w:ascii="宋体" w:hAnsi="宋体" w:cs="宋体"/>
                <w:sz w:val="21"/>
                <w:szCs w:val="21"/>
              </w:rPr>
            </w:pPr>
            <w:r>
              <w:rPr>
                <w:rFonts w:hint="eastAsia" w:ascii="宋体" w:hAnsi="宋体" w:cs="宋体"/>
                <w:sz w:val="21"/>
                <w:szCs w:val="21"/>
              </w:rPr>
              <w:t>6.法律、行政法规规定的其他条件</w:t>
            </w:r>
          </w:p>
        </w:tc>
        <w:tc>
          <w:tcPr>
            <w:tcW w:w="4984" w:type="dxa"/>
            <w:noWrap/>
            <w:vAlign w:val="center"/>
          </w:tcPr>
          <w:p w14:paraId="6E778FB9">
            <w:pPr>
              <w:rPr>
                <w:rFonts w:ascii="宋体" w:hAnsi="宋体" w:cs="宋体"/>
                <w:sz w:val="21"/>
                <w:szCs w:val="21"/>
              </w:rPr>
            </w:pPr>
          </w:p>
        </w:tc>
      </w:tr>
      <w:tr w14:paraId="49509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ign w:val="center"/>
          </w:tcPr>
          <w:p w14:paraId="6C081B85">
            <w:pPr>
              <w:jc w:val="center"/>
              <w:rPr>
                <w:rFonts w:ascii="宋体" w:hAnsi="宋体" w:cs="宋体"/>
                <w:sz w:val="21"/>
                <w:szCs w:val="21"/>
              </w:rPr>
            </w:pPr>
          </w:p>
        </w:tc>
        <w:tc>
          <w:tcPr>
            <w:tcW w:w="709" w:type="dxa"/>
            <w:vMerge w:val="continue"/>
            <w:noWrap/>
            <w:vAlign w:val="center"/>
          </w:tcPr>
          <w:p w14:paraId="35D29E1B">
            <w:pPr>
              <w:rPr>
                <w:rFonts w:ascii="宋体" w:hAnsi="宋体" w:cs="宋体"/>
                <w:sz w:val="21"/>
                <w:szCs w:val="21"/>
              </w:rPr>
            </w:pPr>
          </w:p>
        </w:tc>
        <w:tc>
          <w:tcPr>
            <w:tcW w:w="3118" w:type="dxa"/>
            <w:noWrap/>
            <w:vAlign w:val="center"/>
          </w:tcPr>
          <w:p w14:paraId="653AE9EA">
            <w:pPr>
              <w:rPr>
                <w:rFonts w:ascii="宋体" w:hAnsi="宋体" w:cs="宋体"/>
                <w:sz w:val="21"/>
                <w:szCs w:val="21"/>
              </w:rPr>
            </w:pPr>
            <w:r>
              <w:rPr>
                <w:rFonts w:hint="eastAsia" w:ascii="宋体" w:hAnsi="宋体" w:cs="宋体"/>
                <w:sz w:val="21"/>
                <w:szCs w:val="21"/>
              </w:rPr>
              <w:t>7.本项目的特定资格要求</w:t>
            </w:r>
          </w:p>
        </w:tc>
        <w:tc>
          <w:tcPr>
            <w:tcW w:w="4984" w:type="dxa"/>
            <w:noWrap/>
            <w:vAlign w:val="center"/>
          </w:tcPr>
          <w:p w14:paraId="4AFA3253">
            <w:pPr>
              <w:rPr>
                <w:rFonts w:ascii="宋体" w:hAnsi="宋体" w:cs="宋体"/>
                <w:sz w:val="21"/>
                <w:szCs w:val="21"/>
              </w:rPr>
            </w:pPr>
            <w:r>
              <w:rPr>
                <w:rFonts w:hint="eastAsia" w:ascii="宋体" w:hAnsi="宋体" w:cs="宋体"/>
                <w:sz w:val="21"/>
                <w:szCs w:val="21"/>
              </w:rPr>
              <w:t>按“第一篇三、供应商资格要求（三）本项目的特定资格要求”的要求提交。</w:t>
            </w:r>
          </w:p>
        </w:tc>
      </w:tr>
      <w:tr w14:paraId="28D3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5423C25F">
            <w:pPr>
              <w:jc w:val="center"/>
              <w:rPr>
                <w:rFonts w:ascii="宋体" w:hAnsi="宋体" w:cs="宋体"/>
                <w:sz w:val="21"/>
                <w:szCs w:val="21"/>
              </w:rPr>
            </w:pPr>
            <w:r>
              <w:rPr>
                <w:rFonts w:hint="eastAsia" w:ascii="宋体" w:hAnsi="宋体" w:cs="宋体"/>
                <w:sz w:val="21"/>
                <w:szCs w:val="21"/>
              </w:rPr>
              <w:t>（二）</w:t>
            </w:r>
          </w:p>
        </w:tc>
        <w:tc>
          <w:tcPr>
            <w:tcW w:w="3827" w:type="dxa"/>
            <w:gridSpan w:val="2"/>
            <w:noWrap/>
            <w:vAlign w:val="center"/>
          </w:tcPr>
          <w:p w14:paraId="7193A445">
            <w:pPr>
              <w:rPr>
                <w:rFonts w:ascii="宋体" w:hAnsi="宋体" w:cs="宋体"/>
                <w:sz w:val="21"/>
                <w:szCs w:val="21"/>
              </w:rPr>
            </w:pPr>
            <w:r>
              <w:rPr>
                <w:rFonts w:hint="eastAsia" w:ascii="宋体" w:hAnsi="宋体" w:cs="宋体"/>
                <w:sz w:val="21"/>
                <w:szCs w:val="21"/>
              </w:rPr>
              <w:t>落实政府采购政策需满足的资格要求</w:t>
            </w:r>
          </w:p>
        </w:tc>
        <w:tc>
          <w:tcPr>
            <w:tcW w:w="4984" w:type="dxa"/>
            <w:noWrap/>
            <w:vAlign w:val="center"/>
          </w:tcPr>
          <w:p w14:paraId="4952F349">
            <w:pPr>
              <w:rPr>
                <w:rFonts w:ascii="宋体" w:hAnsi="宋体" w:cs="宋体"/>
                <w:sz w:val="21"/>
                <w:szCs w:val="21"/>
              </w:rPr>
            </w:pPr>
            <w:r>
              <w:rPr>
                <w:rFonts w:hint="eastAsia" w:ascii="宋体" w:hAnsi="宋体" w:cs="宋体"/>
                <w:sz w:val="21"/>
                <w:szCs w:val="21"/>
              </w:rPr>
              <w:t>按“第一篇三、供应商资格要求（二）落实政府采购政策需满足的资格要求”的要求提交。</w:t>
            </w:r>
          </w:p>
        </w:tc>
      </w:tr>
    </w:tbl>
    <w:p w14:paraId="55935A91">
      <w:pPr>
        <w:snapToGrid w:val="0"/>
        <w:spacing w:line="400" w:lineRule="exact"/>
        <w:ind w:firstLine="480" w:firstLineChars="200"/>
        <w:rPr>
          <w:rFonts w:ascii="宋体" w:hAnsi="宋体" w:cs="宋体"/>
          <w:kern w:val="0"/>
          <w:sz w:val="24"/>
          <w:szCs w:val="24"/>
        </w:rPr>
      </w:pPr>
      <w:r>
        <w:rPr>
          <w:rFonts w:hint="eastAsia" w:ascii="宋体" w:hAnsi="宋体" w:cs="宋体"/>
          <w:kern w:val="0"/>
          <w:sz w:val="24"/>
          <w:szCs w:val="24"/>
        </w:rPr>
        <w:t>注：</w:t>
      </w:r>
    </w:p>
    <w:p w14:paraId="1907F1C8">
      <w:pPr>
        <w:snapToGrid w:val="0"/>
        <w:spacing w:line="400" w:lineRule="exact"/>
        <w:ind w:firstLine="480" w:firstLineChars="200"/>
        <w:rPr>
          <w:rFonts w:ascii="宋体" w:hAnsi="宋体" w:cs="宋体"/>
          <w:kern w:val="0"/>
          <w:sz w:val="24"/>
          <w:szCs w:val="24"/>
        </w:rPr>
      </w:pPr>
      <w:r>
        <w:rPr>
          <w:rFonts w:hint="eastAsia" w:ascii="宋体" w:hAnsi="宋体" w:cs="宋体"/>
          <w:kern w:val="0"/>
          <w:sz w:val="24"/>
          <w:szCs w:val="24"/>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号）”执行。供应商可于响应文件递交截止时间前通过 “信用中国”网站(www.creditchina.gov.cn)、"中国政府采购网"(www.ccgp.gov.cn)等渠道查询信用记录。</w:t>
      </w:r>
    </w:p>
    <w:p w14:paraId="5DACF8EF">
      <w:pPr>
        <w:snapToGrid w:val="0"/>
        <w:spacing w:line="400" w:lineRule="exact"/>
        <w:ind w:firstLine="480" w:firstLineChars="200"/>
        <w:rPr>
          <w:rFonts w:ascii="宋体" w:hAnsi="宋体" w:cs="宋体"/>
          <w:kern w:val="0"/>
          <w:sz w:val="24"/>
          <w:szCs w:val="24"/>
        </w:rPr>
      </w:pPr>
      <w:r>
        <w:rPr>
          <w:rFonts w:hint="eastAsia" w:ascii="宋体" w:hAnsi="宋体" w:cs="宋体"/>
          <w:kern w:val="0"/>
          <w:sz w:val="24"/>
          <w:szCs w:val="24"/>
        </w:rPr>
        <w:t>2.符合性审查。依据竞争性磋商文件的规定，从响应文件的有效性、完整性和对竞争性磋商文件的响应程度进行审查，以确定是否对竞争性磋商文件的实质性要求作出响应。符合性审查资料表如下：</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14:paraId="1260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noWrap/>
            <w:vAlign w:val="center"/>
          </w:tcPr>
          <w:p w14:paraId="66CA3BE6">
            <w:pPr>
              <w:jc w:val="center"/>
              <w:rPr>
                <w:rFonts w:ascii="宋体" w:hAnsi="宋体" w:cs="宋体"/>
                <w:b/>
                <w:kern w:val="0"/>
                <w:sz w:val="21"/>
                <w:szCs w:val="21"/>
              </w:rPr>
            </w:pPr>
            <w:r>
              <w:rPr>
                <w:rFonts w:hint="eastAsia" w:ascii="宋体" w:hAnsi="宋体" w:cs="宋体"/>
                <w:b/>
                <w:kern w:val="0"/>
                <w:sz w:val="21"/>
                <w:szCs w:val="21"/>
              </w:rPr>
              <w:t>序号</w:t>
            </w:r>
          </w:p>
        </w:tc>
        <w:tc>
          <w:tcPr>
            <w:tcW w:w="3544" w:type="dxa"/>
            <w:gridSpan w:val="2"/>
            <w:noWrap/>
            <w:vAlign w:val="center"/>
          </w:tcPr>
          <w:p w14:paraId="712FE904">
            <w:pPr>
              <w:jc w:val="center"/>
              <w:rPr>
                <w:rFonts w:ascii="宋体" w:hAnsi="宋体" w:cs="宋体"/>
                <w:b/>
                <w:kern w:val="0"/>
                <w:sz w:val="21"/>
                <w:szCs w:val="21"/>
              </w:rPr>
            </w:pPr>
            <w:r>
              <w:rPr>
                <w:rFonts w:hint="eastAsia" w:ascii="宋体" w:hAnsi="宋体" w:cs="宋体"/>
                <w:b/>
                <w:kern w:val="0"/>
                <w:sz w:val="21"/>
                <w:szCs w:val="21"/>
              </w:rPr>
              <w:t>评审因素</w:t>
            </w:r>
          </w:p>
        </w:tc>
        <w:tc>
          <w:tcPr>
            <w:tcW w:w="5409" w:type="dxa"/>
            <w:noWrap/>
            <w:vAlign w:val="center"/>
          </w:tcPr>
          <w:p w14:paraId="58264150">
            <w:pPr>
              <w:jc w:val="center"/>
              <w:rPr>
                <w:rFonts w:ascii="宋体" w:hAnsi="宋体" w:cs="宋体"/>
                <w:b/>
                <w:kern w:val="0"/>
                <w:sz w:val="21"/>
                <w:szCs w:val="21"/>
              </w:rPr>
            </w:pPr>
            <w:r>
              <w:rPr>
                <w:rFonts w:hint="eastAsia" w:ascii="宋体" w:hAnsi="宋体" w:cs="宋体"/>
                <w:b/>
                <w:kern w:val="0"/>
                <w:sz w:val="21"/>
                <w:szCs w:val="21"/>
              </w:rPr>
              <w:t>评审标准</w:t>
            </w:r>
          </w:p>
        </w:tc>
      </w:tr>
      <w:tr w14:paraId="3840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noWrap/>
            <w:vAlign w:val="center"/>
          </w:tcPr>
          <w:p w14:paraId="47FBA89F">
            <w:pPr>
              <w:jc w:val="center"/>
              <w:rPr>
                <w:rFonts w:ascii="宋体" w:hAnsi="宋体" w:cs="宋体"/>
                <w:kern w:val="0"/>
                <w:sz w:val="21"/>
                <w:szCs w:val="21"/>
              </w:rPr>
            </w:pPr>
            <w:r>
              <w:rPr>
                <w:rFonts w:hint="eastAsia" w:ascii="宋体" w:hAnsi="宋体" w:cs="宋体"/>
                <w:kern w:val="0"/>
                <w:sz w:val="21"/>
                <w:szCs w:val="21"/>
              </w:rPr>
              <w:t>1</w:t>
            </w:r>
          </w:p>
        </w:tc>
        <w:tc>
          <w:tcPr>
            <w:tcW w:w="1560" w:type="dxa"/>
            <w:vMerge w:val="restart"/>
            <w:noWrap/>
            <w:vAlign w:val="center"/>
          </w:tcPr>
          <w:p w14:paraId="6849F38E">
            <w:pPr>
              <w:rPr>
                <w:rFonts w:ascii="宋体" w:hAnsi="宋体" w:cs="宋体"/>
                <w:kern w:val="0"/>
                <w:sz w:val="21"/>
                <w:szCs w:val="21"/>
              </w:rPr>
            </w:pPr>
            <w:r>
              <w:rPr>
                <w:rFonts w:hint="eastAsia" w:ascii="宋体" w:hAnsi="宋体" w:cs="宋体"/>
                <w:kern w:val="0"/>
                <w:sz w:val="21"/>
                <w:szCs w:val="21"/>
              </w:rPr>
              <w:t>有效性审查</w:t>
            </w:r>
          </w:p>
        </w:tc>
        <w:tc>
          <w:tcPr>
            <w:tcW w:w="1984" w:type="dxa"/>
            <w:noWrap/>
            <w:vAlign w:val="center"/>
          </w:tcPr>
          <w:p w14:paraId="443ACE91">
            <w:pPr>
              <w:rPr>
                <w:rFonts w:ascii="宋体" w:hAnsi="宋体" w:cs="宋体"/>
                <w:kern w:val="0"/>
                <w:sz w:val="21"/>
                <w:szCs w:val="21"/>
              </w:rPr>
            </w:pPr>
            <w:r>
              <w:rPr>
                <w:rFonts w:hint="eastAsia" w:ascii="宋体" w:hAnsi="宋体" w:cs="宋体"/>
                <w:sz w:val="21"/>
                <w:szCs w:val="21"/>
              </w:rPr>
              <w:t>响应文件签署或盖章</w:t>
            </w:r>
          </w:p>
        </w:tc>
        <w:tc>
          <w:tcPr>
            <w:tcW w:w="5409" w:type="dxa"/>
            <w:noWrap/>
            <w:vAlign w:val="center"/>
          </w:tcPr>
          <w:p w14:paraId="0F891DFB">
            <w:pPr>
              <w:rPr>
                <w:rFonts w:ascii="宋体" w:hAnsi="宋体" w:cs="宋体"/>
                <w:kern w:val="0"/>
                <w:sz w:val="21"/>
                <w:szCs w:val="21"/>
              </w:rPr>
            </w:pPr>
            <w:r>
              <w:rPr>
                <w:rFonts w:hint="eastAsia" w:ascii="宋体" w:hAnsi="宋体" w:cs="宋体"/>
                <w:sz w:val="21"/>
                <w:szCs w:val="21"/>
              </w:rPr>
              <w:t>按竞争性磋商文件“第七篇响应文件编制要求”要求签署或盖章。</w:t>
            </w:r>
          </w:p>
        </w:tc>
      </w:tr>
      <w:tr w14:paraId="0417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noWrap/>
            <w:vAlign w:val="center"/>
          </w:tcPr>
          <w:p w14:paraId="14F781F9">
            <w:pPr>
              <w:jc w:val="center"/>
              <w:rPr>
                <w:rFonts w:ascii="宋体" w:hAnsi="宋体" w:cs="宋体"/>
                <w:kern w:val="0"/>
                <w:sz w:val="21"/>
                <w:szCs w:val="21"/>
              </w:rPr>
            </w:pPr>
          </w:p>
        </w:tc>
        <w:tc>
          <w:tcPr>
            <w:tcW w:w="1560" w:type="dxa"/>
            <w:vMerge w:val="continue"/>
            <w:noWrap/>
            <w:vAlign w:val="center"/>
          </w:tcPr>
          <w:p w14:paraId="59A6EFB7">
            <w:pPr>
              <w:rPr>
                <w:rFonts w:ascii="宋体" w:hAnsi="宋体" w:cs="宋体"/>
                <w:kern w:val="0"/>
                <w:sz w:val="21"/>
                <w:szCs w:val="21"/>
              </w:rPr>
            </w:pPr>
          </w:p>
        </w:tc>
        <w:tc>
          <w:tcPr>
            <w:tcW w:w="1984" w:type="dxa"/>
            <w:noWrap/>
            <w:vAlign w:val="center"/>
          </w:tcPr>
          <w:p w14:paraId="0878005F">
            <w:pPr>
              <w:rPr>
                <w:rFonts w:ascii="宋体" w:hAnsi="宋体" w:cs="宋体"/>
                <w:sz w:val="21"/>
                <w:szCs w:val="21"/>
              </w:rPr>
            </w:pPr>
            <w:r>
              <w:rPr>
                <w:rFonts w:hint="eastAsia" w:ascii="宋体" w:hAnsi="宋体" w:cs="宋体"/>
                <w:sz w:val="21"/>
                <w:szCs w:val="21"/>
              </w:rPr>
              <w:t>法定代表人身份证明及授权委托书</w:t>
            </w:r>
          </w:p>
        </w:tc>
        <w:tc>
          <w:tcPr>
            <w:tcW w:w="5409" w:type="dxa"/>
            <w:noWrap/>
            <w:vAlign w:val="center"/>
          </w:tcPr>
          <w:p w14:paraId="3AF074C3">
            <w:pPr>
              <w:rPr>
                <w:rFonts w:ascii="宋体" w:hAnsi="宋体" w:cs="宋体"/>
                <w:sz w:val="21"/>
                <w:szCs w:val="21"/>
              </w:rPr>
            </w:pPr>
            <w:r>
              <w:rPr>
                <w:rFonts w:hint="eastAsia" w:ascii="宋体" w:hAnsi="宋体" w:cs="宋体"/>
                <w:sz w:val="21"/>
                <w:szCs w:val="21"/>
              </w:rPr>
              <w:t>法定代表人身份证明及授权委托书有效，符合竞争性磋商文件规定的格式，签署或盖章齐全。</w:t>
            </w:r>
          </w:p>
        </w:tc>
      </w:tr>
      <w:tr w14:paraId="46CD2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noWrap/>
            <w:vAlign w:val="center"/>
          </w:tcPr>
          <w:p w14:paraId="4DDADCC5">
            <w:pPr>
              <w:jc w:val="center"/>
              <w:rPr>
                <w:rFonts w:ascii="宋体" w:hAnsi="宋体" w:cs="宋体"/>
                <w:kern w:val="0"/>
                <w:sz w:val="21"/>
                <w:szCs w:val="21"/>
              </w:rPr>
            </w:pPr>
          </w:p>
        </w:tc>
        <w:tc>
          <w:tcPr>
            <w:tcW w:w="1560" w:type="dxa"/>
            <w:vMerge w:val="continue"/>
            <w:noWrap/>
            <w:vAlign w:val="center"/>
          </w:tcPr>
          <w:p w14:paraId="5BC2B618">
            <w:pPr>
              <w:rPr>
                <w:rFonts w:ascii="宋体" w:hAnsi="宋体" w:cs="宋体"/>
                <w:kern w:val="0"/>
                <w:sz w:val="21"/>
                <w:szCs w:val="21"/>
              </w:rPr>
            </w:pPr>
          </w:p>
        </w:tc>
        <w:tc>
          <w:tcPr>
            <w:tcW w:w="1984" w:type="dxa"/>
            <w:noWrap/>
            <w:vAlign w:val="center"/>
          </w:tcPr>
          <w:p w14:paraId="2E8116FE">
            <w:pPr>
              <w:rPr>
                <w:rFonts w:ascii="宋体" w:hAnsi="宋体" w:cs="宋体"/>
                <w:sz w:val="21"/>
                <w:szCs w:val="21"/>
                <w:lang w:val="zh-CN"/>
              </w:rPr>
            </w:pPr>
            <w:r>
              <w:rPr>
                <w:rFonts w:hint="eastAsia" w:ascii="宋体" w:hAnsi="宋体" w:cs="宋体"/>
                <w:sz w:val="21"/>
                <w:szCs w:val="21"/>
              </w:rPr>
              <w:t>响应</w:t>
            </w:r>
            <w:r>
              <w:rPr>
                <w:rFonts w:hint="eastAsia" w:ascii="宋体" w:hAnsi="宋体" w:cs="宋体"/>
                <w:sz w:val="21"/>
                <w:szCs w:val="21"/>
                <w:lang w:val="zh-CN"/>
              </w:rPr>
              <w:t>方案</w:t>
            </w:r>
          </w:p>
        </w:tc>
        <w:tc>
          <w:tcPr>
            <w:tcW w:w="5409" w:type="dxa"/>
            <w:noWrap/>
            <w:vAlign w:val="center"/>
          </w:tcPr>
          <w:p w14:paraId="673FE8CF">
            <w:pPr>
              <w:rPr>
                <w:rFonts w:ascii="宋体" w:hAnsi="宋体" w:cs="宋体"/>
                <w:kern w:val="0"/>
                <w:sz w:val="21"/>
                <w:szCs w:val="21"/>
              </w:rPr>
            </w:pPr>
            <w:r>
              <w:rPr>
                <w:rFonts w:hint="eastAsia" w:ascii="宋体" w:hAnsi="宋体" w:cs="宋体"/>
                <w:sz w:val="21"/>
                <w:szCs w:val="21"/>
                <w:lang w:val="zh-CN"/>
              </w:rPr>
              <w:t>每个包只能有一个</w:t>
            </w:r>
            <w:r>
              <w:rPr>
                <w:rFonts w:hint="eastAsia" w:ascii="宋体" w:hAnsi="宋体" w:cs="宋体"/>
                <w:sz w:val="21"/>
                <w:szCs w:val="21"/>
              </w:rPr>
              <w:t>响应</w:t>
            </w:r>
            <w:r>
              <w:rPr>
                <w:rFonts w:hint="eastAsia" w:ascii="宋体" w:hAnsi="宋体" w:cs="宋体"/>
                <w:sz w:val="21"/>
                <w:szCs w:val="21"/>
                <w:lang w:val="zh-CN"/>
              </w:rPr>
              <w:t>方案。</w:t>
            </w:r>
          </w:p>
        </w:tc>
      </w:tr>
      <w:tr w14:paraId="2A8E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noWrap/>
            <w:vAlign w:val="center"/>
          </w:tcPr>
          <w:p w14:paraId="11711F1C">
            <w:pPr>
              <w:jc w:val="center"/>
              <w:rPr>
                <w:rFonts w:ascii="宋体" w:hAnsi="宋体" w:cs="宋体"/>
                <w:kern w:val="0"/>
                <w:sz w:val="21"/>
                <w:szCs w:val="21"/>
              </w:rPr>
            </w:pPr>
          </w:p>
        </w:tc>
        <w:tc>
          <w:tcPr>
            <w:tcW w:w="1560" w:type="dxa"/>
            <w:vMerge w:val="continue"/>
            <w:noWrap/>
            <w:vAlign w:val="center"/>
          </w:tcPr>
          <w:p w14:paraId="28ABE67E">
            <w:pPr>
              <w:rPr>
                <w:rFonts w:ascii="宋体" w:hAnsi="宋体" w:cs="宋体"/>
                <w:kern w:val="0"/>
                <w:sz w:val="21"/>
                <w:szCs w:val="21"/>
              </w:rPr>
            </w:pPr>
          </w:p>
        </w:tc>
        <w:tc>
          <w:tcPr>
            <w:tcW w:w="1984" w:type="dxa"/>
            <w:noWrap/>
            <w:vAlign w:val="center"/>
          </w:tcPr>
          <w:p w14:paraId="6CEE8929">
            <w:pPr>
              <w:rPr>
                <w:rFonts w:ascii="宋体" w:hAnsi="宋体" w:cs="宋体"/>
                <w:sz w:val="21"/>
                <w:szCs w:val="21"/>
                <w:lang w:val="zh-CN"/>
              </w:rPr>
            </w:pPr>
            <w:r>
              <w:rPr>
                <w:rFonts w:hint="eastAsia" w:ascii="宋体" w:hAnsi="宋体" w:cs="宋体"/>
                <w:sz w:val="21"/>
                <w:szCs w:val="21"/>
              </w:rPr>
              <w:t>报价唯一</w:t>
            </w:r>
          </w:p>
        </w:tc>
        <w:tc>
          <w:tcPr>
            <w:tcW w:w="5409" w:type="dxa"/>
            <w:noWrap/>
            <w:vAlign w:val="center"/>
          </w:tcPr>
          <w:p w14:paraId="721EE529">
            <w:pPr>
              <w:rPr>
                <w:rFonts w:ascii="宋体" w:hAnsi="宋体" w:cs="宋体"/>
                <w:kern w:val="0"/>
                <w:sz w:val="21"/>
                <w:szCs w:val="21"/>
              </w:rPr>
            </w:pPr>
            <w:r>
              <w:rPr>
                <w:rFonts w:hint="eastAsia" w:ascii="宋体" w:hAnsi="宋体" w:cs="宋体"/>
                <w:sz w:val="21"/>
                <w:szCs w:val="21"/>
              </w:rPr>
              <w:t>只能有一个有效报价，不得提交选择性报价。</w:t>
            </w:r>
          </w:p>
        </w:tc>
      </w:tr>
      <w:tr w14:paraId="2E39B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75" w:type="dxa"/>
            <w:noWrap/>
            <w:vAlign w:val="center"/>
          </w:tcPr>
          <w:p w14:paraId="5364782D">
            <w:pPr>
              <w:jc w:val="center"/>
              <w:rPr>
                <w:rFonts w:ascii="宋体" w:hAnsi="宋体" w:cs="宋体"/>
                <w:kern w:val="0"/>
                <w:sz w:val="21"/>
                <w:szCs w:val="21"/>
              </w:rPr>
            </w:pPr>
            <w:r>
              <w:rPr>
                <w:rFonts w:hint="eastAsia" w:ascii="宋体" w:hAnsi="宋体" w:cs="宋体"/>
                <w:kern w:val="0"/>
                <w:sz w:val="21"/>
                <w:szCs w:val="21"/>
              </w:rPr>
              <w:t>2</w:t>
            </w:r>
          </w:p>
        </w:tc>
        <w:tc>
          <w:tcPr>
            <w:tcW w:w="1560" w:type="dxa"/>
            <w:noWrap/>
            <w:vAlign w:val="center"/>
          </w:tcPr>
          <w:p w14:paraId="3FF08C27">
            <w:pPr>
              <w:rPr>
                <w:rFonts w:ascii="宋体" w:hAnsi="宋体" w:cs="宋体"/>
                <w:kern w:val="0"/>
                <w:sz w:val="21"/>
                <w:szCs w:val="21"/>
              </w:rPr>
            </w:pPr>
            <w:r>
              <w:rPr>
                <w:rFonts w:hint="eastAsia" w:ascii="宋体" w:hAnsi="宋体" w:cs="宋体"/>
                <w:kern w:val="0"/>
                <w:sz w:val="21"/>
                <w:szCs w:val="21"/>
              </w:rPr>
              <w:t>完整性审查</w:t>
            </w:r>
          </w:p>
        </w:tc>
        <w:tc>
          <w:tcPr>
            <w:tcW w:w="1984" w:type="dxa"/>
            <w:noWrap/>
            <w:vAlign w:val="center"/>
          </w:tcPr>
          <w:p w14:paraId="2A7E8284">
            <w:pPr>
              <w:rPr>
                <w:rFonts w:ascii="宋体" w:hAnsi="宋体" w:cs="宋体"/>
                <w:kern w:val="0"/>
                <w:sz w:val="21"/>
                <w:szCs w:val="21"/>
              </w:rPr>
            </w:pPr>
            <w:r>
              <w:rPr>
                <w:rFonts w:hint="eastAsia" w:ascii="宋体" w:hAnsi="宋体" w:cs="宋体"/>
                <w:sz w:val="21"/>
                <w:szCs w:val="21"/>
              </w:rPr>
              <w:t>响应</w:t>
            </w:r>
            <w:r>
              <w:rPr>
                <w:rFonts w:hint="eastAsia" w:ascii="宋体" w:hAnsi="宋体" w:cs="宋体"/>
                <w:sz w:val="21"/>
                <w:szCs w:val="21"/>
                <w:lang w:val="zh-CN"/>
              </w:rPr>
              <w:t>文件份数</w:t>
            </w:r>
          </w:p>
        </w:tc>
        <w:tc>
          <w:tcPr>
            <w:tcW w:w="5409" w:type="dxa"/>
            <w:noWrap/>
            <w:vAlign w:val="center"/>
          </w:tcPr>
          <w:p w14:paraId="0574E560">
            <w:pPr>
              <w:rPr>
                <w:rFonts w:ascii="宋体" w:hAnsi="宋体" w:cs="宋体"/>
                <w:kern w:val="0"/>
                <w:sz w:val="21"/>
                <w:szCs w:val="21"/>
              </w:rPr>
            </w:pPr>
            <w:r>
              <w:rPr>
                <w:rFonts w:hint="eastAsia" w:ascii="宋体" w:hAnsi="宋体" w:cs="宋体"/>
                <w:sz w:val="21"/>
                <w:szCs w:val="21"/>
              </w:rPr>
              <w:t>响应</w:t>
            </w:r>
            <w:r>
              <w:rPr>
                <w:rFonts w:hint="eastAsia" w:ascii="宋体" w:hAnsi="宋体" w:cs="宋体"/>
                <w:sz w:val="21"/>
                <w:szCs w:val="21"/>
                <w:lang w:val="zh-CN"/>
              </w:rPr>
              <w:t>文件正、副本数量（含电子文档）符合</w:t>
            </w:r>
            <w:r>
              <w:rPr>
                <w:rFonts w:hint="eastAsia" w:ascii="宋体" w:hAnsi="宋体" w:cs="宋体"/>
                <w:sz w:val="21"/>
                <w:szCs w:val="21"/>
              </w:rPr>
              <w:t>竞争性磋商</w:t>
            </w:r>
            <w:r>
              <w:rPr>
                <w:rFonts w:hint="eastAsia" w:ascii="宋体" w:hAnsi="宋体" w:cs="宋体"/>
                <w:sz w:val="21"/>
                <w:szCs w:val="21"/>
                <w:lang w:val="zh-CN"/>
              </w:rPr>
              <w:t>文件要求。</w:t>
            </w:r>
          </w:p>
        </w:tc>
      </w:tr>
      <w:tr w14:paraId="77B0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noWrap/>
            <w:vAlign w:val="center"/>
          </w:tcPr>
          <w:p w14:paraId="1FBADA0B">
            <w:pPr>
              <w:jc w:val="center"/>
              <w:rPr>
                <w:rFonts w:ascii="宋体" w:hAnsi="宋体" w:cs="宋体"/>
                <w:kern w:val="0"/>
                <w:sz w:val="21"/>
                <w:szCs w:val="21"/>
              </w:rPr>
            </w:pPr>
            <w:r>
              <w:rPr>
                <w:rFonts w:hint="eastAsia" w:ascii="宋体" w:hAnsi="宋体" w:cs="宋体"/>
                <w:kern w:val="0"/>
                <w:sz w:val="21"/>
                <w:szCs w:val="21"/>
              </w:rPr>
              <w:t>3</w:t>
            </w:r>
          </w:p>
        </w:tc>
        <w:tc>
          <w:tcPr>
            <w:tcW w:w="1560" w:type="dxa"/>
            <w:vMerge w:val="restart"/>
            <w:noWrap/>
            <w:vAlign w:val="center"/>
          </w:tcPr>
          <w:p w14:paraId="2551EAA1">
            <w:pPr>
              <w:rPr>
                <w:rFonts w:ascii="宋体" w:hAnsi="宋体" w:cs="宋体"/>
                <w:sz w:val="21"/>
                <w:szCs w:val="21"/>
                <w:lang w:val="zh-CN"/>
              </w:rPr>
            </w:pPr>
            <w:r>
              <w:rPr>
                <w:rFonts w:hint="eastAsia" w:ascii="宋体" w:hAnsi="宋体" w:cs="宋体"/>
                <w:kern w:val="0"/>
                <w:sz w:val="21"/>
                <w:szCs w:val="21"/>
              </w:rPr>
              <w:t>响应程度审查</w:t>
            </w:r>
          </w:p>
        </w:tc>
        <w:tc>
          <w:tcPr>
            <w:tcW w:w="1984" w:type="dxa"/>
            <w:noWrap/>
            <w:vAlign w:val="center"/>
          </w:tcPr>
          <w:p w14:paraId="4BA2E2D1">
            <w:pPr>
              <w:rPr>
                <w:rFonts w:ascii="宋体" w:hAnsi="宋体" w:cs="宋体"/>
                <w:kern w:val="0"/>
                <w:sz w:val="21"/>
                <w:szCs w:val="21"/>
              </w:rPr>
            </w:pPr>
            <w:r>
              <w:rPr>
                <w:rFonts w:hint="eastAsia" w:ascii="宋体" w:hAnsi="宋体" w:cs="宋体"/>
                <w:kern w:val="0"/>
                <w:sz w:val="21"/>
                <w:szCs w:val="21"/>
              </w:rPr>
              <w:t>实质性响应</w:t>
            </w:r>
          </w:p>
        </w:tc>
        <w:tc>
          <w:tcPr>
            <w:tcW w:w="5409" w:type="dxa"/>
            <w:noWrap/>
            <w:vAlign w:val="center"/>
          </w:tcPr>
          <w:p w14:paraId="32948494">
            <w:pPr>
              <w:pStyle w:val="7"/>
              <w:rPr>
                <w:rFonts w:ascii="宋体" w:hAnsi="宋体" w:cs="宋体"/>
                <w:kern w:val="0"/>
                <w:sz w:val="21"/>
                <w:szCs w:val="21"/>
              </w:rPr>
            </w:pPr>
            <w:r>
              <w:rPr>
                <w:rFonts w:hint="eastAsia" w:ascii="宋体" w:hAnsi="宋体" w:cs="宋体"/>
                <w:kern w:val="0"/>
                <w:sz w:val="21"/>
                <w:szCs w:val="21"/>
              </w:rPr>
              <w:t>竞争性磋商文件第二篇、第三篇“</w:t>
            </w:r>
            <w:r>
              <w:rPr>
                <w:rFonts w:hint="eastAsia" w:ascii="宋体" w:hAnsi="宋体" w:cs="宋体"/>
                <w:sz w:val="24"/>
                <w:szCs w:val="24"/>
              </w:rPr>
              <w:t>※</w:t>
            </w:r>
            <w:r>
              <w:rPr>
                <w:rFonts w:hint="eastAsia" w:ascii="宋体" w:hAnsi="宋体" w:cs="宋体"/>
                <w:kern w:val="0"/>
                <w:sz w:val="21"/>
                <w:szCs w:val="21"/>
              </w:rPr>
              <w:t>”标注部分。</w:t>
            </w:r>
          </w:p>
        </w:tc>
      </w:tr>
      <w:tr w14:paraId="3E2DA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75" w:type="dxa"/>
            <w:vMerge w:val="continue"/>
            <w:noWrap/>
            <w:vAlign w:val="center"/>
          </w:tcPr>
          <w:p w14:paraId="40F05BA4">
            <w:pPr>
              <w:jc w:val="center"/>
              <w:rPr>
                <w:rFonts w:ascii="宋体" w:hAnsi="宋体" w:cs="宋体"/>
                <w:kern w:val="0"/>
                <w:sz w:val="21"/>
                <w:szCs w:val="21"/>
              </w:rPr>
            </w:pPr>
          </w:p>
        </w:tc>
        <w:tc>
          <w:tcPr>
            <w:tcW w:w="1560" w:type="dxa"/>
            <w:vMerge w:val="continue"/>
            <w:noWrap/>
            <w:vAlign w:val="center"/>
          </w:tcPr>
          <w:p w14:paraId="64453AF1">
            <w:pPr>
              <w:rPr>
                <w:rFonts w:ascii="宋体" w:hAnsi="宋体" w:cs="宋体"/>
                <w:sz w:val="21"/>
                <w:szCs w:val="21"/>
                <w:lang w:val="zh-CN"/>
              </w:rPr>
            </w:pPr>
          </w:p>
        </w:tc>
        <w:tc>
          <w:tcPr>
            <w:tcW w:w="1984" w:type="dxa"/>
            <w:noWrap/>
            <w:vAlign w:val="center"/>
          </w:tcPr>
          <w:p w14:paraId="15BB80B0">
            <w:pPr>
              <w:rPr>
                <w:rFonts w:ascii="宋体" w:hAnsi="宋体" w:cs="宋体"/>
                <w:kern w:val="0"/>
                <w:sz w:val="21"/>
                <w:szCs w:val="21"/>
              </w:rPr>
            </w:pPr>
            <w:r>
              <w:rPr>
                <w:rFonts w:hint="eastAsia" w:ascii="宋体" w:hAnsi="宋体" w:cs="宋体"/>
                <w:kern w:val="0"/>
                <w:sz w:val="21"/>
                <w:szCs w:val="21"/>
              </w:rPr>
              <w:t>磋商有效期</w:t>
            </w:r>
          </w:p>
        </w:tc>
        <w:tc>
          <w:tcPr>
            <w:tcW w:w="5409" w:type="dxa"/>
            <w:noWrap/>
            <w:vAlign w:val="center"/>
          </w:tcPr>
          <w:p w14:paraId="69063FE4">
            <w:pPr>
              <w:rPr>
                <w:rFonts w:ascii="宋体" w:hAnsi="宋体" w:cs="宋体"/>
                <w:kern w:val="0"/>
                <w:sz w:val="21"/>
                <w:szCs w:val="21"/>
              </w:rPr>
            </w:pPr>
            <w:r>
              <w:rPr>
                <w:rFonts w:hint="eastAsia" w:ascii="宋体" w:hAnsi="宋体" w:cs="宋体"/>
                <w:kern w:val="0"/>
                <w:sz w:val="21"/>
                <w:szCs w:val="21"/>
              </w:rPr>
              <w:t>响应文件及有关承诺文件有效期为提交响应文件截止时间起90天。</w:t>
            </w:r>
          </w:p>
        </w:tc>
      </w:tr>
    </w:tbl>
    <w:p w14:paraId="44E0886D">
      <w:pPr>
        <w:spacing w:line="400" w:lineRule="exact"/>
        <w:ind w:firstLine="480" w:firstLineChars="200"/>
        <w:rPr>
          <w:rFonts w:ascii="宋体" w:hAnsi="宋体" w:cs="宋体"/>
          <w:sz w:val="24"/>
          <w:szCs w:val="24"/>
        </w:rPr>
      </w:pPr>
      <w:r>
        <w:rPr>
          <w:rFonts w:hint="eastAsia" w:ascii="宋体" w:hAnsi="宋体" w:cs="宋体"/>
          <w:sz w:val="24"/>
          <w:szCs w:val="24"/>
        </w:rPr>
        <w:t>（三）澄清有关问题。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CD889F4">
      <w:pPr>
        <w:spacing w:line="400" w:lineRule="exact"/>
        <w:ind w:firstLine="480" w:firstLineChars="200"/>
        <w:rPr>
          <w:rFonts w:ascii="宋体" w:hAnsi="宋体" w:cs="宋体"/>
          <w:sz w:val="24"/>
          <w:szCs w:val="24"/>
        </w:rPr>
      </w:pPr>
      <w:r>
        <w:rPr>
          <w:rFonts w:hint="eastAsia" w:ascii="宋体" w:hAnsi="宋体" w:cs="宋体"/>
          <w:sz w:val="24"/>
          <w:szCs w:val="24"/>
        </w:rPr>
        <w:t>（四）磋商小组要求供应商澄清、说明或者更正响应文件应当以书面形式作出。供应商的澄清、说明或者更正应当由法定代表人（或其授权代表）或自然人（供应商为自然人）签署或者加盖公章。由授权代表签署的，应当附法定代表人授权书。供应商为自然人的，应当由本人签署并附身份证明。</w:t>
      </w:r>
    </w:p>
    <w:p w14:paraId="72DB7E49">
      <w:pPr>
        <w:spacing w:line="400" w:lineRule="exact"/>
        <w:ind w:firstLine="480" w:firstLineChars="200"/>
        <w:rPr>
          <w:rFonts w:ascii="宋体" w:hAnsi="宋体" w:cs="宋体"/>
          <w:sz w:val="24"/>
          <w:szCs w:val="24"/>
        </w:rPr>
      </w:pPr>
      <w:r>
        <w:rPr>
          <w:rFonts w:hint="eastAsia" w:ascii="宋体" w:hAnsi="宋体" w:cs="宋体"/>
          <w:sz w:val="24"/>
          <w:szCs w:val="24"/>
        </w:rPr>
        <w:t>（五）在磋商过程中磋商的任何一方不得向他人透露与磋商有关的服务资料、价格或其他信息。</w:t>
      </w:r>
    </w:p>
    <w:p w14:paraId="07232DA5">
      <w:pPr>
        <w:spacing w:line="400" w:lineRule="exact"/>
        <w:ind w:firstLine="480" w:firstLineChars="200"/>
        <w:rPr>
          <w:rFonts w:ascii="宋体" w:hAnsi="宋体" w:cs="宋体"/>
          <w:sz w:val="24"/>
          <w:szCs w:val="24"/>
        </w:rPr>
      </w:pPr>
      <w:r>
        <w:rPr>
          <w:rFonts w:hint="eastAsia" w:ascii="宋体" w:hAnsi="宋体" w:cs="宋体"/>
          <w:sz w:val="24"/>
          <w:szCs w:val="24"/>
        </w:rPr>
        <w:t>（六）在磋商过程中，磋商小组可以根据竞争性磋商文件和磋商情况实质性变动采购需求中的服务、商务要求以及合同草案条款，但不得变动竞争性磋商文件中的其他内容。实质性变动的内容，须经采购人代表确认。对竞争性磋商文件作出的实质性变动是竞争性磋商文件的有效组成部分，磋商小组应当及时以书面形式同时通知所有参加磋商的供应商。</w:t>
      </w:r>
    </w:p>
    <w:p w14:paraId="065F7E7D">
      <w:pPr>
        <w:spacing w:line="400" w:lineRule="exact"/>
        <w:ind w:firstLine="480" w:firstLineChars="200"/>
        <w:rPr>
          <w:rFonts w:ascii="宋体" w:hAnsi="宋体" w:cs="宋体"/>
          <w:sz w:val="24"/>
          <w:szCs w:val="24"/>
        </w:rPr>
      </w:pPr>
      <w:r>
        <w:rPr>
          <w:rFonts w:hint="eastAsia" w:ascii="宋体" w:hAnsi="宋体" w:cs="宋体"/>
          <w:sz w:val="24"/>
          <w:szCs w:val="24"/>
        </w:rPr>
        <w:t>（七）供应商在磋商时作出的所有书面承诺须由法定代表人（或其授权代表）或自然人（供应商为自然人）签署。</w:t>
      </w:r>
    </w:p>
    <w:p w14:paraId="2B4B0264">
      <w:pPr>
        <w:spacing w:line="400" w:lineRule="exact"/>
        <w:ind w:firstLine="480" w:firstLineChars="200"/>
        <w:rPr>
          <w:rFonts w:ascii="宋体" w:hAnsi="宋体" w:cs="宋体"/>
          <w:sz w:val="24"/>
          <w:szCs w:val="24"/>
        </w:rPr>
      </w:pPr>
      <w:r>
        <w:rPr>
          <w:rFonts w:hint="eastAsia" w:ascii="宋体" w:hAnsi="宋体" w:cs="宋体"/>
          <w:sz w:val="24"/>
          <w:szCs w:val="24"/>
        </w:rPr>
        <w:t>（八）经磋商确定最终采购需求且磋商结束后，供应商应当按照竞争性磋商文件的变动情况和磋商小组的要求重新提交响应文件或重新做出相关的书面承诺，最后书面提交最后报价及有关承诺（《最后报价表》在磋商现场向供应商提供）。已提交响应文件但未在规定时间内进行最后报价的供应商，视为放弃最后报价，以供应商响应文件中的报价为准。</w:t>
      </w:r>
    </w:p>
    <w:p w14:paraId="4DD20B61">
      <w:pPr>
        <w:spacing w:line="400" w:lineRule="exact"/>
        <w:ind w:firstLine="480" w:firstLineChars="200"/>
        <w:rPr>
          <w:rFonts w:ascii="宋体" w:hAnsi="宋体" w:cs="宋体"/>
          <w:sz w:val="24"/>
          <w:szCs w:val="24"/>
        </w:rPr>
      </w:pPr>
      <w:r>
        <w:rPr>
          <w:rFonts w:hint="eastAsia" w:ascii="宋体" w:hAnsi="宋体" w:cs="宋体"/>
          <w:sz w:val="24"/>
          <w:szCs w:val="24"/>
        </w:rPr>
        <w:t>（九）磋商小组采用综合评分法对提交最后报价的供应商的响应文件和最后报价（含有效书面承诺）进行综合评分。</w:t>
      </w:r>
      <w:r>
        <w:rPr>
          <w:rFonts w:hint="eastAsia" w:ascii="宋体" w:hAnsi="宋体" w:cs="宋体"/>
          <w:kern w:val="0"/>
          <w:sz w:val="24"/>
          <w:szCs w:val="24"/>
        </w:rPr>
        <w:t>综合评分法，是指响应文件满足竞争性磋商文件全部实质性要求且按照评审因素的量化指标评审得分最高的供应商为成交候选供应商的评审方法。供应商总得分为价格、服务、商务等评定因素分别按照相应权重值计算分项得分后相加，满分为100分</w:t>
      </w:r>
      <w:r>
        <w:rPr>
          <w:rFonts w:hint="eastAsia" w:ascii="宋体" w:hAnsi="宋体" w:cs="宋体"/>
          <w:sz w:val="24"/>
          <w:szCs w:val="24"/>
        </w:rPr>
        <w:t>。</w:t>
      </w:r>
    </w:p>
    <w:p w14:paraId="361118E0">
      <w:pPr>
        <w:spacing w:line="400" w:lineRule="exact"/>
        <w:ind w:firstLine="480" w:firstLineChars="200"/>
        <w:rPr>
          <w:rFonts w:ascii="宋体" w:hAnsi="宋体" w:cs="宋体"/>
          <w:sz w:val="24"/>
          <w:szCs w:val="24"/>
        </w:rPr>
      </w:pPr>
      <w:r>
        <w:rPr>
          <w:rFonts w:hint="eastAsia" w:ascii="宋体" w:hAnsi="宋体" w:cs="宋体"/>
          <w:sz w:val="24"/>
          <w:szCs w:val="24"/>
        </w:rPr>
        <w:t>（十）磋商小组各成员独立对每个有效响应（通过资格性审查、</w:t>
      </w:r>
      <w:r>
        <w:rPr>
          <w:rFonts w:hint="eastAsia" w:ascii="宋体" w:hAnsi="宋体" w:cs="宋体"/>
          <w:kern w:val="0"/>
          <w:sz w:val="24"/>
          <w:szCs w:val="24"/>
        </w:rPr>
        <w:t>符合性审查的供应商</w:t>
      </w:r>
      <w:r>
        <w:rPr>
          <w:rFonts w:hint="eastAsia" w:ascii="宋体" w:hAnsi="宋体" w:cs="宋体"/>
          <w:sz w:val="24"/>
          <w:szCs w:val="24"/>
        </w:rPr>
        <w:t>）的文件进行评价、打分，然后汇总每个供应商每项评分因素的得分，并根据综合评分情况按照评审得分由高到低顺序推荐3名以上成交候选供应商，并编写评审报告。若供应商的评审得分相同的，按照最后报价由低到高的顺序排列推荐。评审得分且最后报价相同的，按照服务指标优劣顺序排列推荐。以上都相同的，按商务条款的优劣顺序排列推荐。若供应商的服务部分为0分，将失去成为成交候选供应商的资格。</w:t>
      </w:r>
    </w:p>
    <w:p w14:paraId="3878CA5A">
      <w:pPr>
        <w:pStyle w:val="3"/>
        <w:adjustRightInd w:val="0"/>
        <w:snapToGrid w:val="0"/>
        <w:spacing w:line="240" w:lineRule="auto"/>
        <w:jc w:val="left"/>
        <w:rPr>
          <w:rFonts w:ascii="宋体" w:hAnsi="宋体" w:eastAsia="宋体" w:cs="宋体"/>
          <w:sz w:val="24"/>
        </w:rPr>
      </w:pPr>
      <w:bookmarkStart w:id="295" w:name="_Toc22999"/>
      <w:bookmarkStart w:id="296" w:name="_Toc9588"/>
      <w:bookmarkStart w:id="297" w:name="_Toc30683"/>
      <w:bookmarkStart w:id="298" w:name="_Toc12084"/>
      <w:bookmarkStart w:id="299" w:name="_Toc18112"/>
      <w:bookmarkStart w:id="300" w:name="_Toc5785"/>
      <w:bookmarkStart w:id="301" w:name="_Toc7578"/>
      <w:bookmarkStart w:id="302" w:name="_Toc31749"/>
      <w:bookmarkStart w:id="303" w:name="_Toc211850953"/>
      <w:bookmarkStart w:id="304" w:name="_Toc14176"/>
      <w:bookmarkStart w:id="305" w:name="_Toc24164"/>
      <w:bookmarkStart w:id="306" w:name="_Toc10548"/>
      <w:bookmarkStart w:id="307" w:name="_Toc9662"/>
      <w:bookmarkStart w:id="308" w:name="_Toc8143"/>
      <w:bookmarkStart w:id="309" w:name="_Toc14050"/>
      <w:bookmarkStart w:id="310" w:name="_Toc6787"/>
      <w:bookmarkStart w:id="311" w:name="_Toc11351"/>
      <w:bookmarkStart w:id="312" w:name="_Toc76462334"/>
      <w:r>
        <w:rPr>
          <w:rFonts w:hint="eastAsia" w:ascii="宋体" w:hAnsi="宋体" w:eastAsia="宋体" w:cs="宋体"/>
          <w:sz w:val="24"/>
        </w:rPr>
        <w:t>二、</w:t>
      </w:r>
      <w:bookmarkStart w:id="313" w:name="_Toc102227320"/>
      <w:bookmarkStart w:id="314" w:name="_Toc342913394"/>
      <w:r>
        <w:rPr>
          <w:rFonts w:hint="eastAsia" w:ascii="宋体" w:hAnsi="宋体" w:eastAsia="宋体" w:cs="宋体"/>
          <w:sz w:val="24"/>
        </w:rPr>
        <w:t>评审标准</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tbl>
      <w:tblPr>
        <w:tblStyle w:val="13"/>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1478"/>
        <w:gridCol w:w="1046"/>
        <w:gridCol w:w="3827"/>
        <w:gridCol w:w="2551"/>
      </w:tblGrid>
      <w:tr w14:paraId="247E7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noWrap/>
            <w:vAlign w:val="center"/>
          </w:tcPr>
          <w:p w14:paraId="62BDD274">
            <w:pPr>
              <w:ind w:firstLine="28"/>
              <w:jc w:val="center"/>
              <w:rPr>
                <w:rFonts w:ascii="宋体" w:hAnsi="宋体" w:cs="宋体"/>
                <w:b/>
                <w:sz w:val="21"/>
                <w:szCs w:val="21"/>
              </w:rPr>
            </w:pPr>
            <w:r>
              <w:rPr>
                <w:rFonts w:hint="eastAsia" w:ascii="宋体" w:hAnsi="宋体" w:cs="宋体"/>
                <w:b/>
                <w:sz w:val="21"/>
                <w:szCs w:val="21"/>
              </w:rPr>
              <w:t>序号</w:t>
            </w:r>
          </w:p>
        </w:tc>
        <w:tc>
          <w:tcPr>
            <w:tcW w:w="1478" w:type="dxa"/>
            <w:noWrap/>
            <w:vAlign w:val="center"/>
          </w:tcPr>
          <w:p w14:paraId="6C842B99">
            <w:pPr>
              <w:ind w:firstLine="28"/>
              <w:jc w:val="center"/>
              <w:rPr>
                <w:rFonts w:ascii="宋体" w:hAnsi="宋体" w:cs="宋体"/>
                <w:b/>
                <w:sz w:val="21"/>
                <w:szCs w:val="21"/>
              </w:rPr>
            </w:pPr>
            <w:r>
              <w:rPr>
                <w:rFonts w:hint="eastAsia" w:ascii="宋体" w:hAnsi="宋体" w:cs="宋体"/>
                <w:b/>
                <w:sz w:val="21"/>
                <w:szCs w:val="21"/>
              </w:rPr>
              <w:t>评分因素及权值</w:t>
            </w:r>
          </w:p>
        </w:tc>
        <w:tc>
          <w:tcPr>
            <w:tcW w:w="1046" w:type="dxa"/>
            <w:noWrap/>
            <w:vAlign w:val="center"/>
          </w:tcPr>
          <w:p w14:paraId="7EF4EC24">
            <w:pPr>
              <w:ind w:firstLine="28"/>
              <w:jc w:val="center"/>
              <w:rPr>
                <w:rFonts w:ascii="宋体" w:hAnsi="宋体" w:cs="宋体"/>
                <w:b/>
                <w:sz w:val="21"/>
                <w:szCs w:val="21"/>
              </w:rPr>
            </w:pPr>
            <w:r>
              <w:rPr>
                <w:rFonts w:hint="eastAsia" w:ascii="宋体" w:hAnsi="宋体" w:cs="宋体"/>
                <w:b/>
                <w:sz w:val="21"/>
                <w:szCs w:val="21"/>
              </w:rPr>
              <w:t>分值</w:t>
            </w:r>
          </w:p>
        </w:tc>
        <w:tc>
          <w:tcPr>
            <w:tcW w:w="3827" w:type="dxa"/>
            <w:noWrap/>
            <w:vAlign w:val="center"/>
          </w:tcPr>
          <w:p w14:paraId="49B8E507">
            <w:pPr>
              <w:ind w:firstLine="28"/>
              <w:jc w:val="center"/>
              <w:rPr>
                <w:rFonts w:ascii="宋体" w:hAnsi="宋体" w:cs="宋体"/>
                <w:b/>
                <w:sz w:val="21"/>
                <w:szCs w:val="21"/>
              </w:rPr>
            </w:pPr>
            <w:r>
              <w:rPr>
                <w:rFonts w:hint="eastAsia" w:ascii="宋体" w:hAnsi="宋体" w:cs="宋体"/>
                <w:b/>
                <w:sz w:val="21"/>
                <w:szCs w:val="21"/>
              </w:rPr>
              <w:t>评分标准</w:t>
            </w:r>
          </w:p>
        </w:tc>
        <w:tc>
          <w:tcPr>
            <w:tcW w:w="2551" w:type="dxa"/>
            <w:noWrap/>
            <w:vAlign w:val="center"/>
          </w:tcPr>
          <w:p w14:paraId="33DE95B2">
            <w:pPr>
              <w:jc w:val="center"/>
              <w:rPr>
                <w:rFonts w:ascii="宋体" w:hAnsi="宋体" w:cs="宋体"/>
                <w:b/>
                <w:sz w:val="21"/>
                <w:szCs w:val="21"/>
              </w:rPr>
            </w:pPr>
            <w:r>
              <w:rPr>
                <w:rFonts w:hint="eastAsia" w:ascii="宋体" w:hAnsi="宋体" w:cs="宋体"/>
                <w:b/>
                <w:sz w:val="21"/>
                <w:szCs w:val="21"/>
              </w:rPr>
              <w:t>说明</w:t>
            </w:r>
          </w:p>
        </w:tc>
      </w:tr>
      <w:tr w14:paraId="1DDA3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5" w:type="dxa"/>
            <w:noWrap/>
            <w:vAlign w:val="center"/>
          </w:tcPr>
          <w:p w14:paraId="321DD19E">
            <w:pPr>
              <w:ind w:firstLine="28"/>
              <w:jc w:val="center"/>
              <w:rPr>
                <w:rFonts w:ascii="宋体" w:hAnsi="宋体" w:cs="宋体"/>
                <w:sz w:val="21"/>
                <w:szCs w:val="21"/>
              </w:rPr>
            </w:pPr>
            <w:r>
              <w:rPr>
                <w:rFonts w:hint="eastAsia" w:ascii="宋体" w:hAnsi="宋体" w:cs="宋体"/>
                <w:sz w:val="21"/>
                <w:szCs w:val="21"/>
              </w:rPr>
              <w:t>1</w:t>
            </w:r>
          </w:p>
        </w:tc>
        <w:tc>
          <w:tcPr>
            <w:tcW w:w="1478" w:type="dxa"/>
            <w:noWrap/>
            <w:vAlign w:val="center"/>
          </w:tcPr>
          <w:p w14:paraId="516F7610">
            <w:pPr>
              <w:ind w:firstLine="28"/>
              <w:jc w:val="center"/>
              <w:rPr>
                <w:rFonts w:ascii="宋体" w:hAnsi="宋体" w:cs="宋体"/>
                <w:sz w:val="21"/>
                <w:szCs w:val="21"/>
              </w:rPr>
            </w:pPr>
            <w:r>
              <w:rPr>
                <w:rFonts w:hint="eastAsia" w:ascii="宋体" w:hAnsi="宋体" w:cs="宋体"/>
                <w:sz w:val="21"/>
                <w:szCs w:val="21"/>
              </w:rPr>
              <w:t>磋商报价</w:t>
            </w:r>
          </w:p>
          <w:p w14:paraId="7821C106">
            <w:pPr>
              <w:ind w:firstLine="28"/>
              <w:jc w:val="center"/>
              <w:rPr>
                <w:rFonts w:ascii="宋体" w:hAnsi="宋体" w:cs="宋体"/>
                <w:sz w:val="21"/>
                <w:szCs w:val="21"/>
              </w:rPr>
            </w:pPr>
            <w:r>
              <w:rPr>
                <w:rFonts w:hint="eastAsia" w:ascii="宋体" w:hAnsi="宋体" w:cs="宋体"/>
                <w:sz w:val="21"/>
                <w:szCs w:val="21"/>
              </w:rPr>
              <w:t>（40%）</w:t>
            </w:r>
          </w:p>
        </w:tc>
        <w:tc>
          <w:tcPr>
            <w:tcW w:w="1046" w:type="dxa"/>
            <w:noWrap/>
            <w:vAlign w:val="center"/>
          </w:tcPr>
          <w:p w14:paraId="7B27FB9C">
            <w:pPr>
              <w:ind w:firstLine="28"/>
              <w:jc w:val="center"/>
              <w:rPr>
                <w:rFonts w:ascii="宋体" w:hAnsi="宋体" w:cs="宋体"/>
                <w:sz w:val="21"/>
                <w:szCs w:val="21"/>
              </w:rPr>
            </w:pPr>
            <w:r>
              <w:rPr>
                <w:rFonts w:hint="eastAsia" w:ascii="宋体" w:hAnsi="宋体" w:cs="宋体"/>
                <w:sz w:val="21"/>
                <w:szCs w:val="21"/>
              </w:rPr>
              <w:t>40分</w:t>
            </w:r>
          </w:p>
        </w:tc>
        <w:tc>
          <w:tcPr>
            <w:tcW w:w="3827" w:type="dxa"/>
            <w:noWrap/>
            <w:vAlign w:val="center"/>
          </w:tcPr>
          <w:p w14:paraId="7AC88B82">
            <w:pPr>
              <w:rPr>
                <w:rFonts w:ascii="宋体" w:hAnsi="宋体" w:cs="宋体"/>
                <w:sz w:val="21"/>
                <w:szCs w:val="21"/>
              </w:rPr>
            </w:pPr>
            <w:r>
              <w:rPr>
                <w:rFonts w:hint="eastAsia" w:ascii="宋体" w:hAnsi="宋体" w:cs="宋体"/>
                <w:sz w:val="21"/>
                <w:szCs w:val="21"/>
              </w:rPr>
              <w:t>满足资格性、符合性要求且最后报价最低的供应商的价格为磋商基准价，其价格分为满分。其他供应商的价格分统一按照下列公式计算：</w:t>
            </w:r>
          </w:p>
          <w:p w14:paraId="7B61868F">
            <w:pPr>
              <w:rPr>
                <w:rFonts w:ascii="宋体" w:hAnsi="宋体" w:cs="宋体"/>
                <w:sz w:val="21"/>
                <w:szCs w:val="21"/>
              </w:rPr>
            </w:pPr>
            <w:r>
              <w:rPr>
                <w:rFonts w:hint="eastAsia" w:ascii="宋体" w:hAnsi="宋体" w:cs="宋体"/>
                <w:sz w:val="21"/>
                <w:szCs w:val="21"/>
              </w:rPr>
              <w:t>磋商报价得分=（磋商基准价/最后磋商报价）×价格权值×100</w:t>
            </w:r>
          </w:p>
        </w:tc>
        <w:tc>
          <w:tcPr>
            <w:tcW w:w="2551" w:type="dxa"/>
            <w:noWrap/>
            <w:vAlign w:val="center"/>
          </w:tcPr>
          <w:p w14:paraId="0813F599">
            <w:pPr>
              <w:ind w:left="-38"/>
              <w:rPr>
                <w:rFonts w:ascii="宋体" w:hAnsi="宋体" w:cs="宋体"/>
                <w:sz w:val="21"/>
                <w:szCs w:val="21"/>
              </w:rPr>
            </w:pPr>
          </w:p>
        </w:tc>
      </w:tr>
      <w:tr w14:paraId="21A3E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2" w:hRule="atLeast"/>
        </w:trPr>
        <w:tc>
          <w:tcPr>
            <w:tcW w:w="845" w:type="dxa"/>
            <w:vMerge w:val="restart"/>
            <w:noWrap/>
            <w:vAlign w:val="center"/>
          </w:tcPr>
          <w:p w14:paraId="186D7EA9">
            <w:pPr>
              <w:ind w:firstLine="28"/>
              <w:jc w:val="center"/>
              <w:rPr>
                <w:rFonts w:ascii="宋体" w:hAnsi="宋体" w:cs="宋体"/>
                <w:sz w:val="21"/>
                <w:szCs w:val="21"/>
              </w:rPr>
            </w:pPr>
            <w:r>
              <w:rPr>
                <w:rFonts w:hint="eastAsia" w:ascii="宋体" w:hAnsi="宋体" w:cs="宋体"/>
                <w:sz w:val="21"/>
                <w:szCs w:val="21"/>
              </w:rPr>
              <w:t>2</w:t>
            </w:r>
          </w:p>
        </w:tc>
        <w:tc>
          <w:tcPr>
            <w:tcW w:w="1478" w:type="dxa"/>
            <w:vMerge w:val="restart"/>
            <w:noWrap/>
            <w:vAlign w:val="center"/>
          </w:tcPr>
          <w:p w14:paraId="60F6F372">
            <w:pPr>
              <w:ind w:firstLine="28"/>
              <w:jc w:val="center"/>
              <w:rPr>
                <w:rFonts w:ascii="宋体" w:hAnsi="宋体" w:cs="宋体"/>
                <w:sz w:val="21"/>
                <w:szCs w:val="21"/>
              </w:rPr>
            </w:pPr>
            <w:r>
              <w:rPr>
                <w:rFonts w:hint="eastAsia" w:ascii="宋体" w:hAnsi="宋体" w:cs="宋体"/>
                <w:sz w:val="21"/>
                <w:szCs w:val="21"/>
              </w:rPr>
              <w:t>服务部分</w:t>
            </w:r>
          </w:p>
          <w:p w14:paraId="02809C8C">
            <w:pPr>
              <w:ind w:firstLine="28"/>
              <w:jc w:val="center"/>
              <w:rPr>
                <w:rFonts w:ascii="宋体" w:hAnsi="宋体" w:cs="宋体"/>
                <w:sz w:val="21"/>
                <w:szCs w:val="21"/>
              </w:rPr>
            </w:pPr>
            <w:r>
              <w:rPr>
                <w:rFonts w:hint="eastAsia" w:ascii="宋体" w:hAnsi="宋体" w:cs="宋体"/>
                <w:sz w:val="21"/>
                <w:szCs w:val="21"/>
              </w:rPr>
              <w:t>（50%）</w:t>
            </w:r>
          </w:p>
        </w:tc>
        <w:tc>
          <w:tcPr>
            <w:tcW w:w="1046" w:type="dxa"/>
            <w:vMerge w:val="restart"/>
            <w:noWrap/>
            <w:vAlign w:val="center"/>
          </w:tcPr>
          <w:p w14:paraId="3FFFEEED">
            <w:pPr>
              <w:ind w:firstLine="28"/>
              <w:jc w:val="center"/>
              <w:rPr>
                <w:rFonts w:ascii="宋体" w:hAnsi="宋体" w:cs="仿宋"/>
                <w:sz w:val="21"/>
                <w:szCs w:val="21"/>
              </w:rPr>
            </w:pPr>
            <w:r>
              <w:rPr>
                <w:rFonts w:hint="eastAsia" w:ascii="宋体" w:hAnsi="宋体" w:cs="仿宋"/>
                <w:sz w:val="21"/>
                <w:szCs w:val="21"/>
              </w:rPr>
              <w:t>施工方案与技术措施（</w:t>
            </w:r>
            <w:r>
              <w:rPr>
                <w:rFonts w:hint="eastAsia" w:ascii="宋体" w:hAnsi="宋体" w:cs="仿宋"/>
                <w:sz w:val="21"/>
                <w:szCs w:val="21"/>
                <w:lang w:val="en-US" w:eastAsia="zh-CN"/>
              </w:rPr>
              <w:t>2</w:t>
            </w:r>
            <w:r>
              <w:rPr>
                <w:rFonts w:hint="eastAsia" w:ascii="宋体" w:hAnsi="宋体" w:cs="仿宋"/>
                <w:sz w:val="21"/>
                <w:szCs w:val="21"/>
              </w:rPr>
              <w:t>0分）</w:t>
            </w:r>
          </w:p>
          <w:p w14:paraId="3AFD34BB"/>
          <w:p w14:paraId="286CBBE9"/>
          <w:p w14:paraId="4F4D4B83"/>
          <w:p w14:paraId="3AB72F07"/>
          <w:p w14:paraId="60BB72F4">
            <w:pPr>
              <w:jc w:val="center"/>
              <w:rPr>
                <w:rFonts w:ascii="宋体" w:hAnsi="宋体" w:cs="仿宋"/>
                <w:kern w:val="0"/>
                <w:sz w:val="21"/>
                <w:szCs w:val="21"/>
              </w:rPr>
            </w:pPr>
          </w:p>
        </w:tc>
        <w:tc>
          <w:tcPr>
            <w:tcW w:w="3827" w:type="dxa"/>
            <w:noWrap/>
            <w:vAlign w:val="center"/>
          </w:tcPr>
          <w:p w14:paraId="67A5B3F7">
            <w:pP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1</w:t>
            </w:r>
            <w:r>
              <w:rPr>
                <w:rFonts w:hint="eastAsia" w:ascii="宋体" w:hAnsi="宋体" w:cs="宋体"/>
                <w:sz w:val="21"/>
                <w:szCs w:val="21"/>
              </w:rPr>
              <w:t>施工方案与技术措施（10分）</w:t>
            </w:r>
          </w:p>
          <w:p w14:paraId="6323C64C">
            <w:pPr>
              <w:rPr>
                <w:rFonts w:ascii="宋体" w:hAnsi="宋体" w:cs="宋体"/>
                <w:sz w:val="21"/>
                <w:szCs w:val="21"/>
              </w:rPr>
            </w:pPr>
            <w:r>
              <w:rPr>
                <w:rFonts w:hint="eastAsia" w:ascii="宋体" w:hAnsi="宋体" w:cs="宋体"/>
                <w:sz w:val="21"/>
                <w:szCs w:val="21"/>
              </w:rPr>
              <w:t>供应商制定本项目施工方案与技术措施，方案内容包括切实可行的技术组织措施、施工方法、施工设备、劳动力计划，确保工程质量、工期、安全和文明施工、环境保护的技术、组织措施、施工总进度计划等，应对关键工序、复杂环节重点提出相应技术措施并提出具有预见性应对措施等，根据供应商提供的方案内容进行评审</w:t>
            </w:r>
          </w:p>
          <w:p w14:paraId="341AC3C7">
            <w:pPr>
              <w:rPr>
                <w:rFonts w:ascii="宋体" w:hAnsi="宋体" w:cs="宋体"/>
                <w:sz w:val="21"/>
                <w:szCs w:val="21"/>
              </w:rPr>
            </w:pPr>
            <w:r>
              <w:rPr>
                <w:rFonts w:hint="eastAsia" w:ascii="宋体" w:hAnsi="宋体" w:cs="宋体"/>
                <w:sz w:val="21"/>
                <w:szCs w:val="21"/>
              </w:rPr>
              <w:t>方案内容不存在瑕疵，得10分；</w:t>
            </w:r>
          </w:p>
          <w:p w14:paraId="75EC90E3">
            <w:pPr>
              <w:rPr>
                <w:rFonts w:ascii="宋体" w:hAnsi="宋体" w:cs="宋体"/>
                <w:sz w:val="21"/>
                <w:szCs w:val="21"/>
              </w:rPr>
            </w:pPr>
            <w:r>
              <w:rPr>
                <w:rFonts w:hint="eastAsia" w:ascii="宋体" w:hAnsi="宋体" w:cs="宋体"/>
                <w:sz w:val="21"/>
                <w:szCs w:val="21"/>
              </w:rPr>
              <w:t>方案内容存在1处瑕疵，得5分；</w:t>
            </w:r>
          </w:p>
          <w:p w14:paraId="31B57C5A">
            <w:pPr>
              <w:rPr>
                <w:rFonts w:ascii="宋体" w:hAnsi="宋体" w:cs="宋体"/>
                <w:sz w:val="21"/>
                <w:szCs w:val="21"/>
              </w:rPr>
            </w:pPr>
            <w:r>
              <w:rPr>
                <w:rFonts w:hint="eastAsia" w:ascii="宋体" w:hAnsi="宋体" w:cs="宋体"/>
                <w:sz w:val="21"/>
                <w:szCs w:val="21"/>
              </w:rPr>
              <w:t>方案内容存在2处瑕疵，得3分；</w:t>
            </w:r>
          </w:p>
          <w:p w14:paraId="252F74E8">
            <w:pPr>
              <w:rPr>
                <w:rFonts w:ascii="宋体" w:hAnsi="宋体" w:cs="仿宋"/>
                <w:sz w:val="21"/>
                <w:szCs w:val="21"/>
              </w:rPr>
            </w:pPr>
            <w:r>
              <w:rPr>
                <w:rFonts w:hint="eastAsia" w:ascii="宋体" w:hAnsi="宋体" w:cs="宋体"/>
                <w:sz w:val="21"/>
                <w:szCs w:val="21"/>
              </w:rPr>
              <w:t>方案内容存在3处及以上瑕疵或未提供方案得0分。</w:t>
            </w:r>
          </w:p>
        </w:tc>
        <w:tc>
          <w:tcPr>
            <w:tcW w:w="2551" w:type="dxa"/>
            <w:vMerge w:val="restart"/>
            <w:noWrap/>
            <w:vAlign w:val="center"/>
          </w:tcPr>
          <w:p w14:paraId="3A5124F0">
            <w:pPr>
              <w:snapToGrid w:val="0"/>
              <w:rPr>
                <w:rFonts w:ascii="宋体" w:hAnsi="宋体"/>
                <w:sz w:val="21"/>
                <w:szCs w:val="21"/>
              </w:rPr>
            </w:pPr>
            <w:bookmarkStart w:id="315" w:name="OLE_LINK3"/>
          </w:p>
          <w:p w14:paraId="584DF77F">
            <w:pPr>
              <w:snapToGrid w:val="0"/>
              <w:rPr>
                <w:rFonts w:ascii="宋体" w:hAnsi="宋体"/>
                <w:sz w:val="21"/>
                <w:szCs w:val="21"/>
              </w:rPr>
            </w:pPr>
          </w:p>
          <w:p w14:paraId="15FCC426">
            <w:pPr>
              <w:snapToGrid w:val="0"/>
              <w:rPr>
                <w:rFonts w:ascii="宋体" w:hAnsi="宋体"/>
                <w:sz w:val="21"/>
                <w:szCs w:val="21"/>
              </w:rPr>
            </w:pPr>
          </w:p>
          <w:p w14:paraId="394A1D07">
            <w:pPr>
              <w:snapToGrid w:val="0"/>
              <w:rPr>
                <w:rFonts w:ascii="宋体" w:hAnsi="宋体"/>
                <w:sz w:val="21"/>
                <w:szCs w:val="21"/>
              </w:rPr>
            </w:pPr>
          </w:p>
          <w:p w14:paraId="3F8EBC94">
            <w:pPr>
              <w:snapToGrid w:val="0"/>
              <w:rPr>
                <w:rFonts w:ascii="宋体" w:hAnsi="宋体"/>
                <w:sz w:val="21"/>
                <w:szCs w:val="21"/>
              </w:rPr>
            </w:pPr>
          </w:p>
          <w:p w14:paraId="05C9C0AB">
            <w:pPr>
              <w:snapToGrid w:val="0"/>
              <w:rPr>
                <w:rFonts w:ascii="宋体" w:hAnsi="宋体"/>
                <w:sz w:val="21"/>
                <w:szCs w:val="21"/>
              </w:rPr>
            </w:pPr>
          </w:p>
          <w:p w14:paraId="3EE4166B">
            <w:pPr>
              <w:snapToGrid w:val="0"/>
              <w:rPr>
                <w:rFonts w:ascii="宋体" w:hAnsi="宋体"/>
                <w:sz w:val="21"/>
                <w:szCs w:val="21"/>
              </w:rPr>
            </w:pPr>
          </w:p>
          <w:p w14:paraId="0BE9D246">
            <w:pPr>
              <w:snapToGrid w:val="0"/>
              <w:rPr>
                <w:rFonts w:ascii="宋体" w:hAnsi="宋体"/>
                <w:sz w:val="21"/>
                <w:szCs w:val="21"/>
              </w:rPr>
            </w:pPr>
          </w:p>
          <w:p w14:paraId="7E0F9515">
            <w:pPr>
              <w:snapToGrid w:val="0"/>
              <w:rPr>
                <w:rFonts w:ascii="宋体" w:hAnsi="宋体"/>
                <w:sz w:val="21"/>
                <w:szCs w:val="21"/>
              </w:rPr>
            </w:pPr>
          </w:p>
          <w:p w14:paraId="141FE095">
            <w:pPr>
              <w:snapToGrid w:val="0"/>
              <w:rPr>
                <w:rFonts w:ascii="宋体" w:hAnsi="宋体"/>
                <w:sz w:val="21"/>
                <w:szCs w:val="21"/>
              </w:rPr>
            </w:pPr>
          </w:p>
          <w:p w14:paraId="6831468D">
            <w:pPr>
              <w:snapToGrid w:val="0"/>
              <w:rPr>
                <w:rFonts w:ascii="宋体" w:hAnsi="宋体"/>
                <w:sz w:val="21"/>
                <w:szCs w:val="21"/>
              </w:rPr>
            </w:pPr>
          </w:p>
          <w:p w14:paraId="41CB980D">
            <w:pPr>
              <w:snapToGrid w:val="0"/>
              <w:rPr>
                <w:rFonts w:ascii="宋体" w:hAnsi="宋体"/>
                <w:sz w:val="21"/>
                <w:szCs w:val="21"/>
              </w:rPr>
            </w:pPr>
            <w:r>
              <w:rPr>
                <w:rFonts w:hint="eastAsia" w:ascii="宋体" w:hAnsi="宋体"/>
                <w:sz w:val="21"/>
                <w:szCs w:val="21"/>
              </w:rPr>
              <w:t>供应商提供方案，格式自拟；</w:t>
            </w:r>
            <w:r>
              <w:rPr>
                <w:rFonts w:hint="eastAsia" w:ascii="宋体" w:hAnsi="宋体" w:cs="仿宋"/>
                <w:sz w:val="21"/>
                <w:szCs w:val="21"/>
              </w:rPr>
              <w:t>磋商小组根据供应商提供的方案进行综合评分。</w:t>
            </w:r>
          </w:p>
          <w:p w14:paraId="6C8DA57E">
            <w:pPr>
              <w:snapToGrid w:val="0"/>
              <w:rPr>
                <w:rFonts w:ascii="宋体" w:hAnsi="宋体"/>
                <w:sz w:val="21"/>
                <w:szCs w:val="21"/>
              </w:rPr>
            </w:pPr>
          </w:p>
          <w:p w14:paraId="1B372BFA">
            <w:pPr>
              <w:snapToGrid w:val="0"/>
              <w:rPr>
                <w:rFonts w:ascii="宋体" w:hAnsi="宋体"/>
                <w:sz w:val="21"/>
                <w:szCs w:val="21"/>
              </w:rPr>
            </w:pPr>
            <w:bookmarkStart w:id="316" w:name="OLE_LINK9"/>
            <w:r>
              <w:rPr>
                <w:rFonts w:hint="eastAsia" w:ascii="宋体" w:hAnsi="宋体"/>
                <w:sz w:val="21"/>
                <w:szCs w:val="21"/>
              </w:rPr>
              <w:t>注：</w:t>
            </w:r>
          </w:p>
          <w:p w14:paraId="2A5E955B">
            <w:pPr>
              <w:numPr>
                <w:ilvl w:val="0"/>
                <w:numId w:val="2"/>
              </w:numPr>
              <w:rPr>
                <w:rFonts w:ascii="宋体" w:hAnsi="宋体"/>
                <w:sz w:val="21"/>
                <w:szCs w:val="21"/>
              </w:rPr>
            </w:pPr>
            <w:r>
              <w:rPr>
                <w:rFonts w:hint="eastAsia" w:ascii="宋体" w:hAnsi="宋体"/>
                <w:sz w:val="21"/>
                <w:szCs w:val="21"/>
              </w:rPr>
              <w:t>本项内容中所称的“瑕疵”指①方案内容缺项、内容表述不完整、照片模糊、无法辨认细节或缺少针对本项目施工情况的具体分析和创作的，②方案内容表述前后矛盾不合理、无连贯性、无可行性和科学措施，③内容存在逻辑漏洞、无实用性、常识错误、针对性不强，④方案内容不符合采购人单位实际施工情况、相关措施保障或时间进度安排并不适用本项目特性或非专门针对本项目制定、也不适用于采购人单位特点，⑤方案中提出的相关措施举措不利于本项目目标的实现、现有技术条件下不可能出现的情形等任意一种情形，属于</w:t>
            </w:r>
            <w:r>
              <w:rPr>
                <w:rFonts w:hint="eastAsia" w:ascii="宋体" w:hAnsi="宋体" w:cs="宋体"/>
                <w:sz w:val="21"/>
                <w:szCs w:val="21"/>
              </w:rPr>
              <w:t>1处瑕疵</w:t>
            </w:r>
            <w:r>
              <w:rPr>
                <w:rFonts w:hint="eastAsia" w:ascii="宋体" w:hAnsi="宋体"/>
                <w:sz w:val="21"/>
                <w:szCs w:val="21"/>
              </w:rPr>
              <w:t>。</w:t>
            </w:r>
            <w:bookmarkEnd w:id="315"/>
            <w:bookmarkEnd w:id="316"/>
          </w:p>
          <w:p w14:paraId="15CE82D7">
            <w:pPr>
              <w:numPr>
                <w:ilvl w:val="0"/>
                <w:numId w:val="2"/>
              </w:numPr>
              <w:rPr>
                <w:rFonts w:ascii="宋体" w:hAnsi="宋体"/>
                <w:sz w:val="21"/>
                <w:szCs w:val="21"/>
              </w:rPr>
            </w:pPr>
            <w:r>
              <w:rPr>
                <w:rFonts w:hint="eastAsia" w:ascii="宋体" w:hAnsi="宋体"/>
                <w:sz w:val="21"/>
                <w:szCs w:val="21"/>
              </w:rPr>
              <w:t>鼓励供应商提交群雕小样模型（不超过32厘米高，不提供不扣分），让</w:t>
            </w:r>
            <w:r>
              <w:rPr>
                <w:rFonts w:hint="eastAsia" w:ascii="宋体" w:hAnsi="宋体" w:cs="仿宋"/>
                <w:sz w:val="21"/>
                <w:szCs w:val="21"/>
              </w:rPr>
              <w:t>磋商小组成员能更直观的评审。</w:t>
            </w:r>
          </w:p>
        </w:tc>
      </w:tr>
      <w:tr w14:paraId="7069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vMerge w:val="continue"/>
            <w:noWrap/>
            <w:vAlign w:val="center"/>
          </w:tcPr>
          <w:p w14:paraId="5BE70A44">
            <w:pPr>
              <w:ind w:firstLine="28"/>
              <w:jc w:val="center"/>
              <w:rPr>
                <w:rFonts w:ascii="宋体" w:hAnsi="宋体" w:cs="宋体"/>
                <w:sz w:val="21"/>
                <w:szCs w:val="21"/>
              </w:rPr>
            </w:pPr>
          </w:p>
        </w:tc>
        <w:tc>
          <w:tcPr>
            <w:tcW w:w="1478" w:type="dxa"/>
            <w:vMerge w:val="continue"/>
            <w:noWrap/>
            <w:vAlign w:val="center"/>
          </w:tcPr>
          <w:p w14:paraId="0A4ECA5E">
            <w:pPr>
              <w:ind w:firstLine="28"/>
              <w:jc w:val="center"/>
              <w:rPr>
                <w:rFonts w:ascii="宋体" w:hAnsi="宋体" w:cs="宋体"/>
                <w:sz w:val="21"/>
                <w:szCs w:val="21"/>
              </w:rPr>
            </w:pPr>
          </w:p>
        </w:tc>
        <w:tc>
          <w:tcPr>
            <w:tcW w:w="1046" w:type="dxa"/>
            <w:vMerge w:val="continue"/>
            <w:noWrap/>
            <w:vAlign w:val="center"/>
          </w:tcPr>
          <w:p w14:paraId="691554EA">
            <w:pPr>
              <w:snapToGrid w:val="0"/>
              <w:jc w:val="center"/>
              <w:rPr>
                <w:rFonts w:ascii="宋体" w:hAnsi="宋体" w:cs="仿宋"/>
                <w:sz w:val="21"/>
                <w:szCs w:val="21"/>
              </w:rPr>
            </w:pPr>
          </w:p>
        </w:tc>
        <w:tc>
          <w:tcPr>
            <w:tcW w:w="3827" w:type="dxa"/>
            <w:noWrap/>
            <w:vAlign w:val="center"/>
          </w:tcPr>
          <w:p w14:paraId="5C7E0DF6">
            <w:pPr>
              <w:rPr>
                <w:rFonts w:hint="eastAsia" w:ascii="宋体" w:hAnsi="宋体" w:cs="仿宋"/>
                <w:sz w:val="21"/>
                <w:szCs w:val="21"/>
                <w:lang w:val="en-US" w:eastAsia="zh-CN"/>
              </w:rPr>
            </w:pPr>
            <w:r>
              <w:rPr>
                <w:rFonts w:hint="eastAsia" w:ascii="宋体" w:hAnsi="宋体" w:cs="仿宋"/>
                <w:sz w:val="21"/>
                <w:szCs w:val="21"/>
                <w:lang w:val="en-US" w:eastAsia="zh-CN"/>
              </w:rPr>
              <w:t>1.2</w:t>
            </w:r>
            <w:bookmarkStart w:id="317" w:name="OLE_LINK4"/>
            <w:r>
              <w:rPr>
                <w:rFonts w:hint="eastAsia" w:ascii="宋体" w:hAnsi="宋体" w:cs="仿宋"/>
                <w:sz w:val="21"/>
                <w:szCs w:val="21"/>
                <w:lang w:val="en-US" w:eastAsia="zh-CN"/>
              </w:rPr>
              <w:t>二次深化设计与艺术创作的实施方案</w:t>
            </w:r>
            <w:bookmarkEnd w:id="317"/>
            <w:r>
              <w:rPr>
                <w:rFonts w:hint="eastAsia" w:ascii="宋体" w:hAnsi="宋体" w:cs="仿宋"/>
                <w:sz w:val="21"/>
                <w:szCs w:val="21"/>
                <w:lang w:val="en-US" w:eastAsia="zh-CN"/>
              </w:rPr>
              <w:t>（10分）</w:t>
            </w:r>
          </w:p>
          <w:p w14:paraId="00C94C6C">
            <w:pPr>
              <w:rPr>
                <w:rFonts w:ascii="宋体" w:hAnsi="宋体" w:cs="宋体"/>
                <w:sz w:val="21"/>
                <w:szCs w:val="21"/>
              </w:rPr>
            </w:pPr>
            <w:r>
              <w:rPr>
                <w:rFonts w:hint="eastAsia" w:ascii="宋体" w:hAnsi="宋体" w:cs="宋体"/>
                <w:sz w:val="21"/>
                <w:szCs w:val="21"/>
              </w:rPr>
              <w:t>供应商制定本项目</w:t>
            </w:r>
            <w:r>
              <w:rPr>
                <w:rFonts w:hint="eastAsia" w:ascii="宋体" w:hAnsi="宋体" w:cs="宋体"/>
                <w:sz w:val="21"/>
                <w:szCs w:val="21"/>
                <w:lang w:val="en-US" w:eastAsia="zh-CN"/>
              </w:rPr>
              <w:t>二次深化设计与艺术创作的实施</w:t>
            </w:r>
            <w:r>
              <w:rPr>
                <w:rFonts w:hint="eastAsia" w:ascii="宋体" w:hAnsi="宋体" w:cs="宋体"/>
                <w:sz w:val="21"/>
                <w:szCs w:val="21"/>
              </w:rPr>
              <w:t>方案，方案内容包括切实可行的</w:t>
            </w:r>
            <w:r>
              <w:rPr>
                <w:rFonts w:hint="eastAsia" w:ascii="宋体" w:hAnsi="宋体" w:cs="宋体"/>
                <w:sz w:val="21"/>
                <w:szCs w:val="21"/>
                <w:lang w:val="en-US" w:eastAsia="zh-CN"/>
              </w:rPr>
              <w:t>二次深化设计</w:t>
            </w:r>
            <w:r>
              <w:rPr>
                <w:rFonts w:hint="eastAsia" w:ascii="宋体" w:hAnsi="宋体" w:cs="宋体"/>
                <w:sz w:val="21"/>
                <w:szCs w:val="21"/>
              </w:rPr>
              <w:t>组织措施、</w:t>
            </w:r>
            <w:r>
              <w:rPr>
                <w:rFonts w:hint="eastAsia" w:ascii="宋体" w:hAnsi="宋体" w:cs="宋体"/>
                <w:sz w:val="21"/>
                <w:szCs w:val="21"/>
                <w:lang w:val="en-US" w:eastAsia="zh-CN"/>
              </w:rPr>
              <w:t>针对本项目特点的艺术创作</w:t>
            </w:r>
            <w:r>
              <w:rPr>
                <w:rFonts w:hint="eastAsia" w:ascii="宋体" w:hAnsi="宋体" w:cs="宋体"/>
                <w:sz w:val="21"/>
                <w:szCs w:val="21"/>
              </w:rPr>
              <w:t>方</w:t>
            </w:r>
            <w:r>
              <w:rPr>
                <w:rFonts w:hint="eastAsia" w:ascii="宋体" w:hAnsi="宋体" w:cs="宋体"/>
                <w:sz w:val="21"/>
                <w:szCs w:val="21"/>
                <w:lang w:val="en-US" w:eastAsia="zh-CN"/>
              </w:rPr>
              <w:t>案</w:t>
            </w:r>
            <w:r>
              <w:rPr>
                <w:rFonts w:hint="eastAsia" w:ascii="宋体" w:hAnsi="宋体" w:cs="宋体"/>
                <w:sz w:val="21"/>
                <w:szCs w:val="21"/>
              </w:rPr>
              <w:t>、施工</w:t>
            </w:r>
            <w:r>
              <w:rPr>
                <w:rFonts w:hint="eastAsia" w:ascii="宋体" w:hAnsi="宋体" w:cs="宋体"/>
                <w:sz w:val="21"/>
                <w:szCs w:val="21"/>
                <w:lang w:val="en-US" w:eastAsia="zh-CN"/>
              </w:rPr>
              <w:t>程序</w:t>
            </w:r>
            <w:r>
              <w:rPr>
                <w:rFonts w:hint="eastAsia" w:ascii="宋体" w:hAnsi="宋体" w:cs="宋体"/>
                <w:sz w:val="21"/>
                <w:szCs w:val="21"/>
              </w:rPr>
              <w:t>、</w:t>
            </w:r>
            <w:r>
              <w:rPr>
                <w:rFonts w:hint="eastAsia" w:ascii="宋体" w:hAnsi="宋体" w:cs="宋体"/>
                <w:sz w:val="21"/>
                <w:szCs w:val="21"/>
                <w:lang w:val="en-US" w:eastAsia="zh-CN"/>
              </w:rPr>
              <w:t>艺术人员</w:t>
            </w:r>
            <w:r>
              <w:rPr>
                <w:rFonts w:hint="eastAsia" w:ascii="宋体" w:hAnsi="宋体" w:cs="宋体"/>
                <w:sz w:val="21"/>
                <w:szCs w:val="21"/>
              </w:rPr>
              <w:t>计划，确保</w:t>
            </w:r>
            <w:r>
              <w:rPr>
                <w:rFonts w:hint="eastAsia" w:ascii="宋体" w:hAnsi="宋体" w:cs="宋体"/>
                <w:sz w:val="21"/>
                <w:szCs w:val="21"/>
                <w:lang w:val="en-US" w:eastAsia="zh-CN"/>
              </w:rPr>
              <w:t>本</w:t>
            </w:r>
            <w:r>
              <w:rPr>
                <w:rFonts w:hint="eastAsia" w:ascii="宋体" w:hAnsi="宋体" w:cs="宋体"/>
                <w:sz w:val="21"/>
                <w:szCs w:val="21"/>
              </w:rPr>
              <w:t>工程</w:t>
            </w:r>
            <w:r>
              <w:rPr>
                <w:rFonts w:hint="eastAsia" w:ascii="宋体" w:hAnsi="宋体" w:cs="宋体"/>
                <w:sz w:val="21"/>
                <w:szCs w:val="21"/>
                <w:lang w:val="en-US" w:eastAsia="zh-CN"/>
              </w:rPr>
              <w:t>艺术效果</w:t>
            </w:r>
            <w:r>
              <w:rPr>
                <w:rFonts w:hint="eastAsia" w:ascii="宋体" w:hAnsi="宋体" w:cs="宋体"/>
                <w:sz w:val="21"/>
                <w:szCs w:val="21"/>
              </w:rPr>
              <w:t>，应对关键工序、复杂</w:t>
            </w:r>
            <w:r>
              <w:rPr>
                <w:rFonts w:hint="eastAsia" w:ascii="宋体" w:hAnsi="宋体" w:cs="宋体"/>
                <w:sz w:val="21"/>
                <w:szCs w:val="21"/>
                <w:lang w:val="en-US" w:eastAsia="zh-CN"/>
              </w:rPr>
              <w:t>艺术创作</w:t>
            </w:r>
            <w:r>
              <w:rPr>
                <w:rFonts w:hint="eastAsia" w:ascii="宋体" w:hAnsi="宋体" w:cs="宋体"/>
                <w:sz w:val="21"/>
                <w:szCs w:val="21"/>
              </w:rPr>
              <w:t>环节重点提出相应技术措施并提出具有预见性应对措施等，根据供应商提供的方案内容进行评审</w:t>
            </w:r>
          </w:p>
          <w:p w14:paraId="479CEFE3">
            <w:pPr>
              <w:rPr>
                <w:rFonts w:ascii="宋体" w:hAnsi="宋体" w:cs="宋体"/>
                <w:sz w:val="21"/>
                <w:szCs w:val="21"/>
              </w:rPr>
            </w:pPr>
            <w:r>
              <w:rPr>
                <w:rFonts w:hint="eastAsia" w:ascii="宋体" w:hAnsi="宋体" w:cs="宋体"/>
                <w:sz w:val="21"/>
                <w:szCs w:val="21"/>
              </w:rPr>
              <w:t>方案内容不存在瑕疵，得10分；</w:t>
            </w:r>
          </w:p>
          <w:p w14:paraId="06915514">
            <w:pPr>
              <w:rPr>
                <w:rFonts w:ascii="宋体" w:hAnsi="宋体" w:cs="宋体"/>
                <w:sz w:val="21"/>
                <w:szCs w:val="21"/>
              </w:rPr>
            </w:pPr>
            <w:r>
              <w:rPr>
                <w:rFonts w:hint="eastAsia" w:ascii="宋体" w:hAnsi="宋体" w:cs="宋体"/>
                <w:sz w:val="21"/>
                <w:szCs w:val="21"/>
              </w:rPr>
              <w:t>方案内容存在1处瑕疵，得5分；</w:t>
            </w:r>
          </w:p>
          <w:p w14:paraId="07764BC7">
            <w:pPr>
              <w:rPr>
                <w:rFonts w:ascii="宋体" w:hAnsi="宋体" w:cs="宋体"/>
                <w:sz w:val="21"/>
                <w:szCs w:val="21"/>
              </w:rPr>
            </w:pPr>
            <w:r>
              <w:rPr>
                <w:rFonts w:hint="eastAsia" w:ascii="宋体" w:hAnsi="宋体" w:cs="宋体"/>
                <w:sz w:val="21"/>
                <w:szCs w:val="21"/>
              </w:rPr>
              <w:t>方案内容存在2处瑕疵，得3分；</w:t>
            </w:r>
          </w:p>
          <w:p w14:paraId="5971C24E">
            <w:pPr>
              <w:rPr>
                <w:rFonts w:hint="default" w:ascii="宋体" w:hAnsi="宋体" w:cs="仿宋"/>
                <w:sz w:val="21"/>
                <w:szCs w:val="21"/>
                <w:lang w:val="en-US" w:eastAsia="zh-CN"/>
              </w:rPr>
            </w:pPr>
            <w:r>
              <w:rPr>
                <w:rFonts w:hint="eastAsia" w:ascii="宋体" w:hAnsi="宋体" w:cs="宋体"/>
                <w:sz w:val="21"/>
                <w:szCs w:val="21"/>
              </w:rPr>
              <w:t>方案内容存在3处及以上瑕疵或未提供方案得0分。</w:t>
            </w:r>
          </w:p>
        </w:tc>
        <w:tc>
          <w:tcPr>
            <w:tcW w:w="2551" w:type="dxa"/>
            <w:vMerge w:val="continue"/>
            <w:noWrap/>
            <w:vAlign w:val="center"/>
          </w:tcPr>
          <w:p w14:paraId="5DE4A277">
            <w:pPr>
              <w:rPr>
                <w:rFonts w:ascii="宋体" w:hAnsi="宋体" w:cs="仿宋"/>
                <w:sz w:val="21"/>
                <w:szCs w:val="21"/>
              </w:rPr>
            </w:pPr>
          </w:p>
        </w:tc>
      </w:tr>
      <w:tr w14:paraId="4CCB2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vMerge w:val="continue"/>
            <w:noWrap/>
            <w:vAlign w:val="center"/>
          </w:tcPr>
          <w:p w14:paraId="6CA696F4">
            <w:pPr>
              <w:ind w:firstLine="28"/>
              <w:jc w:val="center"/>
              <w:rPr>
                <w:rFonts w:ascii="宋体" w:hAnsi="宋体" w:cs="宋体"/>
                <w:sz w:val="21"/>
                <w:szCs w:val="21"/>
              </w:rPr>
            </w:pPr>
          </w:p>
        </w:tc>
        <w:tc>
          <w:tcPr>
            <w:tcW w:w="1478" w:type="dxa"/>
            <w:vMerge w:val="continue"/>
            <w:noWrap/>
            <w:vAlign w:val="center"/>
          </w:tcPr>
          <w:p w14:paraId="365872E0">
            <w:pPr>
              <w:ind w:firstLine="28"/>
              <w:jc w:val="center"/>
              <w:rPr>
                <w:rFonts w:ascii="宋体" w:hAnsi="宋体" w:cs="宋体"/>
                <w:sz w:val="21"/>
                <w:szCs w:val="21"/>
              </w:rPr>
            </w:pPr>
          </w:p>
        </w:tc>
        <w:tc>
          <w:tcPr>
            <w:tcW w:w="1046" w:type="dxa"/>
            <w:vMerge w:val="restart"/>
            <w:noWrap/>
            <w:vAlign w:val="center"/>
          </w:tcPr>
          <w:p w14:paraId="2A91945B">
            <w:pPr>
              <w:snapToGrid w:val="0"/>
              <w:jc w:val="center"/>
              <w:rPr>
                <w:rFonts w:hint="eastAsia" w:ascii="宋体" w:hAnsi="宋体" w:cs="仿宋"/>
                <w:sz w:val="21"/>
                <w:szCs w:val="21"/>
              </w:rPr>
            </w:pPr>
          </w:p>
          <w:p w14:paraId="0D023350">
            <w:pPr>
              <w:snapToGrid w:val="0"/>
              <w:jc w:val="center"/>
              <w:rPr>
                <w:rFonts w:hint="eastAsia" w:ascii="宋体" w:hAnsi="宋体" w:cs="仿宋"/>
                <w:sz w:val="21"/>
                <w:szCs w:val="21"/>
              </w:rPr>
            </w:pPr>
          </w:p>
          <w:p w14:paraId="367A3886">
            <w:pPr>
              <w:snapToGrid w:val="0"/>
              <w:jc w:val="center"/>
              <w:rPr>
                <w:rFonts w:hint="eastAsia" w:ascii="宋体" w:hAnsi="宋体" w:cs="仿宋"/>
                <w:sz w:val="21"/>
                <w:szCs w:val="21"/>
              </w:rPr>
            </w:pPr>
          </w:p>
          <w:p w14:paraId="555C4745">
            <w:pPr>
              <w:snapToGrid w:val="0"/>
              <w:jc w:val="center"/>
              <w:rPr>
                <w:rFonts w:hint="eastAsia" w:ascii="宋体" w:hAnsi="宋体" w:cs="仿宋"/>
                <w:sz w:val="21"/>
                <w:szCs w:val="21"/>
              </w:rPr>
            </w:pPr>
          </w:p>
          <w:p w14:paraId="7D890A36">
            <w:pPr>
              <w:snapToGrid w:val="0"/>
              <w:jc w:val="center"/>
              <w:rPr>
                <w:rFonts w:hint="eastAsia" w:ascii="宋体" w:hAnsi="宋体" w:cs="仿宋"/>
                <w:sz w:val="21"/>
                <w:szCs w:val="21"/>
              </w:rPr>
            </w:pPr>
          </w:p>
          <w:p w14:paraId="4A5AE2AF">
            <w:pPr>
              <w:snapToGrid w:val="0"/>
              <w:jc w:val="center"/>
              <w:rPr>
                <w:rFonts w:hint="eastAsia" w:ascii="宋体" w:hAnsi="宋体" w:cs="仿宋"/>
                <w:sz w:val="21"/>
                <w:szCs w:val="21"/>
              </w:rPr>
            </w:pPr>
          </w:p>
          <w:p w14:paraId="2B154C2A">
            <w:pPr>
              <w:snapToGrid w:val="0"/>
              <w:jc w:val="center"/>
              <w:rPr>
                <w:rFonts w:hint="eastAsia" w:ascii="宋体" w:hAnsi="宋体" w:cs="仿宋"/>
                <w:sz w:val="21"/>
                <w:szCs w:val="21"/>
              </w:rPr>
            </w:pPr>
          </w:p>
          <w:p w14:paraId="5F8B0454">
            <w:pPr>
              <w:snapToGrid w:val="0"/>
              <w:jc w:val="center"/>
              <w:rPr>
                <w:rFonts w:hint="eastAsia" w:ascii="宋体" w:hAnsi="宋体" w:cs="仿宋"/>
                <w:sz w:val="21"/>
                <w:szCs w:val="21"/>
              </w:rPr>
            </w:pPr>
          </w:p>
          <w:p w14:paraId="3409019B">
            <w:pPr>
              <w:snapToGrid w:val="0"/>
              <w:jc w:val="center"/>
              <w:rPr>
                <w:rFonts w:hint="eastAsia" w:ascii="宋体" w:hAnsi="宋体" w:cs="仿宋"/>
                <w:sz w:val="21"/>
                <w:szCs w:val="21"/>
              </w:rPr>
            </w:pPr>
          </w:p>
          <w:p w14:paraId="37BCB54B">
            <w:pPr>
              <w:snapToGrid w:val="0"/>
              <w:jc w:val="center"/>
              <w:rPr>
                <w:rFonts w:hint="eastAsia" w:ascii="宋体" w:hAnsi="宋体" w:cs="仿宋"/>
                <w:sz w:val="21"/>
                <w:szCs w:val="21"/>
              </w:rPr>
            </w:pPr>
          </w:p>
          <w:p w14:paraId="6D9364C0">
            <w:pPr>
              <w:snapToGrid w:val="0"/>
              <w:jc w:val="center"/>
              <w:rPr>
                <w:rFonts w:hint="eastAsia" w:ascii="宋体" w:hAnsi="宋体" w:cs="仿宋"/>
                <w:sz w:val="21"/>
                <w:szCs w:val="21"/>
              </w:rPr>
            </w:pPr>
          </w:p>
          <w:p w14:paraId="7DD9F506">
            <w:pPr>
              <w:snapToGrid w:val="0"/>
              <w:jc w:val="center"/>
              <w:rPr>
                <w:rFonts w:hint="eastAsia" w:ascii="宋体" w:hAnsi="宋体" w:cs="仿宋"/>
                <w:sz w:val="21"/>
                <w:szCs w:val="21"/>
              </w:rPr>
            </w:pPr>
          </w:p>
          <w:p w14:paraId="725B67DB">
            <w:pPr>
              <w:snapToGrid w:val="0"/>
              <w:jc w:val="center"/>
              <w:rPr>
                <w:rFonts w:hint="eastAsia" w:ascii="宋体" w:hAnsi="宋体" w:cs="仿宋"/>
                <w:sz w:val="21"/>
                <w:szCs w:val="21"/>
              </w:rPr>
            </w:pPr>
          </w:p>
          <w:p w14:paraId="2FE41364">
            <w:pPr>
              <w:snapToGrid w:val="0"/>
              <w:jc w:val="center"/>
              <w:rPr>
                <w:rFonts w:hint="eastAsia" w:ascii="宋体" w:hAnsi="宋体" w:cs="仿宋"/>
                <w:sz w:val="21"/>
                <w:szCs w:val="21"/>
              </w:rPr>
            </w:pPr>
          </w:p>
          <w:p w14:paraId="12CDEAF6">
            <w:pPr>
              <w:snapToGrid w:val="0"/>
              <w:jc w:val="center"/>
              <w:rPr>
                <w:rFonts w:hint="eastAsia" w:ascii="宋体" w:hAnsi="宋体" w:cs="仿宋"/>
                <w:sz w:val="21"/>
                <w:szCs w:val="21"/>
              </w:rPr>
            </w:pPr>
          </w:p>
          <w:p w14:paraId="6D5B9BB3">
            <w:pPr>
              <w:snapToGrid w:val="0"/>
              <w:jc w:val="center"/>
              <w:rPr>
                <w:rFonts w:ascii="宋体" w:hAnsi="宋体" w:cs="仿宋"/>
                <w:sz w:val="21"/>
                <w:szCs w:val="21"/>
              </w:rPr>
            </w:pPr>
            <w:r>
              <w:rPr>
                <w:rFonts w:hint="eastAsia" w:ascii="宋体" w:hAnsi="宋体" w:cs="仿宋"/>
                <w:sz w:val="21"/>
                <w:szCs w:val="21"/>
              </w:rPr>
              <w:t>群雕二次深化设计效果（30分）</w:t>
            </w:r>
          </w:p>
        </w:tc>
        <w:tc>
          <w:tcPr>
            <w:tcW w:w="3827" w:type="dxa"/>
            <w:noWrap/>
            <w:vAlign w:val="center"/>
          </w:tcPr>
          <w:p w14:paraId="66E094C6">
            <w:pPr>
              <w:rPr>
                <w:rFonts w:ascii="宋体" w:hAnsi="宋体" w:cs="仿宋"/>
                <w:sz w:val="21"/>
                <w:szCs w:val="21"/>
              </w:rPr>
            </w:pPr>
            <w:r>
              <w:rPr>
                <w:rFonts w:hint="eastAsia" w:ascii="宋体" w:hAnsi="宋体" w:cs="仿宋"/>
                <w:sz w:val="21"/>
                <w:szCs w:val="21"/>
                <w:lang w:val="en-US" w:eastAsia="zh-CN"/>
              </w:rPr>
              <w:t>2</w:t>
            </w:r>
            <w:r>
              <w:rPr>
                <w:rFonts w:hint="eastAsia" w:ascii="宋体" w:hAnsi="宋体" w:cs="仿宋"/>
                <w:sz w:val="21"/>
                <w:szCs w:val="21"/>
              </w:rPr>
              <w:t>.1供应商参考“定制人物主题群雕”的初步设计样式进行二次深化创作，群雕整体造型、人物动态布局、空间结构需与招标文件图纸中的主题群雕设计方案保持基本一致，供应商须提供清晰可辨的深化方案效果图。根据供应商提供的深化方案效果图进行评审。（10分）</w:t>
            </w:r>
          </w:p>
          <w:p w14:paraId="2C815B21">
            <w:pPr>
              <w:rPr>
                <w:rFonts w:ascii="宋体" w:hAnsi="宋体" w:cs="宋体"/>
                <w:sz w:val="21"/>
                <w:szCs w:val="21"/>
              </w:rPr>
            </w:pPr>
            <w:r>
              <w:rPr>
                <w:rFonts w:hint="eastAsia" w:ascii="宋体" w:hAnsi="宋体" w:cs="宋体"/>
                <w:sz w:val="21"/>
                <w:szCs w:val="21"/>
              </w:rPr>
              <w:t>方案内容不存在瑕疵，得10分；</w:t>
            </w:r>
          </w:p>
          <w:p w14:paraId="70E736FA">
            <w:pPr>
              <w:rPr>
                <w:rFonts w:ascii="宋体" w:hAnsi="宋体" w:cs="宋体"/>
                <w:sz w:val="21"/>
                <w:szCs w:val="21"/>
              </w:rPr>
            </w:pPr>
            <w:r>
              <w:rPr>
                <w:rFonts w:hint="eastAsia" w:ascii="宋体" w:hAnsi="宋体" w:cs="宋体"/>
                <w:sz w:val="21"/>
                <w:szCs w:val="21"/>
              </w:rPr>
              <w:t>方案内容存在1处瑕疵，得5分；</w:t>
            </w:r>
          </w:p>
          <w:p w14:paraId="20640164">
            <w:pPr>
              <w:rPr>
                <w:rFonts w:ascii="宋体" w:hAnsi="宋体" w:cs="宋体"/>
                <w:sz w:val="21"/>
                <w:szCs w:val="21"/>
              </w:rPr>
            </w:pPr>
            <w:r>
              <w:rPr>
                <w:rFonts w:hint="eastAsia" w:ascii="宋体" w:hAnsi="宋体" w:cs="宋体"/>
                <w:sz w:val="21"/>
                <w:szCs w:val="21"/>
              </w:rPr>
              <w:t>方案内容存在2处瑕疵，得3分；</w:t>
            </w:r>
          </w:p>
          <w:p w14:paraId="39CB4D34">
            <w:pPr>
              <w:rPr>
                <w:rFonts w:ascii="宋体" w:hAnsi="宋体" w:cs="仿宋"/>
                <w:sz w:val="21"/>
                <w:szCs w:val="21"/>
              </w:rPr>
            </w:pPr>
            <w:r>
              <w:rPr>
                <w:rFonts w:hint="eastAsia" w:ascii="宋体" w:hAnsi="宋体" w:cs="宋体"/>
                <w:sz w:val="21"/>
                <w:szCs w:val="21"/>
              </w:rPr>
              <w:t>方案内容存在3处及以上瑕疵或未提供方案得0分。</w:t>
            </w:r>
          </w:p>
        </w:tc>
        <w:tc>
          <w:tcPr>
            <w:tcW w:w="2551" w:type="dxa"/>
            <w:vMerge w:val="continue"/>
            <w:noWrap/>
            <w:vAlign w:val="center"/>
          </w:tcPr>
          <w:p w14:paraId="742E45F1">
            <w:pPr>
              <w:rPr>
                <w:rFonts w:ascii="宋体" w:hAnsi="宋体" w:cs="仿宋"/>
                <w:sz w:val="21"/>
                <w:szCs w:val="21"/>
              </w:rPr>
            </w:pPr>
          </w:p>
        </w:tc>
      </w:tr>
      <w:tr w14:paraId="1420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vMerge w:val="continue"/>
            <w:noWrap/>
            <w:vAlign w:val="center"/>
          </w:tcPr>
          <w:p w14:paraId="11E95731">
            <w:pPr>
              <w:ind w:firstLine="28"/>
              <w:jc w:val="center"/>
              <w:rPr>
                <w:rFonts w:ascii="宋体" w:hAnsi="宋体" w:cs="宋体"/>
                <w:sz w:val="21"/>
                <w:szCs w:val="21"/>
              </w:rPr>
            </w:pPr>
          </w:p>
        </w:tc>
        <w:tc>
          <w:tcPr>
            <w:tcW w:w="1478" w:type="dxa"/>
            <w:vMerge w:val="continue"/>
            <w:noWrap/>
            <w:vAlign w:val="center"/>
          </w:tcPr>
          <w:p w14:paraId="099E820C">
            <w:pPr>
              <w:ind w:firstLine="28"/>
              <w:jc w:val="center"/>
              <w:rPr>
                <w:rFonts w:ascii="宋体" w:hAnsi="宋体" w:cs="宋体"/>
                <w:sz w:val="21"/>
                <w:szCs w:val="21"/>
              </w:rPr>
            </w:pPr>
          </w:p>
        </w:tc>
        <w:tc>
          <w:tcPr>
            <w:tcW w:w="1046" w:type="dxa"/>
            <w:vMerge w:val="continue"/>
            <w:noWrap/>
            <w:vAlign w:val="center"/>
          </w:tcPr>
          <w:p w14:paraId="3B268F79">
            <w:pPr>
              <w:snapToGrid w:val="0"/>
              <w:jc w:val="center"/>
              <w:rPr>
                <w:rFonts w:ascii="宋体" w:hAnsi="宋体" w:cs="仿宋"/>
                <w:sz w:val="21"/>
                <w:szCs w:val="21"/>
              </w:rPr>
            </w:pPr>
          </w:p>
        </w:tc>
        <w:tc>
          <w:tcPr>
            <w:tcW w:w="3827" w:type="dxa"/>
            <w:noWrap/>
            <w:vAlign w:val="center"/>
          </w:tcPr>
          <w:p w14:paraId="7776D3BB">
            <w:pPr>
              <w:rPr>
                <w:rFonts w:ascii="宋体" w:hAnsi="宋体" w:cs="仿宋"/>
                <w:sz w:val="21"/>
                <w:szCs w:val="21"/>
              </w:rPr>
            </w:pPr>
            <w:r>
              <w:rPr>
                <w:rFonts w:hint="eastAsia" w:ascii="宋体" w:hAnsi="宋体" w:cs="宋体"/>
                <w:sz w:val="21"/>
                <w:szCs w:val="21"/>
                <w:lang w:val="en-US" w:eastAsia="zh-CN"/>
              </w:rPr>
              <w:t>2</w:t>
            </w:r>
            <w:r>
              <w:rPr>
                <w:rFonts w:hint="eastAsia" w:ascii="宋体" w:hAnsi="宋体" w:cs="宋体"/>
                <w:sz w:val="21"/>
                <w:szCs w:val="21"/>
              </w:rPr>
              <w:t>.2供应商</w:t>
            </w:r>
            <w:r>
              <w:rPr>
                <w:rFonts w:hint="eastAsia" w:ascii="宋体" w:hAnsi="宋体" w:cs="仿宋"/>
                <w:sz w:val="21"/>
                <w:szCs w:val="21"/>
              </w:rPr>
              <w:t>二次深化创作须采用写实的创作手法，泥塑小样或建模方式均可，刻画消防员灭火救援动态组合的准确性，确保各类消防服装道具细节的准确性和完整性，雕塑肌理自然、凹凸有层次、人物道具比例结构准确，面部表情与叙事雕塑场景相符合，细节做工规整。根据供应商提供的深化方案效果图。（10分）</w:t>
            </w:r>
          </w:p>
          <w:p w14:paraId="7DDECCD9">
            <w:pPr>
              <w:rPr>
                <w:rFonts w:ascii="宋体" w:hAnsi="宋体" w:cs="宋体"/>
                <w:sz w:val="21"/>
                <w:szCs w:val="21"/>
              </w:rPr>
            </w:pPr>
            <w:r>
              <w:rPr>
                <w:rFonts w:hint="eastAsia" w:ascii="宋体" w:hAnsi="宋体" w:cs="宋体"/>
                <w:sz w:val="21"/>
                <w:szCs w:val="21"/>
              </w:rPr>
              <w:t>方案内容不存在瑕疵，得10分；</w:t>
            </w:r>
          </w:p>
          <w:p w14:paraId="09894EE2">
            <w:pPr>
              <w:rPr>
                <w:rFonts w:ascii="宋体" w:hAnsi="宋体" w:cs="宋体"/>
                <w:sz w:val="21"/>
                <w:szCs w:val="21"/>
              </w:rPr>
            </w:pPr>
            <w:r>
              <w:rPr>
                <w:rFonts w:hint="eastAsia" w:ascii="宋体" w:hAnsi="宋体" w:cs="宋体"/>
                <w:sz w:val="21"/>
                <w:szCs w:val="21"/>
              </w:rPr>
              <w:t>方案内容存在1处瑕疵，得5分；</w:t>
            </w:r>
          </w:p>
          <w:p w14:paraId="322D4DD1">
            <w:pPr>
              <w:rPr>
                <w:rFonts w:ascii="宋体" w:hAnsi="宋体" w:cs="宋体"/>
                <w:sz w:val="21"/>
                <w:szCs w:val="21"/>
              </w:rPr>
            </w:pPr>
            <w:r>
              <w:rPr>
                <w:rFonts w:hint="eastAsia" w:ascii="宋体" w:hAnsi="宋体" w:cs="宋体"/>
                <w:sz w:val="21"/>
                <w:szCs w:val="21"/>
              </w:rPr>
              <w:t>方案内容存在2处瑕疵，得3分；</w:t>
            </w:r>
          </w:p>
          <w:p w14:paraId="221012DE">
            <w:pPr>
              <w:rPr>
                <w:rFonts w:ascii="宋体" w:hAnsi="宋体" w:cs="仿宋"/>
                <w:sz w:val="21"/>
                <w:szCs w:val="21"/>
              </w:rPr>
            </w:pPr>
            <w:r>
              <w:rPr>
                <w:rFonts w:hint="eastAsia" w:ascii="宋体" w:hAnsi="宋体" w:cs="宋体"/>
                <w:sz w:val="21"/>
                <w:szCs w:val="21"/>
              </w:rPr>
              <w:t>方案内容存在3处及以上瑕疵或未提供方案得0分。</w:t>
            </w:r>
          </w:p>
        </w:tc>
        <w:tc>
          <w:tcPr>
            <w:tcW w:w="2551" w:type="dxa"/>
            <w:vMerge w:val="continue"/>
            <w:noWrap/>
            <w:vAlign w:val="center"/>
          </w:tcPr>
          <w:p w14:paraId="7D871A08">
            <w:pPr>
              <w:rPr>
                <w:rFonts w:ascii="宋体" w:hAnsi="宋体" w:cs="仿宋"/>
                <w:sz w:val="21"/>
                <w:szCs w:val="21"/>
              </w:rPr>
            </w:pPr>
          </w:p>
        </w:tc>
      </w:tr>
      <w:tr w14:paraId="1C0BE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0" w:hRule="atLeast"/>
        </w:trPr>
        <w:tc>
          <w:tcPr>
            <w:tcW w:w="845" w:type="dxa"/>
            <w:vMerge w:val="continue"/>
            <w:noWrap/>
            <w:vAlign w:val="center"/>
          </w:tcPr>
          <w:p w14:paraId="6901516C">
            <w:pPr>
              <w:ind w:firstLine="28"/>
              <w:jc w:val="center"/>
              <w:rPr>
                <w:rFonts w:ascii="宋体" w:hAnsi="宋体" w:cs="宋体"/>
                <w:sz w:val="21"/>
                <w:szCs w:val="21"/>
              </w:rPr>
            </w:pPr>
          </w:p>
        </w:tc>
        <w:tc>
          <w:tcPr>
            <w:tcW w:w="1478" w:type="dxa"/>
            <w:vMerge w:val="continue"/>
            <w:noWrap/>
            <w:vAlign w:val="center"/>
          </w:tcPr>
          <w:p w14:paraId="26418C01">
            <w:pPr>
              <w:ind w:firstLine="28"/>
              <w:jc w:val="center"/>
              <w:rPr>
                <w:rFonts w:ascii="宋体" w:hAnsi="宋体" w:cs="宋体"/>
                <w:sz w:val="21"/>
                <w:szCs w:val="21"/>
              </w:rPr>
            </w:pPr>
          </w:p>
        </w:tc>
        <w:tc>
          <w:tcPr>
            <w:tcW w:w="1046" w:type="dxa"/>
            <w:vMerge w:val="continue"/>
            <w:noWrap/>
            <w:vAlign w:val="center"/>
          </w:tcPr>
          <w:p w14:paraId="4E358648">
            <w:pPr>
              <w:snapToGrid w:val="0"/>
              <w:jc w:val="center"/>
              <w:rPr>
                <w:rFonts w:ascii="宋体" w:hAnsi="宋体" w:cs="仿宋"/>
                <w:sz w:val="21"/>
                <w:szCs w:val="21"/>
              </w:rPr>
            </w:pPr>
          </w:p>
        </w:tc>
        <w:tc>
          <w:tcPr>
            <w:tcW w:w="3827" w:type="dxa"/>
            <w:noWrap/>
            <w:vAlign w:val="center"/>
          </w:tcPr>
          <w:p w14:paraId="416B90BC">
            <w:pPr>
              <w:rPr>
                <w:rFonts w:ascii="宋体" w:hAnsi="宋体" w:cs="仿宋"/>
                <w:sz w:val="21"/>
                <w:szCs w:val="21"/>
              </w:rPr>
            </w:pPr>
            <w:r>
              <w:rPr>
                <w:rFonts w:hint="eastAsia" w:ascii="宋体" w:hAnsi="宋体" w:cs="宋体"/>
                <w:sz w:val="21"/>
                <w:szCs w:val="21"/>
                <w:lang w:val="en-US" w:eastAsia="zh-CN"/>
              </w:rPr>
              <w:t>2</w:t>
            </w:r>
            <w:r>
              <w:rPr>
                <w:rFonts w:hint="eastAsia" w:ascii="宋体" w:hAnsi="宋体" w:cs="宋体"/>
                <w:sz w:val="21"/>
                <w:szCs w:val="21"/>
              </w:rPr>
              <w:t>.3群雕表面古铜效果着色处理，颜色层次均匀，二次深化整体呈现艺术效果达到采购人的预期艺术水准。</w:t>
            </w:r>
            <w:r>
              <w:rPr>
                <w:rFonts w:hint="eastAsia" w:ascii="宋体" w:hAnsi="宋体" w:cs="仿宋"/>
                <w:sz w:val="21"/>
                <w:szCs w:val="21"/>
              </w:rPr>
              <w:t>根据供应商提供的深化方案效果图进行评审。（10分）</w:t>
            </w:r>
          </w:p>
          <w:p w14:paraId="0425793E">
            <w:pPr>
              <w:rPr>
                <w:rFonts w:ascii="宋体" w:hAnsi="宋体" w:cs="宋体"/>
                <w:sz w:val="21"/>
                <w:szCs w:val="21"/>
              </w:rPr>
            </w:pPr>
            <w:r>
              <w:rPr>
                <w:rFonts w:hint="eastAsia" w:ascii="宋体" w:hAnsi="宋体" w:cs="宋体"/>
                <w:sz w:val="21"/>
                <w:szCs w:val="21"/>
              </w:rPr>
              <w:t>方案内容不存在瑕疵，得10分；</w:t>
            </w:r>
          </w:p>
          <w:p w14:paraId="53B5C041">
            <w:pPr>
              <w:rPr>
                <w:rFonts w:ascii="宋体" w:hAnsi="宋体" w:cs="宋体"/>
                <w:sz w:val="21"/>
                <w:szCs w:val="21"/>
              </w:rPr>
            </w:pPr>
            <w:r>
              <w:rPr>
                <w:rFonts w:hint="eastAsia" w:ascii="宋体" w:hAnsi="宋体" w:cs="宋体"/>
                <w:sz w:val="21"/>
                <w:szCs w:val="21"/>
              </w:rPr>
              <w:t>方案内容存在1处瑕疵，得5分；</w:t>
            </w:r>
          </w:p>
          <w:p w14:paraId="70ED93A3">
            <w:pPr>
              <w:rPr>
                <w:rFonts w:ascii="宋体" w:hAnsi="宋体" w:cs="宋体"/>
                <w:sz w:val="21"/>
                <w:szCs w:val="21"/>
              </w:rPr>
            </w:pPr>
            <w:r>
              <w:rPr>
                <w:rFonts w:hint="eastAsia" w:ascii="宋体" w:hAnsi="宋体" w:cs="宋体"/>
                <w:sz w:val="21"/>
                <w:szCs w:val="21"/>
              </w:rPr>
              <w:t>方案内容存在2处瑕疵，得3分；</w:t>
            </w:r>
          </w:p>
          <w:p w14:paraId="02555D35">
            <w:pPr>
              <w:rPr>
                <w:rFonts w:ascii="宋体" w:hAnsi="宋体" w:cs="宋体"/>
                <w:sz w:val="21"/>
                <w:szCs w:val="21"/>
              </w:rPr>
            </w:pPr>
            <w:r>
              <w:rPr>
                <w:rFonts w:hint="eastAsia" w:ascii="宋体" w:hAnsi="宋体" w:cs="宋体"/>
                <w:sz w:val="21"/>
                <w:szCs w:val="21"/>
              </w:rPr>
              <w:t>方案内容存在3处及以上瑕疵或未提供方案得0分。</w:t>
            </w:r>
          </w:p>
        </w:tc>
        <w:tc>
          <w:tcPr>
            <w:tcW w:w="2551" w:type="dxa"/>
            <w:vMerge w:val="continue"/>
            <w:noWrap/>
            <w:vAlign w:val="center"/>
          </w:tcPr>
          <w:p w14:paraId="769082B9">
            <w:pPr>
              <w:rPr>
                <w:rFonts w:ascii="宋体" w:hAnsi="宋体" w:cs="仿宋"/>
                <w:sz w:val="21"/>
                <w:szCs w:val="21"/>
              </w:rPr>
            </w:pPr>
          </w:p>
        </w:tc>
      </w:tr>
      <w:tr w14:paraId="598E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trPr>
        <w:tc>
          <w:tcPr>
            <w:tcW w:w="845" w:type="dxa"/>
            <w:vMerge w:val="restart"/>
            <w:noWrap/>
            <w:vAlign w:val="center"/>
          </w:tcPr>
          <w:p w14:paraId="1B4FB6E8">
            <w:pPr>
              <w:ind w:firstLine="28"/>
              <w:jc w:val="center"/>
              <w:rPr>
                <w:rFonts w:ascii="宋体" w:hAnsi="宋体" w:cs="宋体"/>
                <w:sz w:val="21"/>
                <w:szCs w:val="21"/>
              </w:rPr>
            </w:pPr>
            <w:r>
              <w:rPr>
                <w:rFonts w:hint="eastAsia" w:ascii="宋体" w:hAnsi="宋体" w:cs="宋体"/>
                <w:sz w:val="21"/>
                <w:szCs w:val="21"/>
              </w:rPr>
              <w:t>3</w:t>
            </w:r>
          </w:p>
        </w:tc>
        <w:tc>
          <w:tcPr>
            <w:tcW w:w="1478" w:type="dxa"/>
            <w:vMerge w:val="restart"/>
            <w:noWrap/>
            <w:vAlign w:val="center"/>
          </w:tcPr>
          <w:p w14:paraId="4576D979">
            <w:pPr>
              <w:ind w:firstLine="28"/>
              <w:jc w:val="center"/>
              <w:rPr>
                <w:rFonts w:ascii="宋体" w:hAnsi="宋体" w:cs="宋体"/>
                <w:sz w:val="21"/>
                <w:szCs w:val="21"/>
              </w:rPr>
            </w:pPr>
            <w:r>
              <w:rPr>
                <w:rFonts w:hint="eastAsia" w:ascii="宋体" w:hAnsi="宋体" w:cs="宋体"/>
                <w:sz w:val="21"/>
                <w:szCs w:val="21"/>
              </w:rPr>
              <w:t>商务部分</w:t>
            </w:r>
          </w:p>
          <w:p w14:paraId="026A22E2">
            <w:pPr>
              <w:ind w:firstLine="28"/>
              <w:jc w:val="center"/>
              <w:rPr>
                <w:rFonts w:ascii="宋体" w:hAnsi="宋体" w:cs="宋体"/>
                <w:sz w:val="21"/>
                <w:szCs w:val="21"/>
              </w:rPr>
            </w:pPr>
            <w:r>
              <w:rPr>
                <w:rFonts w:hint="eastAsia" w:ascii="宋体" w:hAnsi="宋体" w:cs="宋体"/>
                <w:sz w:val="21"/>
                <w:szCs w:val="21"/>
              </w:rPr>
              <w:t>（10%）</w:t>
            </w:r>
          </w:p>
        </w:tc>
        <w:tc>
          <w:tcPr>
            <w:tcW w:w="1046" w:type="dxa"/>
            <w:noWrap/>
            <w:vAlign w:val="center"/>
          </w:tcPr>
          <w:p w14:paraId="53520690">
            <w:pPr>
              <w:snapToGrid w:val="0"/>
              <w:jc w:val="center"/>
              <w:rPr>
                <w:rFonts w:ascii="宋体" w:hAnsi="宋体" w:cs="仿宋"/>
                <w:kern w:val="0"/>
                <w:sz w:val="21"/>
                <w:szCs w:val="21"/>
              </w:rPr>
            </w:pPr>
            <w:r>
              <w:rPr>
                <w:rFonts w:hint="eastAsia" w:ascii="宋体" w:hAnsi="宋体" w:cs="仿宋"/>
                <w:kern w:val="0"/>
                <w:sz w:val="21"/>
                <w:szCs w:val="21"/>
              </w:rPr>
              <w:t>业绩</w:t>
            </w:r>
          </w:p>
          <w:p w14:paraId="4C64CF84">
            <w:pPr>
              <w:snapToGrid w:val="0"/>
              <w:jc w:val="center"/>
              <w:rPr>
                <w:rFonts w:ascii="宋体" w:hAnsi="宋体" w:cs="仿宋"/>
                <w:kern w:val="0"/>
                <w:sz w:val="21"/>
                <w:szCs w:val="21"/>
              </w:rPr>
            </w:pPr>
            <w:r>
              <w:rPr>
                <w:rFonts w:hint="eastAsia" w:ascii="宋体" w:hAnsi="宋体" w:cs="仿宋"/>
                <w:sz w:val="21"/>
                <w:szCs w:val="21"/>
              </w:rPr>
              <w:t>（4分）</w:t>
            </w:r>
          </w:p>
        </w:tc>
        <w:tc>
          <w:tcPr>
            <w:tcW w:w="3827" w:type="dxa"/>
            <w:noWrap/>
            <w:vAlign w:val="center"/>
          </w:tcPr>
          <w:p w14:paraId="33E855ED">
            <w:pPr>
              <w:rPr>
                <w:rFonts w:ascii="宋体" w:hAnsi="宋体" w:cs="仿宋"/>
                <w:sz w:val="21"/>
                <w:szCs w:val="21"/>
              </w:rPr>
            </w:pPr>
            <w:r>
              <w:rPr>
                <w:rFonts w:hint="eastAsia" w:ascii="宋体" w:hAnsi="宋体" w:cs="仿宋"/>
                <w:sz w:val="21"/>
                <w:szCs w:val="21"/>
              </w:rPr>
              <w:t>2021年1月1日至响应文件递交截止时间（以竣工验收时间为准），供应商完成过装饰装修工程类业绩的，每提供一份业绩得2分，本项最多得4分。</w:t>
            </w:r>
          </w:p>
        </w:tc>
        <w:tc>
          <w:tcPr>
            <w:tcW w:w="2551" w:type="dxa"/>
            <w:noWrap/>
            <w:vAlign w:val="center"/>
          </w:tcPr>
          <w:p w14:paraId="1F19EDDF">
            <w:pPr>
              <w:rPr>
                <w:rFonts w:ascii="等线" w:hAnsi="等线" w:eastAsia="等线"/>
                <w:sz w:val="21"/>
                <w:szCs w:val="22"/>
              </w:rPr>
            </w:pPr>
            <w:r>
              <w:rPr>
                <w:rFonts w:hint="eastAsia" w:ascii="宋体" w:hAnsi="宋体" w:cs="仿宋"/>
                <w:sz w:val="21"/>
                <w:szCs w:val="21"/>
              </w:rPr>
              <w:t>供应商提供项目合同复印件和工程竣工报告复印件或验收合格报告复印件（能清晰识别竣工验收时间的相关证明材料）并加盖供应商公章。</w:t>
            </w:r>
          </w:p>
        </w:tc>
      </w:tr>
      <w:tr w14:paraId="77E05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trPr>
        <w:tc>
          <w:tcPr>
            <w:tcW w:w="845" w:type="dxa"/>
            <w:vMerge w:val="continue"/>
            <w:noWrap/>
            <w:vAlign w:val="center"/>
          </w:tcPr>
          <w:p w14:paraId="73A50996">
            <w:pPr>
              <w:ind w:firstLine="28"/>
              <w:jc w:val="center"/>
              <w:rPr>
                <w:rFonts w:ascii="宋体" w:hAnsi="宋体" w:cs="宋体"/>
                <w:sz w:val="21"/>
                <w:szCs w:val="21"/>
              </w:rPr>
            </w:pPr>
          </w:p>
        </w:tc>
        <w:tc>
          <w:tcPr>
            <w:tcW w:w="1478" w:type="dxa"/>
            <w:vMerge w:val="continue"/>
            <w:noWrap/>
            <w:vAlign w:val="center"/>
          </w:tcPr>
          <w:p w14:paraId="6D9A02C6">
            <w:pPr>
              <w:ind w:firstLine="28"/>
              <w:jc w:val="center"/>
              <w:rPr>
                <w:rFonts w:ascii="宋体" w:hAnsi="宋体" w:cs="宋体"/>
                <w:sz w:val="21"/>
                <w:szCs w:val="21"/>
              </w:rPr>
            </w:pPr>
          </w:p>
        </w:tc>
        <w:tc>
          <w:tcPr>
            <w:tcW w:w="1046" w:type="dxa"/>
            <w:noWrap/>
            <w:vAlign w:val="center"/>
          </w:tcPr>
          <w:p w14:paraId="716E0314">
            <w:pPr>
              <w:jc w:val="center"/>
              <w:rPr>
                <w:rFonts w:ascii="宋体" w:hAnsi="宋体" w:cs="仿宋"/>
                <w:sz w:val="21"/>
                <w:szCs w:val="21"/>
              </w:rPr>
            </w:pPr>
            <w:r>
              <w:rPr>
                <w:rFonts w:hint="eastAsia" w:ascii="宋体" w:hAnsi="宋体" w:cs="仿宋"/>
                <w:sz w:val="21"/>
                <w:szCs w:val="21"/>
              </w:rPr>
              <w:t>缺陷责任期免费服务（6分）</w:t>
            </w:r>
          </w:p>
        </w:tc>
        <w:tc>
          <w:tcPr>
            <w:tcW w:w="3827" w:type="dxa"/>
            <w:noWrap/>
            <w:vAlign w:val="center"/>
          </w:tcPr>
          <w:p w14:paraId="61537339">
            <w:pPr>
              <w:jc w:val="left"/>
              <w:rPr>
                <w:rFonts w:ascii="宋体" w:hAnsi="宋体" w:cs="仿宋"/>
                <w:sz w:val="21"/>
                <w:szCs w:val="21"/>
              </w:rPr>
            </w:pPr>
            <w:r>
              <w:rPr>
                <w:rFonts w:hint="eastAsia" w:ascii="宋体" w:hAnsi="宋体" w:cs="仿宋"/>
                <w:sz w:val="21"/>
                <w:szCs w:val="21"/>
              </w:rPr>
              <w:t>缺陷责任期满后每增加一个月缺陷责任时间得1分，本项最多得6分。</w:t>
            </w:r>
          </w:p>
        </w:tc>
        <w:tc>
          <w:tcPr>
            <w:tcW w:w="2551" w:type="dxa"/>
            <w:noWrap/>
            <w:vAlign w:val="center"/>
          </w:tcPr>
          <w:p w14:paraId="53B516BD">
            <w:pPr>
              <w:jc w:val="left"/>
              <w:rPr>
                <w:rFonts w:ascii="宋体" w:hAnsi="宋体" w:cs="仿宋"/>
                <w:sz w:val="21"/>
                <w:szCs w:val="21"/>
              </w:rPr>
            </w:pPr>
            <w:r>
              <w:rPr>
                <w:rFonts w:hint="eastAsia" w:ascii="宋体" w:hAnsi="宋体" w:cs="仿宋"/>
                <w:sz w:val="21"/>
                <w:szCs w:val="21"/>
              </w:rPr>
              <w:t>供应商提供承诺书，格式自拟并加盖供应商公章。</w:t>
            </w:r>
          </w:p>
        </w:tc>
      </w:tr>
    </w:tbl>
    <w:p w14:paraId="353C551E">
      <w:pPr>
        <w:spacing w:line="400" w:lineRule="atLeast"/>
        <w:ind w:firstLine="480" w:firstLineChars="200"/>
        <w:rPr>
          <w:rFonts w:ascii="宋体" w:hAnsi="宋体" w:cs="宋体"/>
          <w:sz w:val="24"/>
          <w:szCs w:val="24"/>
        </w:rPr>
      </w:pPr>
      <w:r>
        <w:rPr>
          <w:rFonts w:hint="eastAsia" w:ascii="宋体" w:hAnsi="宋体" w:cs="宋体"/>
          <w:sz w:val="24"/>
          <w:szCs w:val="24"/>
        </w:rPr>
        <w:t>注：政府采购异常低价问题有关事项的说明</w:t>
      </w:r>
    </w:p>
    <w:p w14:paraId="449B3A6E">
      <w:pPr>
        <w:snapToGrid w:val="0"/>
        <w:spacing w:line="400" w:lineRule="atLeast"/>
        <w:ind w:firstLine="465"/>
        <w:rPr>
          <w:rFonts w:ascii="宋体" w:hAnsi="宋体" w:cs="宋体"/>
          <w:sz w:val="24"/>
          <w:szCs w:val="24"/>
        </w:rPr>
      </w:pPr>
      <w:r>
        <w:rPr>
          <w:rFonts w:hint="eastAsia" w:ascii="宋体" w:hAnsi="宋体" w:cs="宋体"/>
          <w:sz w:val="24"/>
          <w:szCs w:val="24"/>
        </w:rPr>
        <w:t>1.根据《关于推动解决政府采购异常低价问题的通知》财库〔2026〕2号文件规定，政府采购评审中出现下列情形之一的，评审委员会应当启动异常低价响应审查程序：</w:t>
      </w:r>
    </w:p>
    <w:p w14:paraId="24B0032A">
      <w:pPr>
        <w:snapToGrid w:val="0"/>
        <w:spacing w:line="400" w:lineRule="atLeast"/>
        <w:ind w:firstLine="465"/>
        <w:rPr>
          <w:rFonts w:ascii="宋体" w:hAnsi="宋体" w:cs="宋体"/>
          <w:sz w:val="24"/>
          <w:szCs w:val="24"/>
        </w:rPr>
      </w:pPr>
      <w:r>
        <w:rPr>
          <w:rFonts w:hint="eastAsia" w:ascii="宋体" w:hAnsi="宋体" w:cs="宋体"/>
          <w:sz w:val="24"/>
          <w:szCs w:val="24"/>
        </w:rPr>
        <w:t>1.1.响应报价低于全部通过</w:t>
      </w:r>
      <w:r>
        <w:rPr>
          <w:rFonts w:hint="eastAsia" w:ascii="宋体" w:hAnsi="宋体" w:cs="宋体"/>
          <w:kern w:val="0"/>
          <w:sz w:val="24"/>
          <w:szCs w:val="24"/>
        </w:rPr>
        <w:t>实质性响应审查</w:t>
      </w:r>
      <w:r>
        <w:rPr>
          <w:rFonts w:hint="eastAsia" w:ascii="宋体" w:hAnsi="宋体" w:cs="宋体"/>
          <w:sz w:val="24"/>
          <w:szCs w:val="24"/>
        </w:rPr>
        <w:t>供应商响应报价平均值65%的，即响应报价&lt;全部通过符合性审查供应商响应报价平均值×65%；</w:t>
      </w:r>
    </w:p>
    <w:p w14:paraId="014C9320">
      <w:pPr>
        <w:snapToGrid w:val="0"/>
        <w:spacing w:line="400" w:lineRule="atLeast"/>
        <w:ind w:firstLine="465"/>
        <w:rPr>
          <w:rFonts w:ascii="宋体" w:hAnsi="宋体" w:cs="宋体"/>
          <w:sz w:val="24"/>
          <w:szCs w:val="24"/>
        </w:rPr>
      </w:pPr>
      <w:r>
        <w:rPr>
          <w:rFonts w:hint="eastAsia" w:ascii="宋体" w:hAnsi="宋体" w:cs="宋体"/>
          <w:sz w:val="24"/>
          <w:szCs w:val="24"/>
        </w:rPr>
        <w:t>1.2.响应报价低于通过符合性审查的次低报价供应商响应报价65%的，即响应报价&lt;通过符合性审查的次低报价供应商响应报价×65%；</w:t>
      </w:r>
    </w:p>
    <w:p w14:paraId="7F318435">
      <w:pPr>
        <w:snapToGrid w:val="0"/>
        <w:spacing w:line="400" w:lineRule="atLeast"/>
        <w:ind w:firstLine="465"/>
        <w:rPr>
          <w:rFonts w:ascii="宋体" w:hAnsi="宋体" w:cs="宋体"/>
          <w:sz w:val="24"/>
          <w:szCs w:val="24"/>
        </w:rPr>
      </w:pPr>
      <w:r>
        <w:rPr>
          <w:rFonts w:hint="eastAsia" w:ascii="宋体" w:hAnsi="宋体" w:cs="宋体"/>
          <w:sz w:val="24"/>
          <w:szCs w:val="24"/>
        </w:rPr>
        <w:t>1.3.响应报价低于采购项目最高限价65%的，即响应报价&lt;采购项目最高限价×65%；</w:t>
      </w:r>
    </w:p>
    <w:p w14:paraId="1DFB10B8">
      <w:pPr>
        <w:snapToGrid w:val="0"/>
        <w:spacing w:line="400" w:lineRule="atLeast"/>
        <w:ind w:firstLine="465"/>
        <w:rPr>
          <w:rFonts w:ascii="宋体" w:hAnsi="宋体" w:cs="宋体"/>
          <w:sz w:val="24"/>
          <w:szCs w:val="24"/>
        </w:rPr>
      </w:pPr>
      <w:r>
        <w:rPr>
          <w:rFonts w:hint="eastAsia" w:ascii="宋体" w:hAnsi="宋体" w:cs="宋体"/>
          <w:sz w:val="24"/>
          <w:szCs w:val="24"/>
        </w:rPr>
        <w:t>1.4.评审委员会基于专业判断，认为供应商报价过低，有可能影响产品质量或者不能诚信履约的其他情形。</w:t>
      </w:r>
    </w:p>
    <w:p w14:paraId="359C8E96">
      <w:pPr>
        <w:snapToGrid w:val="0"/>
        <w:spacing w:line="400" w:lineRule="atLeast"/>
        <w:ind w:firstLine="465"/>
        <w:rPr>
          <w:rFonts w:ascii="宋体" w:hAnsi="宋体" w:cs="宋体"/>
          <w:sz w:val="24"/>
          <w:szCs w:val="24"/>
        </w:rPr>
      </w:pPr>
      <w:r>
        <w:rPr>
          <w:rFonts w:hint="eastAsia" w:ascii="宋体" w:hAnsi="宋体" w:cs="宋体"/>
          <w:sz w:val="24"/>
          <w:szCs w:val="24"/>
        </w:rPr>
        <w:t>2.评审委员会启动异常低价响应审查后，属于前述第1.1项至第1.4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响应文件一并提交相关书面说明及必要的证明材料的，在评审现场可不再重复提交。</w:t>
      </w:r>
    </w:p>
    <w:p w14:paraId="30C33970">
      <w:r>
        <w:rPr>
          <w:rFonts w:hint="eastAsia" w:ascii="宋体" w:hAnsi="宋体" w:cs="宋体"/>
          <w:sz w:val="24"/>
          <w:szCs w:val="24"/>
        </w:rPr>
        <w:t>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4DF9AAB1">
      <w:pPr>
        <w:pStyle w:val="3"/>
        <w:adjustRightInd w:val="0"/>
        <w:snapToGrid w:val="0"/>
        <w:spacing w:line="240" w:lineRule="auto"/>
        <w:jc w:val="left"/>
        <w:rPr>
          <w:rFonts w:ascii="宋体" w:hAnsi="宋体" w:eastAsia="宋体" w:cs="宋体"/>
          <w:sz w:val="24"/>
        </w:rPr>
      </w:pPr>
      <w:bookmarkStart w:id="318" w:name="_Toc21491"/>
      <w:bookmarkStart w:id="319" w:name="_Toc16120"/>
      <w:bookmarkStart w:id="320" w:name="_Toc8959"/>
      <w:bookmarkStart w:id="321" w:name="_Toc31353"/>
      <w:bookmarkStart w:id="322" w:name="_Toc5436"/>
      <w:bookmarkStart w:id="323" w:name="_Toc2023"/>
      <w:bookmarkStart w:id="324" w:name="_Toc20576"/>
      <w:bookmarkStart w:id="325" w:name="_Toc211850954"/>
      <w:bookmarkStart w:id="326" w:name="_Toc29853"/>
      <w:bookmarkStart w:id="327" w:name="_Toc13099"/>
      <w:bookmarkStart w:id="328" w:name="_Toc14129"/>
      <w:bookmarkStart w:id="329" w:name="_Toc76462335"/>
      <w:bookmarkStart w:id="330" w:name="_Toc27475"/>
      <w:bookmarkStart w:id="331" w:name="_Toc29967"/>
      <w:bookmarkStart w:id="332" w:name="_Toc5816"/>
      <w:bookmarkStart w:id="333" w:name="_Toc18428"/>
      <w:bookmarkStart w:id="334" w:name="_Toc26413"/>
      <w:bookmarkStart w:id="335" w:name="_Toc6019"/>
      <w:r>
        <w:rPr>
          <w:rFonts w:hint="eastAsia" w:ascii="宋体" w:hAnsi="宋体" w:eastAsia="宋体" w:cs="宋体"/>
          <w:sz w:val="24"/>
        </w:rPr>
        <w:t>三、无效响应</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243DB73E">
      <w:pPr>
        <w:snapToGrid w:val="0"/>
        <w:spacing w:line="400" w:lineRule="exact"/>
        <w:ind w:firstLine="465"/>
        <w:rPr>
          <w:rFonts w:ascii="宋体" w:hAnsi="宋体" w:cs="宋体"/>
          <w:sz w:val="24"/>
          <w:szCs w:val="24"/>
        </w:rPr>
      </w:pPr>
      <w:r>
        <w:rPr>
          <w:rFonts w:hint="eastAsia" w:ascii="宋体" w:hAnsi="宋体" w:cs="宋体"/>
          <w:sz w:val="24"/>
          <w:szCs w:val="24"/>
        </w:rPr>
        <w:t>供应商发生以下条款情况之一者，视为无效响应，其响应文件将被拒绝：</w:t>
      </w:r>
    </w:p>
    <w:p w14:paraId="5D2D34F9">
      <w:pPr>
        <w:snapToGrid w:val="0"/>
        <w:spacing w:line="400" w:lineRule="exact"/>
        <w:ind w:firstLine="465"/>
        <w:rPr>
          <w:rFonts w:ascii="宋体" w:hAnsi="宋体" w:cs="宋体"/>
          <w:sz w:val="24"/>
          <w:szCs w:val="24"/>
        </w:rPr>
      </w:pPr>
      <w:r>
        <w:rPr>
          <w:rFonts w:hint="eastAsia" w:ascii="宋体" w:hAnsi="宋体" w:cs="宋体"/>
          <w:sz w:val="24"/>
          <w:szCs w:val="24"/>
        </w:rPr>
        <w:t>（一）供应商不符合规定的资格条件的；</w:t>
      </w:r>
    </w:p>
    <w:p w14:paraId="21097062">
      <w:pPr>
        <w:snapToGrid w:val="0"/>
        <w:spacing w:line="400" w:lineRule="exact"/>
        <w:ind w:firstLine="465"/>
        <w:rPr>
          <w:rFonts w:ascii="宋体" w:hAnsi="宋体" w:cs="宋体"/>
          <w:sz w:val="24"/>
          <w:szCs w:val="24"/>
        </w:rPr>
      </w:pPr>
      <w:r>
        <w:rPr>
          <w:rFonts w:hint="eastAsia" w:ascii="宋体" w:hAnsi="宋体" w:cs="宋体"/>
          <w:sz w:val="24"/>
          <w:szCs w:val="24"/>
        </w:rPr>
        <w:t>（二）供应商的法定代表人（或其授权代表）或自然人未参加磋商；</w:t>
      </w:r>
    </w:p>
    <w:p w14:paraId="1139CBC9">
      <w:pPr>
        <w:snapToGrid w:val="0"/>
        <w:spacing w:line="400" w:lineRule="exact"/>
        <w:ind w:firstLine="465"/>
        <w:rPr>
          <w:rFonts w:ascii="宋体" w:hAnsi="宋体" w:cs="宋体"/>
          <w:sz w:val="24"/>
          <w:szCs w:val="24"/>
        </w:rPr>
      </w:pPr>
      <w:r>
        <w:rPr>
          <w:rFonts w:hint="eastAsia" w:ascii="宋体" w:hAnsi="宋体" w:cs="宋体"/>
          <w:sz w:val="24"/>
          <w:szCs w:val="24"/>
        </w:rPr>
        <w:t>（三）供应商所提交的响应文件不按“第七篇响应文件编制要求”要求签署或盖章；</w:t>
      </w:r>
    </w:p>
    <w:p w14:paraId="3D2EED0E">
      <w:pPr>
        <w:snapToGrid w:val="0"/>
        <w:spacing w:line="400" w:lineRule="exact"/>
        <w:ind w:firstLine="465"/>
        <w:rPr>
          <w:rFonts w:ascii="宋体" w:hAnsi="宋体" w:cs="宋体"/>
          <w:sz w:val="24"/>
          <w:szCs w:val="24"/>
        </w:rPr>
      </w:pPr>
      <w:r>
        <w:rPr>
          <w:rFonts w:hint="eastAsia" w:ascii="宋体" w:hAnsi="宋体" w:cs="宋体"/>
          <w:sz w:val="24"/>
          <w:szCs w:val="24"/>
        </w:rPr>
        <w:t>（四）供应商的最后报价超过采购预算或最高限价的；</w:t>
      </w:r>
    </w:p>
    <w:p w14:paraId="589F0FB5">
      <w:pPr>
        <w:snapToGrid w:val="0"/>
        <w:spacing w:line="400" w:lineRule="exact"/>
        <w:ind w:firstLine="465"/>
        <w:rPr>
          <w:rFonts w:ascii="宋体" w:hAnsi="宋体" w:cs="宋体"/>
          <w:sz w:val="24"/>
          <w:szCs w:val="24"/>
        </w:rPr>
      </w:pPr>
      <w:r>
        <w:rPr>
          <w:rFonts w:hint="eastAsia" w:ascii="宋体" w:hAnsi="宋体" w:cs="宋体"/>
          <w:sz w:val="24"/>
          <w:szCs w:val="24"/>
        </w:rPr>
        <w:t>（五）法定代表人为同一个人的两个及两个以上法人，母公司、全资子公司及其控股公司，在同一包采购中同时参与磋商；</w:t>
      </w:r>
    </w:p>
    <w:p w14:paraId="34B0C9F3">
      <w:pPr>
        <w:snapToGrid w:val="0"/>
        <w:spacing w:line="400" w:lineRule="exact"/>
        <w:ind w:firstLine="465"/>
        <w:rPr>
          <w:rFonts w:ascii="宋体" w:hAnsi="宋体" w:cs="宋体"/>
          <w:sz w:val="24"/>
          <w:szCs w:val="24"/>
        </w:rPr>
      </w:pPr>
      <w:r>
        <w:rPr>
          <w:rFonts w:hint="eastAsia" w:ascii="宋体" w:hAnsi="宋体" w:cs="宋体"/>
          <w:sz w:val="24"/>
          <w:szCs w:val="24"/>
        </w:rPr>
        <w:t>（六）单位负责人为同一人或者存在直接控股、管理关系的不同供应商，参加同一合同项下的政府采购活动的；</w:t>
      </w:r>
    </w:p>
    <w:p w14:paraId="3785AC2A">
      <w:pPr>
        <w:snapToGrid w:val="0"/>
        <w:spacing w:line="400" w:lineRule="exact"/>
        <w:ind w:firstLine="465"/>
        <w:rPr>
          <w:rFonts w:ascii="宋体" w:hAnsi="宋体" w:cs="宋体"/>
          <w:sz w:val="24"/>
          <w:szCs w:val="24"/>
        </w:rPr>
      </w:pPr>
      <w:r>
        <w:rPr>
          <w:rFonts w:hint="eastAsia" w:ascii="宋体" w:hAnsi="宋体" w:cs="宋体"/>
          <w:sz w:val="24"/>
          <w:szCs w:val="24"/>
        </w:rPr>
        <w:t>（七）为采购项目提供整体设计、规范编制或者项目管理、监理、检测等服务的供应商，再参加该采购项目的其他采购活动；</w:t>
      </w:r>
    </w:p>
    <w:p w14:paraId="184063F2">
      <w:pPr>
        <w:snapToGrid w:val="0"/>
        <w:spacing w:line="400" w:lineRule="exact"/>
        <w:ind w:firstLine="465"/>
        <w:rPr>
          <w:rFonts w:ascii="宋体" w:hAnsi="宋体" w:cs="宋体"/>
          <w:sz w:val="24"/>
          <w:szCs w:val="24"/>
        </w:rPr>
      </w:pPr>
      <w:r>
        <w:rPr>
          <w:rFonts w:hint="eastAsia" w:ascii="宋体" w:hAnsi="宋体" w:cs="宋体"/>
          <w:sz w:val="24"/>
          <w:szCs w:val="24"/>
        </w:rPr>
        <w:t>（八）供应商磋商有效期不满足竞争性磋商文件要求的；</w:t>
      </w:r>
    </w:p>
    <w:p w14:paraId="62D67A82">
      <w:pPr>
        <w:snapToGrid w:val="0"/>
        <w:spacing w:line="400" w:lineRule="exact"/>
        <w:ind w:firstLine="465"/>
        <w:rPr>
          <w:rFonts w:ascii="宋体" w:hAnsi="宋体" w:cs="宋体"/>
          <w:sz w:val="24"/>
          <w:szCs w:val="24"/>
        </w:rPr>
      </w:pPr>
      <w:r>
        <w:rPr>
          <w:rFonts w:hint="eastAsia" w:ascii="宋体" w:hAnsi="宋体" w:cs="宋体"/>
          <w:sz w:val="24"/>
          <w:szCs w:val="24"/>
        </w:rPr>
        <w:t>（九）供应商响应文件内容有与国家现行法律法规相违背的内容，或附有采购人无法接受的条件；</w:t>
      </w:r>
    </w:p>
    <w:p w14:paraId="727C60D8">
      <w:pPr>
        <w:snapToGrid w:val="0"/>
        <w:spacing w:line="400" w:lineRule="exact"/>
        <w:ind w:firstLine="465"/>
        <w:rPr>
          <w:rFonts w:ascii="宋体" w:hAnsi="宋体" w:cs="宋体"/>
          <w:sz w:val="24"/>
          <w:szCs w:val="24"/>
        </w:rPr>
      </w:pPr>
      <w:r>
        <w:rPr>
          <w:rFonts w:hint="eastAsia" w:ascii="宋体" w:hAnsi="宋体" w:cs="宋体"/>
          <w:sz w:val="24"/>
          <w:szCs w:val="24"/>
        </w:rPr>
        <w:t>（十）法律、法规和竞争性磋商文件规定的其他无效情形。</w:t>
      </w:r>
    </w:p>
    <w:p w14:paraId="70F12613">
      <w:pPr>
        <w:pStyle w:val="3"/>
        <w:adjustRightInd w:val="0"/>
        <w:snapToGrid w:val="0"/>
        <w:spacing w:line="240" w:lineRule="auto"/>
        <w:jc w:val="left"/>
        <w:rPr>
          <w:rFonts w:ascii="宋体" w:hAnsi="宋体" w:eastAsia="宋体" w:cs="宋体"/>
          <w:sz w:val="24"/>
        </w:rPr>
      </w:pPr>
      <w:bookmarkStart w:id="336" w:name="_Toc12510"/>
      <w:bookmarkStart w:id="337" w:name="_Toc18545"/>
      <w:bookmarkStart w:id="338" w:name="_Toc9827"/>
      <w:bookmarkStart w:id="339" w:name="_Toc18459"/>
      <w:bookmarkStart w:id="340" w:name="_Toc11456"/>
      <w:bookmarkStart w:id="341" w:name="_Toc31634"/>
      <w:bookmarkStart w:id="342" w:name="_Toc76462336"/>
      <w:bookmarkStart w:id="343" w:name="_Toc1791"/>
      <w:bookmarkStart w:id="344" w:name="_Toc211850955"/>
      <w:bookmarkStart w:id="345" w:name="_Toc4767"/>
      <w:bookmarkStart w:id="346" w:name="_Toc25586"/>
      <w:bookmarkStart w:id="347" w:name="_Toc292"/>
      <w:bookmarkStart w:id="348" w:name="_Toc22944"/>
      <w:bookmarkStart w:id="349" w:name="_Toc10466"/>
      <w:bookmarkStart w:id="350" w:name="_Toc19865"/>
      <w:bookmarkStart w:id="351" w:name="_Toc7641"/>
      <w:bookmarkStart w:id="352" w:name="_Toc10254"/>
      <w:bookmarkStart w:id="353" w:name="_Toc12197"/>
      <w:r>
        <w:rPr>
          <w:rFonts w:hint="eastAsia" w:ascii="宋体" w:hAnsi="宋体" w:eastAsia="宋体" w:cs="宋体"/>
          <w:sz w:val="24"/>
        </w:rPr>
        <w:t>四、</w:t>
      </w:r>
      <w:bookmarkEnd w:id="313"/>
      <w:bookmarkEnd w:id="314"/>
      <w:r>
        <w:rPr>
          <w:rFonts w:hint="eastAsia" w:ascii="宋体" w:hAnsi="宋体" w:eastAsia="宋体" w:cs="宋体"/>
          <w:sz w:val="24"/>
        </w:rPr>
        <w:t>采购终止</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p>
    <w:p w14:paraId="0FDEE461">
      <w:pPr>
        <w:snapToGrid w:val="0"/>
        <w:spacing w:line="400" w:lineRule="exact"/>
        <w:ind w:firstLine="465"/>
        <w:rPr>
          <w:rFonts w:ascii="宋体" w:hAnsi="宋体" w:cs="宋体"/>
          <w:sz w:val="24"/>
          <w:szCs w:val="24"/>
        </w:rPr>
      </w:pPr>
      <w:r>
        <w:rPr>
          <w:rFonts w:hint="eastAsia" w:ascii="宋体" w:hAnsi="宋体" w:cs="宋体"/>
          <w:sz w:val="24"/>
          <w:szCs w:val="24"/>
        </w:rPr>
        <w:t>出现下列情形之一的，采购人或者采购代理机构应当终止竞争性磋商采购活动，发布项目终止公告并说明原因，重新开展采购活动：</w:t>
      </w:r>
    </w:p>
    <w:p w14:paraId="113B45B4">
      <w:pPr>
        <w:snapToGrid w:val="0"/>
        <w:spacing w:line="400" w:lineRule="exact"/>
        <w:ind w:firstLine="465"/>
        <w:rPr>
          <w:rFonts w:ascii="宋体" w:hAnsi="宋体" w:cs="宋体"/>
          <w:sz w:val="24"/>
          <w:szCs w:val="24"/>
        </w:rPr>
      </w:pPr>
      <w:r>
        <w:rPr>
          <w:rFonts w:hint="eastAsia" w:ascii="宋体" w:hAnsi="宋体" w:cs="宋体"/>
          <w:sz w:val="24"/>
          <w:szCs w:val="24"/>
        </w:rPr>
        <w:t>（一）因情况变化，不再符合规定的竞争性磋商采购方式适用情形的；</w:t>
      </w:r>
    </w:p>
    <w:p w14:paraId="18DC20C2">
      <w:pPr>
        <w:snapToGrid w:val="0"/>
        <w:spacing w:line="400" w:lineRule="exact"/>
        <w:ind w:firstLine="465"/>
        <w:rPr>
          <w:rFonts w:ascii="宋体" w:hAnsi="宋体" w:cs="宋体"/>
          <w:sz w:val="24"/>
          <w:szCs w:val="24"/>
        </w:rPr>
      </w:pPr>
      <w:r>
        <w:rPr>
          <w:rFonts w:hint="eastAsia" w:ascii="宋体" w:hAnsi="宋体" w:cs="宋体"/>
          <w:sz w:val="24"/>
          <w:szCs w:val="24"/>
        </w:rPr>
        <w:t>（二）出现影响采购公正的违法、违规行为的；</w:t>
      </w:r>
    </w:p>
    <w:p w14:paraId="47C43D61">
      <w:pPr>
        <w:snapToGrid w:val="0"/>
        <w:spacing w:line="400" w:lineRule="exact"/>
        <w:ind w:firstLine="465"/>
        <w:rPr>
          <w:rFonts w:ascii="宋体" w:hAnsi="宋体" w:cs="宋体"/>
          <w:sz w:val="24"/>
          <w:szCs w:val="24"/>
        </w:rPr>
      </w:pPr>
      <w:r>
        <w:rPr>
          <w:rFonts w:hint="eastAsia" w:ascii="宋体" w:hAnsi="宋体" w:cs="宋体"/>
          <w:sz w:val="24"/>
          <w:szCs w:val="24"/>
        </w:rPr>
        <w:t>（三）在采购过程中符合要求的供应商或者报价未超过采购预算的供应商不足3家的，但《政府采购竞争性磋商采购方式管理暂行办法》第二十一条第三款规定的情形除外。</w:t>
      </w:r>
    </w:p>
    <w:p w14:paraId="2A3EAC22">
      <w:pPr>
        <w:pStyle w:val="2"/>
        <w:rPr>
          <w:rFonts w:ascii="Times New Roman" w:hAnsi="Times New Roman"/>
          <w:bCs/>
        </w:rPr>
      </w:pPr>
      <w:r>
        <w:rPr>
          <w:rFonts w:hint="eastAsia" w:cs="宋体"/>
          <w:szCs w:val="24"/>
        </w:rPr>
        <w:br w:type="page"/>
      </w:r>
      <w:bookmarkStart w:id="354" w:name="_Toc15885"/>
      <w:bookmarkStart w:id="355" w:name="_Toc1279"/>
      <w:bookmarkStart w:id="356" w:name="_Toc20096"/>
      <w:bookmarkStart w:id="357" w:name="_Toc16632"/>
      <w:bookmarkStart w:id="358" w:name="_Toc76462337"/>
      <w:bookmarkStart w:id="359" w:name="_Toc8196"/>
      <w:bookmarkStart w:id="360" w:name="_Toc26130"/>
      <w:bookmarkStart w:id="361" w:name="_Toc8251"/>
      <w:bookmarkStart w:id="362" w:name="_Toc15373"/>
      <w:bookmarkStart w:id="363" w:name="_Toc1938"/>
      <w:bookmarkStart w:id="364" w:name="_Toc28660"/>
      <w:bookmarkStart w:id="365" w:name="_Toc8009"/>
      <w:bookmarkStart w:id="366" w:name="_Toc21331"/>
      <w:bookmarkStart w:id="367" w:name="_Toc102227313"/>
      <w:bookmarkStart w:id="368" w:name="_Toc20039"/>
      <w:bookmarkStart w:id="369" w:name="_Toc13956"/>
      <w:bookmarkStart w:id="370" w:name="_Toc14313"/>
      <w:bookmarkStart w:id="371" w:name="_Toc211850956"/>
      <w:bookmarkStart w:id="372" w:name="_Toc706"/>
      <w:r>
        <w:rPr>
          <w:rFonts w:ascii="Times New Roman" w:hAnsi="Times New Roman"/>
          <w:bCs/>
        </w:rPr>
        <w:t>第五篇  供应商须知</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0F7C50D3">
      <w:pPr>
        <w:pStyle w:val="3"/>
        <w:adjustRightInd w:val="0"/>
        <w:snapToGrid w:val="0"/>
        <w:spacing w:line="240" w:lineRule="auto"/>
        <w:jc w:val="left"/>
        <w:rPr>
          <w:rFonts w:ascii="宋体" w:hAnsi="宋体" w:eastAsia="宋体" w:cs="宋体"/>
          <w:sz w:val="24"/>
        </w:rPr>
      </w:pPr>
      <w:bookmarkStart w:id="373" w:name="_Toc7999"/>
      <w:bookmarkStart w:id="374" w:name="_Toc27450"/>
      <w:bookmarkStart w:id="375" w:name="_Toc211850957"/>
      <w:bookmarkStart w:id="376" w:name="_Toc23240"/>
      <w:bookmarkStart w:id="377" w:name="_Toc11819"/>
      <w:bookmarkStart w:id="378" w:name="_Toc76462338"/>
      <w:bookmarkStart w:id="379" w:name="_Toc12390"/>
      <w:bookmarkStart w:id="380" w:name="_Toc19124"/>
      <w:bookmarkStart w:id="381" w:name="_Toc16478"/>
      <w:bookmarkStart w:id="382" w:name="_Toc21252"/>
      <w:bookmarkStart w:id="383" w:name="_Toc5692"/>
      <w:bookmarkStart w:id="384" w:name="_Toc342913389"/>
      <w:bookmarkStart w:id="385" w:name="_Toc13127"/>
      <w:bookmarkStart w:id="386" w:name="_Toc7713"/>
      <w:bookmarkStart w:id="387" w:name="_Toc27580"/>
      <w:bookmarkStart w:id="388" w:name="_Toc19632"/>
      <w:bookmarkStart w:id="389" w:name="_Toc21556"/>
      <w:bookmarkStart w:id="390" w:name="_Toc17186"/>
      <w:bookmarkStart w:id="391" w:name="_Toc793"/>
      <w:r>
        <w:rPr>
          <w:rFonts w:hint="eastAsia" w:ascii="宋体" w:hAnsi="宋体" w:eastAsia="宋体" w:cs="宋体"/>
          <w:sz w:val="24"/>
        </w:rPr>
        <w:t>一、磋商费用</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0C631D53">
      <w:pPr>
        <w:pStyle w:val="18"/>
        <w:spacing w:line="400" w:lineRule="exact"/>
        <w:ind w:firstLine="480" w:firstLineChars="200"/>
        <w:rPr>
          <w:rFonts w:hAnsi="宋体" w:cs="宋体"/>
          <w:sz w:val="24"/>
          <w:szCs w:val="24"/>
        </w:rPr>
      </w:pPr>
      <w:r>
        <w:rPr>
          <w:rFonts w:hint="eastAsia" w:hAnsi="宋体" w:cs="宋体"/>
          <w:sz w:val="24"/>
          <w:szCs w:val="24"/>
        </w:rPr>
        <w:t>参与磋商的供应商应承担其编制响应文件与递交响应文件所涉及的一切费用，不论磋商结果如何，采购人和采购代理机构在任何情况下无义务也无责任承担这些费用。</w:t>
      </w:r>
    </w:p>
    <w:p w14:paraId="1417FB4F">
      <w:pPr>
        <w:pStyle w:val="3"/>
        <w:adjustRightInd w:val="0"/>
        <w:snapToGrid w:val="0"/>
        <w:spacing w:line="240" w:lineRule="auto"/>
        <w:jc w:val="left"/>
        <w:rPr>
          <w:rFonts w:ascii="宋体" w:hAnsi="宋体" w:eastAsia="宋体" w:cs="宋体"/>
          <w:sz w:val="24"/>
        </w:rPr>
      </w:pPr>
      <w:bookmarkStart w:id="392" w:name="_Toc18966"/>
      <w:bookmarkStart w:id="393" w:name="_Toc30080"/>
      <w:bookmarkStart w:id="394" w:name="_Toc342913391"/>
      <w:bookmarkStart w:id="395" w:name="_Toc211850958"/>
      <w:bookmarkStart w:id="396" w:name="_Toc8461"/>
      <w:bookmarkStart w:id="397" w:name="_Toc18232"/>
      <w:bookmarkStart w:id="398" w:name="_Toc15704"/>
      <w:bookmarkStart w:id="399" w:name="_Toc9497"/>
      <w:bookmarkStart w:id="400" w:name="_Toc7754"/>
      <w:bookmarkStart w:id="401" w:name="_Toc8698"/>
      <w:bookmarkStart w:id="402" w:name="_Toc4573"/>
      <w:bookmarkStart w:id="403" w:name="_Toc26606"/>
      <w:bookmarkStart w:id="404" w:name="_Toc76462339"/>
      <w:bookmarkStart w:id="405" w:name="_Toc20922"/>
      <w:bookmarkStart w:id="406" w:name="_Toc22221"/>
      <w:bookmarkStart w:id="407" w:name="_Toc9045"/>
      <w:bookmarkStart w:id="408" w:name="_Toc29521"/>
      <w:bookmarkStart w:id="409" w:name="_Toc8038"/>
      <w:bookmarkStart w:id="410" w:name="_Toc4199"/>
      <w:r>
        <w:rPr>
          <w:rFonts w:hint="eastAsia" w:ascii="宋体" w:hAnsi="宋体" w:eastAsia="宋体" w:cs="宋体"/>
          <w:sz w:val="24"/>
        </w:rPr>
        <w:t>二、竞争性磋商文件</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7C29FF7B">
      <w:pPr>
        <w:snapToGrid w:val="0"/>
        <w:spacing w:line="400" w:lineRule="exact"/>
        <w:ind w:firstLine="480" w:firstLineChars="200"/>
        <w:rPr>
          <w:rFonts w:ascii="宋体" w:hAnsi="宋体" w:cs="宋体"/>
          <w:sz w:val="24"/>
          <w:szCs w:val="24"/>
        </w:rPr>
      </w:pPr>
      <w:r>
        <w:rPr>
          <w:rFonts w:hint="eastAsia" w:ascii="宋体" w:hAnsi="宋体" w:cs="宋体"/>
          <w:sz w:val="24"/>
          <w:szCs w:val="24"/>
        </w:rPr>
        <w:t>（一）竞争性磋商文件由采购邀请书、项目服务需求、供应商须知、项目商务需求、磋商程序及方法、评审标准、无效响应和采购终止、供应商须知</w:t>
      </w:r>
      <w:r>
        <w:rPr>
          <w:rFonts w:hint="eastAsia" w:ascii="宋体" w:hAnsi="宋体" w:cs="宋体"/>
          <w:b/>
          <w:sz w:val="24"/>
          <w:szCs w:val="24"/>
        </w:rPr>
        <w:t>、</w:t>
      </w:r>
      <w:r>
        <w:rPr>
          <w:rFonts w:hint="eastAsia" w:ascii="宋体" w:hAnsi="宋体" w:cs="宋体"/>
          <w:sz w:val="24"/>
          <w:szCs w:val="24"/>
        </w:rPr>
        <w:t>政府采购合同</w:t>
      </w:r>
      <w:r>
        <w:rPr>
          <w:rFonts w:hint="eastAsia" w:ascii="宋体" w:hAnsi="宋体" w:cs="宋体"/>
          <w:b/>
          <w:sz w:val="24"/>
          <w:szCs w:val="24"/>
        </w:rPr>
        <w:t>、</w:t>
      </w:r>
      <w:r>
        <w:rPr>
          <w:rFonts w:hint="eastAsia" w:ascii="宋体" w:hAnsi="宋体" w:cs="宋体"/>
          <w:sz w:val="24"/>
          <w:szCs w:val="24"/>
        </w:rPr>
        <w:t>响应文件编制要求七部分组成。</w:t>
      </w:r>
    </w:p>
    <w:p w14:paraId="1E04235D">
      <w:pPr>
        <w:snapToGrid w:val="0"/>
        <w:spacing w:line="400" w:lineRule="exact"/>
        <w:ind w:firstLine="480" w:firstLineChars="200"/>
        <w:rPr>
          <w:rFonts w:ascii="宋体" w:hAnsi="宋体" w:cs="宋体"/>
          <w:sz w:val="24"/>
          <w:szCs w:val="24"/>
        </w:rPr>
      </w:pPr>
      <w:r>
        <w:rPr>
          <w:rFonts w:hint="eastAsia" w:ascii="宋体" w:hAnsi="宋体" w:cs="宋体"/>
          <w:sz w:val="24"/>
          <w:szCs w:val="24"/>
        </w:rPr>
        <w:t>（二）采购人（或采购代理机构）所作的一切有效的书面通知、修改及补充，都是竞争性磋商文件不可分割的部分。</w:t>
      </w:r>
    </w:p>
    <w:p w14:paraId="5116D54C">
      <w:pPr>
        <w:snapToGrid w:val="0"/>
        <w:spacing w:line="400" w:lineRule="exact"/>
        <w:ind w:firstLine="480" w:firstLineChars="200"/>
        <w:rPr>
          <w:rFonts w:ascii="宋体" w:hAnsi="宋体" w:cs="宋体"/>
          <w:sz w:val="24"/>
          <w:szCs w:val="24"/>
        </w:rPr>
      </w:pPr>
      <w:r>
        <w:rPr>
          <w:rFonts w:hint="eastAsia" w:ascii="宋体" w:hAnsi="宋体" w:cs="宋体"/>
          <w:sz w:val="24"/>
          <w:szCs w:val="24"/>
        </w:rPr>
        <w:t>（三）竞争性磋商文件的解释</w:t>
      </w:r>
    </w:p>
    <w:p w14:paraId="1B700169">
      <w:pPr>
        <w:spacing w:line="400" w:lineRule="exact"/>
        <w:ind w:firstLine="480" w:firstLineChars="200"/>
        <w:rPr>
          <w:rFonts w:ascii="宋体" w:hAnsi="宋体" w:cs="宋体"/>
          <w:sz w:val="24"/>
          <w:szCs w:val="24"/>
        </w:rPr>
      </w:pPr>
      <w:r>
        <w:rPr>
          <w:rFonts w:hint="eastAsia" w:ascii="宋体" w:hAnsi="宋体" w:cs="宋体"/>
          <w:sz w:val="24"/>
          <w:szCs w:val="24"/>
        </w:rPr>
        <w:t>供应商如对竞争性磋商文件有疑问，必须以书面形式在提交响应文件截止时间3个工作日前向采购人（或采购代理机构）要求澄清，采购人（或采购代理机构）可视具体情况做出处理或答复。如供应商未提出疑问，视为完全理解并同意本竞争性磋商文件。一经进入磋商程序，即视为供应商已详细阅读全部文件资料，完全理解竞争性磋商文件所有条款内容并同意放弃对这方面有不明白及误解的权利。</w:t>
      </w:r>
      <w:bookmarkStart w:id="411" w:name="_Toc318159160"/>
      <w:bookmarkStart w:id="412" w:name="_Toc318159780"/>
      <w:bookmarkStart w:id="413" w:name="_Toc318166429"/>
      <w:bookmarkStart w:id="414" w:name="_Toc318159349"/>
    </w:p>
    <w:p w14:paraId="5DB997FE">
      <w:pPr>
        <w:spacing w:line="400" w:lineRule="exact"/>
        <w:ind w:firstLine="480" w:firstLineChars="200"/>
        <w:rPr>
          <w:rFonts w:ascii="宋体" w:hAnsi="宋体" w:cs="宋体"/>
          <w:sz w:val="24"/>
          <w:szCs w:val="24"/>
        </w:rPr>
      </w:pPr>
      <w:r>
        <w:rPr>
          <w:rFonts w:hint="eastAsia" w:ascii="宋体" w:hAnsi="宋体" w:cs="宋体"/>
          <w:sz w:val="24"/>
          <w:szCs w:val="24"/>
        </w:rPr>
        <w:t>（四）本竞争性磋商文件中，磋商小组根据与供应商进行磋商可能实质性变动的内容为竞争性磋商文件第二、三、六篇全部内容。</w:t>
      </w:r>
    </w:p>
    <w:p w14:paraId="6C078A75">
      <w:pPr>
        <w:spacing w:line="400" w:lineRule="exact"/>
        <w:ind w:firstLine="480" w:firstLineChars="200"/>
        <w:rPr>
          <w:rFonts w:ascii="宋体" w:hAnsi="宋体" w:cs="宋体"/>
          <w:sz w:val="24"/>
          <w:szCs w:val="24"/>
        </w:rPr>
      </w:pPr>
      <w:r>
        <w:rPr>
          <w:rFonts w:hint="eastAsia" w:ascii="宋体" w:hAnsi="宋体" w:cs="宋体"/>
          <w:sz w:val="24"/>
          <w:szCs w:val="24"/>
        </w:rPr>
        <w:t>（五）评审的依据为竞争性磋商文件和响应文件（含有效的书面承诺）。磋商小组判断响应文件对竞争性磋商文件的响应，仅基于响应文件本身而不靠外部证据。</w:t>
      </w:r>
    </w:p>
    <w:bookmarkEnd w:id="411"/>
    <w:bookmarkEnd w:id="412"/>
    <w:bookmarkEnd w:id="413"/>
    <w:bookmarkEnd w:id="414"/>
    <w:p w14:paraId="7D90F5CE">
      <w:pPr>
        <w:pStyle w:val="3"/>
        <w:adjustRightInd w:val="0"/>
        <w:snapToGrid w:val="0"/>
        <w:spacing w:line="240" w:lineRule="auto"/>
        <w:jc w:val="left"/>
        <w:rPr>
          <w:rFonts w:ascii="宋体" w:hAnsi="宋体" w:eastAsia="宋体" w:cs="宋体"/>
          <w:sz w:val="24"/>
        </w:rPr>
      </w:pPr>
      <w:bookmarkStart w:id="415" w:name="_Toc632"/>
      <w:bookmarkStart w:id="416" w:name="_Toc31661"/>
      <w:bookmarkStart w:id="417" w:name="_Toc13838"/>
      <w:bookmarkStart w:id="418" w:name="_Toc76462340"/>
      <w:bookmarkStart w:id="419" w:name="_Toc23552"/>
      <w:bookmarkStart w:id="420" w:name="_Toc11304"/>
      <w:bookmarkStart w:id="421" w:name="_Toc25054"/>
      <w:bookmarkStart w:id="422" w:name="_Toc211850959"/>
      <w:bookmarkStart w:id="423" w:name="_Toc102227318"/>
      <w:bookmarkStart w:id="424" w:name="_Toc20791"/>
      <w:bookmarkStart w:id="425" w:name="_Toc342913392"/>
      <w:bookmarkStart w:id="426" w:name="_Toc29340"/>
      <w:bookmarkStart w:id="427" w:name="_Toc11189"/>
      <w:bookmarkStart w:id="428" w:name="_Toc20247"/>
      <w:bookmarkStart w:id="429" w:name="_Toc179714297"/>
      <w:bookmarkStart w:id="430" w:name="_Toc21811"/>
      <w:bookmarkStart w:id="431" w:name="_Toc2735"/>
      <w:bookmarkStart w:id="432" w:name="_Toc28796"/>
      <w:bookmarkStart w:id="433" w:name="_Toc14191"/>
      <w:bookmarkStart w:id="434" w:name="_Toc9407"/>
      <w:bookmarkStart w:id="435" w:name="_Toc6100"/>
      <w:r>
        <w:rPr>
          <w:rFonts w:hint="eastAsia" w:ascii="宋体" w:hAnsi="宋体" w:eastAsia="宋体" w:cs="宋体"/>
          <w:sz w:val="24"/>
        </w:rPr>
        <w:t>三、磋商要求</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69A76ACC">
      <w:pPr>
        <w:spacing w:line="400" w:lineRule="exact"/>
        <w:ind w:firstLine="480" w:firstLineChars="200"/>
        <w:rPr>
          <w:rFonts w:ascii="宋体" w:hAnsi="宋体" w:cs="宋体"/>
          <w:sz w:val="24"/>
          <w:szCs w:val="24"/>
        </w:rPr>
      </w:pPr>
      <w:r>
        <w:rPr>
          <w:rFonts w:hint="eastAsia" w:ascii="宋体" w:hAnsi="宋体" w:cs="宋体"/>
          <w:sz w:val="24"/>
          <w:szCs w:val="24"/>
        </w:rPr>
        <w:t>（一）响应文件</w:t>
      </w:r>
    </w:p>
    <w:p w14:paraId="3B6C7A3E">
      <w:pPr>
        <w:spacing w:line="400" w:lineRule="exact"/>
        <w:ind w:firstLine="480" w:firstLineChars="200"/>
        <w:rPr>
          <w:rFonts w:ascii="宋体" w:hAnsi="宋体" w:cs="宋体"/>
          <w:sz w:val="24"/>
          <w:szCs w:val="24"/>
        </w:rPr>
      </w:pPr>
      <w:r>
        <w:rPr>
          <w:rFonts w:hint="eastAsia" w:ascii="宋体" w:hAnsi="宋体" w:cs="宋体"/>
          <w:sz w:val="24"/>
          <w:szCs w:val="24"/>
        </w:rPr>
        <w:t>1.供应商应当按照竞争性磋商文件的要求编制响应文件，并对竞争性磋商文件提出的要求和条件作出实质性响应，响应文件原则上采用软面订本，同时应编制完整的页码、目录。</w:t>
      </w:r>
    </w:p>
    <w:p w14:paraId="54BB37A4">
      <w:pPr>
        <w:spacing w:line="400" w:lineRule="exact"/>
        <w:ind w:firstLine="480" w:firstLineChars="200"/>
        <w:rPr>
          <w:rFonts w:ascii="宋体" w:hAnsi="宋体" w:cs="宋体"/>
          <w:sz w:val="24"/>
          <w:szCs w:val="24"/>
        </w:rPr>
      </w:pPr>
      <w:r>
        <w:rPr>
          <w:rFonts w:hint="eastAsia" w:ascii="宋体" w:hAnsi="宋体" w:cs="宋体"/>
          <w:sz w:val="24"/>
          <w:szCs w:val="24"/>
        </w:rPr>
        <w:t>2.响应文件组成</w:t>
      </w:r>
    </w:p>
    <w:p w14:paraId="045D6159">
      <w:pPr>
        <w:spacing w:line="400" w:lineRule="exact"/>
        <w:ind w:firstLine="480" w:firstLineChars="200"/>
        <w:rPr>
          <w:rFonts w:ascii="宋体" w:hAnsi="宋体" w:cs="宋体"/>
          <w:sz w:val="24"/>
          <w:szCs w:val="24"/>
        </w:rPr>
      </w:pPr>
      <w:r>
        <w:rPr>
          <w:rFonts w:hint="eastAsia" w:ascii="宋体" w:hAnsi="宋体" w:cs="宋体"/>
          <w:sz w:val="24"/>
          <w:szCs w:val="24"/>
        </w:rPr>
        <w:t>响应文件由“第七篇响应文件编制要求”规定的部分和供应商所作的一切有效补充、修改和承诺等文件组成，供应商应按照“第七篇响应文件编制要求”规定的目录顺序组织编写和装订，也可在基本格式基础上对表格进行扩展，未规定格式的由供应商自定格式。</w:t>
      </w:r>
    </w:p>
    <w:p w14:paraId="7E69F647">
      <w:pPr>
        <w:spacing w:line="400" w:lineRule="exact"/>
        <w:ind w:firstLine="480" w:firstLineChars="200"/>
        <w:rPr>
          <w:rFonts w:ascii="宋体" w:hAnsi="宋体" w:cs="宋体"/>
          <w:sz w:val="24"/>
          <w:szCs w:val="24"/>
        </w:rPr>
      </w:pPr>
      <w:r>
        <w:rPr>
          <w:rFonts w:hint="eastAsia" w:ascii="宋体" w:hAnsi="宋体" w:cs="宋体"/>
          <w:sz w:val="24"/>
          <w:szCs w:val="24"/>
        </w:rPr>
        <w:t>（二）联合体</w:t>
      </w:r>
    </w:p>
    <w:p w14:paraId="14C3A4AB">
      <w:pPr>
        <w:spacing w:line="400" w:lineRule="exact"/>
        <w:ind w:firstLine="480" w:firstLineChars="200"/>
        <w:rPr>
          <w:rFonts w:ascii="宋体" w:hAnsi="宋体" w:cs="宋体"/>
          <w:sz w:val="24"/>
          <w:szCs w:val="24"/>
        </w:rPr>
      </w:pPr>
      <w:r>
        <w:rPr>
          <w:rFonts w:hint="eastAsia" w:ascii="宋体" w:hAnsi="宋体" w:cs="宋体"/>
          <w:sz w:val="24"/>
          <w:szCs w:val="24"/>
        </w:rPr>
        <w:t>本项目不接受联合体。</w:t>
      </w:r>
    </w:p>
    <w:p w14:paraId="15A33B1F">
      <w:pPr>
        <w:spacing w:line="400" w:lineRule="exact"/>
        <w:ind w:firstLine="480" w:firstLineChars="200"/>
        <w:rPr>
          <w:rFonts w:ascii="宋体" w:hAnsi="宋体" w:cs="宋体"/>
          <w:sz w:val="24"/>
          <w:szCs w:val="24"/>
        </w:rPr>
      </w:pPr>
      <w:r>
        <w:rPr>
          <w:rFonts w:hint="eastAsia" w:ascii="宋体" w:hAnsi="宋体" w:cs="宋体"/>
          <w:sz w:val="24"/>
          <w:szCs w:val="24"/>
        </w:rPr>
        <w:t>（三）磋商有效期：响应文件及有关承诺文件有效期为提交响应文件截止时间起90天。</w:t>
      </w:r>
    </w:p>
    <w:p w14:paraId="3BD467BF">
      <w:pPr>
        <w:spacing w:line="400" w:lineRule="exact"/>
        <w:ind w:firstLine="480" w:firstLineChars="200"/>
        <w:rPr>
          <w:rFonts w:ascii="宋体" w:hAnsi="宋体" w:cs="宋体"/>
          <w:sz w:val="24"/>
          <w:szCs w:val="24"/>
        </w:rPr>
      </w:pPr>
      <w:r>
        <w:rPr>
          <w:rFonts w:hint="eastAsia" w:ascii="宋体" w:hAnsi="宋体" w:cs="宋体"/>
          <w:sz w:val="24"/>
          <w:szCs w:val="24"/>
        </w:rPr>
        <w:t>（四）修正错误</w:t>
      </w:r>
    </w:p>
    <w:p w14:paraId="1BE57DE3">
      <w:pPr>
        <w:spacing w:line="400" w:lineRule="exact"/>
        <w:ind w:firstLine="480" w:firstLineChars="200"/>
        <w:rPr>
          <w:rFonts w:ascii="宋体" w:hAnsi="宋体" w:cs="宋体"/>
          <w:sz w:val="24"/>
          <w:szCs w:val="24"/>
        </w:rPr>
      </w:pPr>
      <w:r>
        <w:rPr>
          <w:rFonts w:hint="eastAsia" w:ascii="宋体" w:hAnsi="宋体" w:cs="宋体"/>
          <w:sz w:val="24"/>
          <w:szCs w:val="24"/>
        </w:rPr>
        <w:t>1.若供应商所递交的响应文件或最后报价中的价格出现大写金额和小写金额不一致的错误，以大写金额修正为准。</w:t>
      </w:r>
    </w:p>
    <w:p w14:paraId="53D83B59">
      <w:pPr>
        <w:spacing w:line="400" w:lineRule="exact"/>
        <w:ind w:firstLine="480" w:firstLineChars="200"/>
        <w:rPr>
          <w:rFonts w:ascii="宋体" w:hAnsi="宋体" w:cs="宋体"/>
          <w:sz w:val="24"/>
          <w:szCs w:val="24"/>
        </w:rPr>
      </w:pPr>
      <w:r>
        <w:rPr>
          <w:rFonts w:hint="eastAsia" w:ascii="宋体" w:hAnsi="宋体" w:cs="宋体"/>
          <w:sz w:val="24"/>
          <w:szCs w:val="24"/>
        </w:rPr>
        <w:t>2.磋商小组按上述修正错误的原则及方法修正供应商的报价，供应商同意并签署确认后，修正后的报价对供应商具有约束作用。如果供应商不接受修正后的价格，将失去成为成交供应商的资格。</w:t>
      </w:r>
    </w:p>
    <w:p w14:paraId="58E4C1BF">
      <w:pPr>
        <w:snapToGrid w:val="0"/>
        <w:spacing w:line="400" w:lineRule="exact"/>
        <w:ind w:firstLine="480" w:firstLineChars="200"/>
        <w:rPr>
          <w:rFonts w:ascii="宋体" w:hAnsi="宋体" w:cs="宋体"/>
          <w:sz w:val="24"/>
          <w:szCs w:val="24"/>
        </w:rPr>
      </w:pPr>
      <w:r>
        <w:rPr>
          <w:rFonts w:hint="eastAsia" w:ascii="宋体" w:hAnsi="宋体" w:cs="宋体"/>
          <w:sz w:val="24"/>
          <w:szCs w:val="24"/>
        </w:rPr>
        <w:t>（五）提交响应文件的份数和签署</w:t>
      </w:r>
    </w:p>
    <w:p w14:paraId="522D3575">
      <w:pPr>
        <w:snapToGrid w:val="0"/>
        <w:spacing w:line="400" w:lineRule="exact"/>
        <w:ind w:firstLine="480" w:firstLineChars="200"/>
        <w:rPr>
          <w:rFonts w:ascii="宋体" w:hAnsi="宋体" w:cs="宋体"/>
          <w:sz w:val="24"/>
          <w:szCs w:val="24"/>
        </w:rPr>
      </w:pPr>
      <w:r>
        <w:rPr>
          <w:rFonts w:hint="eastAsia" w:ascii="宋体" w:hAnsi="宋体" w:cs="宋体"/>
          <w:sz w:val="24"/>
          <w:szCs w:val="24"/>
        </w:rPr>
        <w:t>1.响应文件一式四份，其中正本一份，副本二份，电子文档一份（电子文档内容应与纸质文件正本一致，如不一致以纸质文件正本为准。推荐采用光盘或U盘为电子文档载体）；副本可为正本的复印件，应与正本一致，如出现不一致情况以正本为准。</w:t>
      </w:r>
    </w:p>
    <w:p w14:paraId="2C850F17">
      <w:pPr>
        <w:snapToGrid w:val="0"/>
        <w:spacing w:line="400" w:lineRule="exact"/>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sz w:val="24"/>
        </w:rPr>
        <w:t>响应文件按竞争性磋商文件“第七篇响应文件编制要求”要求签署或盖章。</w:t>
      </w:r>
    </w:p>
    <w:p w14:paraId="46644EF4">
      <w:pPr>
        <w:snapToGrid w:val="0"/>
        <w:spacing w:line="400" w:lineRule="exact"/>
        <w:ind w:firstLine="480" w:firstLineChars="200"/>
        <w:rPr>
          <w:rFonts w:ascii="宋体" w:hAnsi="宋体" w:cs="宋体"/>
          <w:sz w:val="24"/>
          <w:szCs w:val="24"/>
        </w:rPr>
      </w:pPr>
      <w:r>
        <w:rPr>
          <w:rFonts w:hint="eastAsia" w:ascii="宋体" w:hAnsi="宋体" w:cs="宋体"/>
          <w:sz w:val="24"/>
          <w:szCs w:val="24"/>
        </w:rPr>
        <w:t>（六）响应文件的递交</w:t>
      </w:r>
    </w:p>
    <w:p w14:paraId="77C685E8">
      <w:pPr>
        <w:pStyle w:val="5"/>
        <w:spacing w:line="400" w:lineRule="exact"/>
        <w:ind w:firstLine="480" w:firstLineChars="200"/>
        <w:rPr>
          <w:rFonts w:hAnsi="宋体" w:cs="宋体"/>
          <w:sz w:val="24"/>
        </w:rPr>
      </w:pPr>
      <w:r>
        <w:rPr>
          <w:rFonts w:hint="eastAsia" w:hAnsi="宋体" w:cs="宋体"/>
          <w:sz w:val="24"/>
        </w:rPr>
        <w:t>响应文件的正本、副本以及电子文档均应密封送达磋商地点，应在封套上注明磋商项目名称、供应商名称。若正本、副本以及电子文档分别进行密封的，还应在封套上注明“正本”、“副本”、“电子文档”字样。</w:t>
      </w:r>
    </w:p>
    <w:p w14:paraId="4418D76D">
      <w:pPr>
        <w:snapToGrid w:val="0"/>
        <w:spacing w:line="400" w:lineRule="exact"/>
        <w:ind w:firstLine="480" w:firstLineChars="200"/>
        <w:rPr>
          <w:rFonts w:ascii="宋体" w:hAnsi="宋体" w:cs="宋体"/>
          <w:sz w:val="24"/>
          <w:szCs w:val="24"/>
        </w:rPr>
      </w:pPr>
      <w:r>
        <w:rPr>
          <w:rFonts w:hint="eastAsia" w:ascii="宋体" w:hAnsi="宋体" w:cs="宋体"/>
          <w:sz w:val="24"/>
          <w:szCs w:val="24"/>
        </w:rPr>
        <w:t>（七）供应商参与人员</w:t>
      </w:r>
    </w:p>
    <w:p w14:paraId="0DF475D3">
      <w:pPr>
        <w:snapToGrid w:val="0"/>
        <w:spacing w:line="400" w:lineRule="exact"/>
        <w:ind w:firstLine="480" w:firstLineChars="200"/>
        <w:rPr>
          <w:rFonts w:ascii="宋体" w:hAnsi="宋体" w:cs="宋体"/>
          <w:sz w:val="24"/>
          <w:szCs w:val="24"/>
        </w:rPr>
      </w:pPr>
      <w:r>
        <w:rPr>
          <w:rFonts w:hint="eastAsia" w:ascii="宋体" w:hAnsi="宋体" w:cs="宋体"/>
          <w:sz w:val="24"/>
          <w:szCs w:val="24"/>
        </w:rPr>
        <w:t>各个供应商应当派1-2名代表参与磋商，至少1人应为法定代表人（或其授权代表）或自然人（供应商为自然人）。</w:t>
      </w:r>
    </w:p>
    <w:p w14:paraId="2C6F0881">
      <w:pPr>
        <w:pStyle w:val="3"/>
        <w:adjustRightInd w:val="0"/>
        <w:snapToGrid w:val="0"/>
        <w:spacing w:line="240" w:lineRule="auto"/>
        <w:jc w:val="left"/>
        <w:rPr>
          <w:rFonts w:ascii="宋体" w:hAnsi="宋体" w:eastAsia="宋体" w:cs="宋体"/>
          <w:sz w:val="24"/>
        </w:rPr>
      </w:pPr>
      <w:bookmarkStart w:id="436" w:name="_Toc27253"/>
      <w:bookmarkStart w:id="437" w:name="_Toc211850960"/>
      <w:bookmarkStart w:id="438" w:name="_Toc10675"/>
      <w:bookmarkStart w:id="439" w:name="_Toc26891"/>
      <w:bookmarkStart w:id="440" w:name="_Toc2807"/>
      <w:bookmarkStart w:id="441" w:name="_Toc13618"/>
      <w:bookmarkStart w:id="442" w:name="_Toc28339"/>
      <w:bookmarkStart w:id="443" w:name="_Toc1654"/>
      <w:bookmarkStart w:id="444" w:name="_Toc4358"/>
      <w:bookmarkStart w:id="445" w:name="_Toc3211"/>
      <w:bookmarkStart w:id="446" w:name="_Toc10146"/>
      <w:bookmarkStart w:id="447" w:name="_Toc6872"/>
      <w:bookmarkStart w:id="448" w:name="_Toc76462341"/>
      <w:bookmarkStart w:id="449" w:name="_Toc29902"/>
      <w:bookmarkStart w:id="450" w:name="_Toc4255"/>
      <w:bookmarkStart w:id="451" w:name="_Toc16815"/>
      <w:bookmarkStart w:id="452" w:name="_Toc3816"/>
      <w:bookmarkStart w:id="453" w:name="_Toc6975"/>
      <w:r>
        <w:rPr>
          <w:rFonts w:hint="eastAsia" w:ascii="宋体" w:hAnsi="宋体" w:eastAsia="宋体" w:cs="宋体"/>
          <w:sz w:val="24"/>
        </w:rPr>
        <w:t>四、成交供应商的确认和变更</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p>
    <w:p w14:paraId="724F1C93">
      <w:pPr>
        <w:snapToGrid w:val="0"/>
        <w:spacing w:line="400" w:lineRule="exact"/>
        <w:ind w:firstLine="480" w:firstLineChars="200"/>
        <w:outlineLvl w:val="2"/>
        <w:rPr>
          <w:rFonts w:ascii="宋体" w:hAnsi="宋体" w:cs="宋体"/>
          <w:sz w:val="24"/>
          <w:szCs w:val="24"/>
        </w:rPr>
      </w:pPr>
      <w:r>
        <w:rPr>
          <w:rFonts w:hint="eastAsia" w:ascii="宋体" w:hAnsi="宋体" w:cs="宋体"/>
          <w:sz w:val="24"/>
          <w:szCs w:val="24"/>
        </w:rPr>
        <w:t>（一）成交供应商的确认</w:t>
      </w:r>
    </w:p>
    <w:p w14:paraId="2AC03BAF">
      <w:pPr>
        <w:snapToGrid w:val="0"/>
        <w:spacing w:line="400" w:lineRule="exact"/>
        <w:ind w:firstLine="480" w:firstLineChars="200"/>
        <w:rPr>
          <w:rFonts w:ascii="宋体" w:hAnsi="宋体" w:cs="宋体"/>
          <w:sz w:val="24"/>
          <w:szCs w:val="24"/>
        </w:rPr>
      </w:pPr>
      <w:r>
        <w:rPr>
          <w:rFonts w:hint="eastAsia" w:ascii="宋体" w:hAnsi="宋体" w:cs="宋体"/>
          <w:sz w:val="24"/>
          <w:szCs w:val="24"/>
        </w:rPr>
        <w:t>采购代理机构应当在评审结束后2个工作日内将评审报告送采购人确认。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3CBD83E1">
      <w:pPr>
        <w:snapToGrid w:val="0"/>
        <w:spacing w:line="400" w:lineRule="exact"/>
        <w:ind w:firstLine="480" w:firstLineChars="200"/>
        <w:outlineLvl w:val="2"/>
        <w:rPr>
          <w:rFonts w:ascii="宋体" w:hAnsi="宋体" w:cs="宋体"/>
          <w:sz w:val="24"/>
          <w:szCs w:val="24"/>
        </w:rPr>
      </w:pPr>
      <w:r>
        <w:rPr>
          <w:rFonts w:hint="eastAsia" w:ascii="宋体" w:hAnsi="宋体" w:cs="宋体"/>
          <w:sz w:val="24"/>
          <w:szCs w:val="24"/>
        </w:rPr>
        <w:t>（二）成交供应商的变更</w:t>
      </w:r>
    </w:p>
    <w:p w14:paraId="65423E42">
      <w:pPr>
        <w:snapToGrid w:val="0"/>
        <w:spacing w:line="400" w:lineRule="exact"/>
        <w:ind w:firstLine="480" w:firstLineChars="200"/>
        <w:rPr>
          <w:rFonts w:ascii="宋体" w:hAnsi="宋体" w:cs="宋体"/>
          <w:sz w:val="24"/>
          <w:szCs w:val="24"/>
        </w:rPr>
      </w:pPr>
      <w:r>
        <w:rPr>
          <w:rFonts w:hint="eastAsia" w:ascii="宋体" w:hAnsi="宋体" w:cs="宋体"/>
          <w:sz w:val="24"/>
        </w:rPr>
        <w:t>成交供应商拒绝与采购人签订合同的，采购人可以按照评标报告推荐的成交候选供应商顺序，确定排名下一位的候选人为成交供应商，也可以重新开展政府采购活动。</w:t>
      </w:r>
    </w:p>
    <w:p w14:paraId="6D93D8B3">
      <w:pPr>
        <w:pStyle w:val="3"/>
        <w:adjustRightInd w:val="0"/>
        <w:snapToGrid w:val="0"/>
        <w:spacing w:line="240" w:lineRule="auto"/>
        <w:jc w:val="left"/>
        <w:rPr>
          <w:rFonts w:ascii="宋体" w:hAnsi="宋体" w:eastAsia="宋体" w:cs="宋体"/>
          <w:sz w:val="24"/>
        </w:rPr>
      </w:pPr>
      <w:bookmarkStart w:id="454" w:name="_Toc16227"/>
      <w:bookmarkStart w:id="455" w:name="_Toc7024"/>
      <w:bookmarkStart w:id="456" w:name="_Toc211850961"/>
      <w:bookmarkStart w:id="457" w:name="_Toc7139"/>
      <w:bookmarkStart w:id="458" w:name="_Toc9729"/>
      <w:bookmarkStart w:id="459" w:name="_Toc76462342"/>
      <w:bookmarkStart w:id="460" w:name="_Toc3600"/>
      <w:bookmarkStart w:id="461" w:name="_Toc1927"/>
      <w:bookmarkStart w:id="462" w:name="_Toc27893"/>
      <w:bookmarkStart w:id="463" w:name="_Toc9305"/>
      <w:bookmarkStart w:id="464" w:name="_Toc1176"/>
      <w:bookmarkStart w:id="465" w:name="_Toc20539"/>
      <w:bookmarkStart w:id="466" w:name="_Toc17733"/>
      <w:bookmarkStart w:id="467" w:name="_Toc17789"/>
      <w:bookmarkStart w:id="468" w:name="_Toc102227321"/>
      <w:bookmarkStart w:id="469" w:name="_Toc5669"/>
      <w:bookmarkStart w:id="470" w:name="_Toc21706"/>
      <w:bookmarkStart w:id="471" w:name="_Toc342913395"/>
      <w:bookmarkStart w:id="472" w:name="_Toc4036"/>
      <w:bookmarkStart w:id="473" w:name="_Toc13900"/>
      <w:r>
        <w:rPr>
          <w:rFonts w:hint="eastAsia" w:ascii="宋体" w:hAnsi="宋体" w:eastAsia="宋体" w:cs="宋体"/>
          <w:sz w:val="24"/>
        </w:rPr>
        <w:t>五、成交通知</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6803B973">
      <w:pPr>
        <w:spacing w:line="400" w:lineRule="exact"/>
        <w:ind w:firstLine="480" w:firstLineChars="200"/>
        <w:rPr>
          <w:rFonts w:ascii="宋体" w:hAnsi="宋体" w:cs="宋体"/>
          <w:sz w:val="24"/>
          <w:szCs w:val="24"/>
        </w:rPr>
      </w:pPr>
      <w:r>
        <w:rPr>
          <w:rFonts w:hint="eastAsia" w:ascii="宋体" w:hAnsi="宋体" w:cs="宋体"/>
          <w:sz w:val="24"/>
          <w:szCs w:val="24"/>
        </w:rPr>
        <w:t>（一）成交供应商确定后，采购代理机构将在中国政府采购网上发布成交结果公告。</w:t>
      </w:r>
    </w:p>
    <w:p w14:paraId="51F20F81">
      <w:pPr>
        <w:spacing w:line="400" w:lineRule="exact"/>
        <w:ind w:firstLine="480" w:firstLineChars="200"/>
        <w:rPr>
          <w:rFonts w:ascii="宋体" w:hAnsi="宋体" w:cs="宋体"/>
          <w:sz w:val="24"/>
          <w:szCs w:val="24"/>
        </w:rPr>
      </w:pPr>
      <w:r>
        <w:rPr>
          <w:rFonts w:hint="eastAsia" w:ascii="宋体" w:hAnsi="宋体" w:cs="宋体"/>
          <w:sz w:val="24"/>
          <w:szCs w:val="24"/>
        </w:rPr>
        <w:t>（二）结果公告发出同时，采购代理机构将以书面形式发出《成交通知书》。《成交通知书》一经发出即发生法律效力。</w:t>
      </w:r>
    </w:p>
    <w:p w14:paraId="18198E00">
      <w:pPr>
        <w:spacing w:line="400" w:lineRule="exact"/>
        <w:ind w:firstLine="480" w:firstLineChars="200"/>
        <w:rPr>
          <w:rFonts w:ascii="宋体" w:hAnsi="宋体" w:cs="宋体"/>
          <w:sz w:val="24"/>
          <w:szCs w:val="24"/>
        </w:rPr>
      </w:pPr>
      <w:r>
        <w:rPr>
          <w:rFonts w:hint="eastAsia" w:ascii="宋体" w:hAnsi="宋体" w:cs="宋体"/>
          <w:sz w:val="24"/>
          <w:szCs w:val="24"/>
        </w:rPr>
        <w:t>（三）《成交通知书》将作为签订合同的依据。</w:t>
      </w:r>
    </w:p>
    <w:p w14:paraId="761EB729">
      <w:pPr>
        <w:pStyle w:val="3"/>
        <w:adjustRightInd w:val="0"/>
        <w:snapToGrid w:val="0"/>
        <w:spacing w:line="240" w:lineRule="auto"/>
        <w:jc w:val="left"/>
        <w:rPr>
          <w:rFonts w:ascii="宋体" w:hAnsi="宋体" w:eastAsia="宋体" w:cs="宋体"/>
          <w:sz w:val="24"/>
        </w:rPr>
      </w:pPr>
      <w:bookmarkStart w:id="474" w:name="_Toc27645"/>
      <w:bookmarkStart w:id="475" w:name="_Toc23273"/>
      <w:bookmarkStart w:id="476" w:name="_Toc7014"/>
      <w:bookmarkStart w:id="477" w:name="_Toc8117"/>
      <w:bookmarkStart w:id="478" w:name="_Toc20620"/>
      <w:bookmarkStart w:id="479" w:name="_Toc24711"/>
      <w:bookmarkStart w:id="480" w:name="_Toc24378"/>
      <w:bookmarkStart w:id="481" w:name="_Toc211850962"/>
      <w:bookmarkStart w:id="482" w:name="_Toc76462343"/>
      <w:bookmarkStart w:id="483" w:name="_Toc20445"/>
      <w:bookmarkStart w:id="484" w:name="_Toc5629"/>
      <w:bookmarkStart w:id="485" w:name="_Toc5614"/>
      <w:bookmarkStart w:id="486" w:name="_Toc15280"/>
      <w:bookmarkStart w:id="487" w:name="_Toc19659"/>
      <w:bookmarkStart w:id="488" w:name="_Toc9500"/>
      <w:bookmarkStart w:id="489" w:name="_Toc26027"/>
      <w:r>
        <w:rPr>
          <w:rFonts w:hint="eastAsia" w:ascii="宋体" w:hAnsi="宋体" w:eastAsia="宋体" w:cs="宋体"/>
          <w:sz w:val="24"/>
        </w:rPr>
        <w:t>六、关于质疑和投诉</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14:paraId="75649606">
      <w:pPr>
        <w:spacing w:line="400" w:lineRule="exact"/>
        <w:ind w:firstLine="480" w:firstLineChars="200"/>
        <w:outlineLvl w:val="2"/>
        <w:rPr>
          <w:rFonts w:ascii="宋体" w:hAnsi="宋体" w:cs="宋体"/>
          <w:sz w:val="24"/>
          <w:szCs w:val="24"/>
        </w:rPr>
      </w:pPr>
      <w:r>
        <w:rPr>
          <w:rFonts w:hint="eastAsia" w:ascii="宋体" w:hAnsi="宋体" w:cs="宋体"/>
          <w:sz w:val="24"/>
          <w:szCs w:val="24"/>
        </w:rPr>
        <w:t>（一）质疑</w:t>
      </w:r>
    </w:p>
    <w:p w14:paraId="2DDFF81B">
      <w:pPr>
        <w:spacing w:line="400" w:lineRule="exact"/>
        <w:ind w:firstLine="480" w:firstLineChars="200"/>
        <w:rPr>
          <w:rFonts w:ascii="宋体" w:hAnsi="宋体" w:cs="宋体"/>
          <w:sz w:val="24"/>
          <w:szCs w:val="24"/>
        </w:rPr>
      </w:pPr>
      <w:r>
        <w:rPr>
          <w:rFonts w:hint="eastAsia" w:ascii="宋体" w:hAnsi="宋体" w:cs="宋体"/>
          <w:sz w:val="24"/>
          <w:szCs w:val="24"/>
        </w:rPr>
        <w:t>供应商认为采购文件、采购过程和成交结果使自己的权益收到伤害的，可向采购人或采购代理机构以书面形式提出质疑。</w:t>
      </w:r>
    </w:p>
    <w:p w14:paraId="7623BE59">
      <w:pPr>
        <w:spacing w:line="400" w:lineRule="exact"/>
        <w:ind w:firstLine="480" w:firstLineChars="200"/>
        <w:rPr>
          <w:rFonts w:ascii="宋体" w:hAnsi="宋体" w:cs="宋体"/>
          <w:sz w:val="24"/>
          <w:szCs w:val="24"/>
        </w:rPr>
      </w:pPr>
      <w:r>
        <w:rPr>
          <w:rFonts w:hint="eastAsia" w:ascii="宋体" w:hAnsi="宋体" w:cs="宋体"/>
          <w:sz w:val="24"/>
          <w:szCs w:val="24"/>
        </w:rPr>
        <w:t xml:space="preserve">提出质疑的应当是参与所质疑项目采购活动的供应商。 </w:t>
      </w:r>
    </w:p>
    <w:p w14:paraId="57AEE06D">
      <w:pPr>
        <w:spacing w:line="400" w:lineRule="exact"/>
        <w:ind w:firstLine="480" w:firstLineChars="200"/>
        <w:rPr>
          <w:rFonts w:ascii="宋体" w:hAnsi="宋体" w:cs="宋体"/>
          <w:sz w:val="24"/>
          <w:szCs w:val="24"/>
        </w:rPr>
      </w:pPr>
      <w:r>
        <w:rPr>
          <w:rFonts w:hint="eastAsia" w:ascii="宋体" w:hAnsi="宋体" w:cs="宋体"/>
          <w:sz w:val="24"/>
          <w:szCs w:val="24"/>
        </w:rPr>
        <w:t>1.质疑时限、内容</w:t>
      </w:r>
    </w:p>
    <w:p w14:paraId="1A258F2F">
      <w:pPr>
        <w:spacing w:line="400" w:lineRule="exact"/>
        <w:ind w:firstLine="480" w:firstLineChars="200"/>
        <w:rPr>
          <w:rFonts w:ascii="宋体" w:hAnsi="宋体" w:cs="宋体"/>
          <w:sz w:val="24"/>
          <w:szCs w:val="24"/>
        </w:rPr>
      </w:pPr>
      <w:r>
        <w:rPr>
          <w:rFonts w:hint="eastAsia" w:ascii="宋体" w:hAnsi="宋体" w:cs="宋体"/>
          <w:sz w:val="24"/>
          <w:szCs w:val="24"/>
        </w:rPr>
        <w:t>供应商认为采购文件、采购过程、成交结果使自己的权益受到损害的，可以在知道或者应知其权益受到损害之日起7个工作日内，以书面形式向采购人、采购代理机构提出质疑。</w:t>
      </w:r>
    </w:p>
    <w:p w14:paraId="04BA517C">
      <w:pPr>
        <w:spacing w:line="400" w:lineRule="exact"/>
        <w:ind w:firstLine="480" w:firstLineChars="200"/>
        <w:rPr>
          <w:rFonts w:ascii="宋体" w:hAnsi="宋体" w:cs="宋体"/>
          <w:sz w:val="24"/>
          <w:szCs w:val="24"/>
        </w:rPr>
      </w:pPr>
      <w:r>
        <w:rPr>
          <w:rFonts w:hint="eastAsia" w:ascii="宋体" w:hAnsi="宋体" w:cs="宋体"/>
          <w:sz w:val="24"/>
          <w:szCs w:val="24"/>
        </w:rPr>
        <w:t>1.2供应商提出质疑应当提交质疑函和必要的证明材料，质疑函应当包括下列内容：</w:t>
      </w:r>
    </w:p>
    <w:p w14:paraId="21232F3C">
      <w:pPr>
        <w:spacing w:line="400" w:lineRule="exact"/>
        <w:ind w:firstLine="480" w:firstLineChars="200"/>
        <w:rPr>
          <w:rFonts w:ascii="宋体" w:hAnsi="宋体" w:cs="宋体"/>
          <w:sz w:val="24"/>
          <w:szCs w:val="24"/>
        </w:rPr>
      </w:pPr>
      <w:r>
        <w:rPr>
          <w:rFonts w:hint="eastAsia" w:ascii="宋体" w:hAnsi="宋体" w:cs="宋体"/>
          <w:sz w:val="24"/>
          <w:szCs w:val="24"/>
        </w:rPr>
        <w:t>1.2.1供应商的姓名或者名称、地址、邮编、联系人及联系电话；</w:t>
      </w:r>
    </w:p>
    <w:p w14:paraId="3E300CC7">
      <w:pPr>
        <w:spacing w:line="400" w:lineRule="exact"/>
        <w:ind w:firstLine="480" w:firstLineChars="200"/>
        <w:rPr>
          <w:rFonts w:ascii="宋体" w:hAnsi="宋体" w:cs="宋体"/>
          <w:sz w:val="24"/>
          <w:szCs w:val="24"/>
        </w:rPr>
      </w:pPr>
      <w:r>
        <w:rPr>
          <w:rFonts w:hint="eastAsia" w:ascii="宋体" w:hAnsi="宋体" w:cs="宋体"/>
          <w:sz w:val="24"/>
          <w:szCs w:val="24"/>
        </w:rPr>
        <w:t>1.2.2质疑项目的名称、项目号以及采购执行编号；</w:t>
      </w:r>
    </w:p>
    <w:p w14:paraId="690D2A83">
      <w:pPr>
        <w:spacing w:line="400" w:lineRule="exact"/>
        <w:ind w:firstLine="480" w:firstLineChars="200"/>
        <w:rPr>
          <w:rFonts w:ascii="宋体" w:hAnsi="宋体" w:cs="宋体"/>
          <w:sz w:val="24"/>
          <w:szCs w:val="24"/>
        </w:rPr>
      </w:pPr>
      <w:r>
        <w:rPr>
          <w:rFonts w:hint="eastAsia" w:ascii="宋体" w:hAnsi="宋体" w:cs="宋体"/>
          <w:sz w:val="24"/>
          <w:szCs w:val="24"/>
        </w:rPr>
        <w:t>1.2.3具体、明确的质疑事项和与质疑事项相关的请求；</w:t>
      </w:r>
    </w:p>
    <w:p w14:paraId="22914C32">
      <w:pPr>
        <w:spacing w:line="400" w:lineRule="exact"/>
        <w:ind w:firstLine="480" w:firstLineChars="200"/>
        <w:rPr>
          <w:rFonts w:ascii="宋体" w:hAnsi="宋体" w:cs="宋体"/>
          <w:sz w:val="24"/>
          <w:szCs w:val="24"/>
        </w:rPr>
      </w:pPr>
      <w:r>
        <w:rPr>
          <w:rFonts w:hint="eastAsia" w:ascii="宋体" w:hAnsi="宋体" w:cs="宋体"/>
          <w:sz w:val="24"/>
          <w:szCs w:val="24"/>
        </w:rPr>
        <w:t>1.2.4事实依据；</w:t>
      </w:r>
    </w:p>
    <w:p w14:paraId="4320289B">
      <w:pPr>
        <w:spacing w:line="400" w:lineRule="exact"/>
        <w:ind w:firstLine="480" w:firstLineChars="200"/>
        <w:rPr>
          <w:rFonts w:ascii="宋体" w:hAnsi="宋体" w:cs="宋体"/>
          <w:sz w:val="24"/>
          <w:szCs w:val="24"/>
        </w:rPr>
      </w:pPr>
      <w:r>
        <w:rPr>
          <w:rFonts w:hint="eastAsia" w:ascii="宋体" w:hAnsi="宋体" w:cs="宋体"/>
          <w:sz w:val="24"/>
          <w:szCs w:val="24"/>
        </w:rPr>
        <w:t>1.2.5必要的法律依据；</w:t>
      </w:r>
    </w:p>
    <w:p w14:paraId="16E1DE57">
      <w:pPr>
        <w:spacing w:line="400" w:lineRule="exact"/>
        <w:ind w:firstLine="480" w:firstLineChars="200"/>
        <w:rPr>
          <w:rFonts w:ascii="宋体" w:hAnsi="宋体" w:cs="宋体"/>
          <w:sz w:val="24"/>
          <w:szCs w:val="24"/>
        </w:rPr>
      </w:pPr>
      <w:r>
        <w:rPr>
          <w:rFonts w:hint="eastAsia" w:ascii="宋体" w:hAnsi="宋体" w:cs="宋体"/>
          <w:sz w:val="24"/>
          <w:szCs w:val="24"/>
        </w:rPr>
        <w:t>1.2.6提出质疑的日期；</w:t>
      </w:r>
    </w:p>
    <w:p w14:paraId="3FF92A65">
      <w:pPr>
        <w:spacing w:line="400" w:lineRule="exact"/>
        <w:ind w:firstLine="480" w:firstLineChars="200"/>
        <w:rPr>
          <w:rFonts w:ascii="宋体" w:hAnsi="宋体" w:cs="宋体"/>
          <w:sz w:val="24"/>
          <w:szCs w:val="24"/>
        </w:rPr>
      </w:pPr>
      <w:r>
        <w:rPr>
          <w:rFonts w:hint="eastAsia" w:ascii="宋体" w:hAnsi="宋体" w:cs="宋体"/>
          <w:sz w:val="24"/>
          <w:szCs w:val="24"/>
        </w:rPr>
        <w:t>1.2.7营业执照（或事业单位法人证书，或个体工商户营业执照或有效的自然人身份证明）复印件；</w:t>
      </w:r>
    </w:p>
    <w:p w14:paraId="12BDB918">
      <w:pPr>
        <w:spacing w:line="400" w:lineRule="exact"/>
        <w:ind w:firstLine="480" w:firstLineChars="200"/>
        <w:rPr>
          <w:rFonts w:ascii="宋体" w:hAnsi="宋体" w:cs="宋体"/>
          <w:sz w:val="24"/>
          <w:szCs w:val="24"/>
        </w:rPr>
      </w:pPr>
      <w:r>
        <w:rPr>
          <w:rFonts w:hint="eastAsia" w:ascii="宋体" w:hAnsi="宋体" w:cs="宋体"/>
          <w:sz w:val="24"/>
          <w:szCs w:val="24"/>
        </w:rPr>
        <w:t>1.2.8法定代表人授权委托书原件、法定代表人身份证复印件和其授权代表的身份证复印件（供应商为自然人的提供自然人身份证复印件）；</w:t>
      </w:r>
    </w:p>
    <w:p w14:paraId="5889620C">
      <w:pPr>
        <w:spacing w:line="400" w:lineRule="exact"/>
        <w:ind w:firstLine="480" w:firstLineChars="200"/>
        <w:rPr>
          <w:rFonts w:ascii="宋体" w:hAnsi="宋体" w:cs="宋体"/>
          <w:sz w:val="24"/>
          <w:szCs w:val="24"/>
        </w:rPr>
      </w:pPr>
      <w:r>
        <w:rPr>
          <w:rFonts w:hint="eastAsia" w:ascii="宋体" w:hAnsi="宋体" w:cs="宋体"/>
          <w:sz w:val="24"/>
          <w:szCs w:val="24"/>
        </w:rPr>
        <w:t>1.3供应商为自然人的，质疑函应当由本人签字；供应商为法人或者其他组织的，质疑函应当由法定代表人、主要负责人，或者其授权代表签字或者盖章，并加盖公章。</w:t>
      </w:r>
    </w:p>
    <w:p w14:paraId="5C375962">
      <w:pPr>
        <w:spacing w:line="400" w:lineRule="exact"/>
        <w:ind w:firstLine="480" w:firstLineChars="200"/>
        <w:rPr>
          <w:rFonts w:ascii="宋体" w:hAnsi="宋体" w:cs="宋体"/>
          <w:sz w:val="24"/>
          <w:szCs w:val="24"/>
        </w:rPr>
      </w:pPr>
      <w:r>
        <w:rPr>
          <w:rFonts w:hint="eastAsia" w:ascii="宋体" w:hAnsi="宋体" w:cs="宋体"/>
          <w:sz w:val="24"/>
          <w:szCs w:val="24"/>
        </w:rPr>
        <w:t>2.质疑答复</w:t>
      </w:r>
    </w:p>
    <w:p w14:paraId="2CC73B01">
      <w:pPr>
        <w:spacing w:line="400" w:lineRule="exact"/>
        <w:ind w:firstLine="480" w:firstLineChars="200"/>
        <w:rPr>
          <w:rFonts w:ascii="宋体" w:hAnsi="宋体" w:cs="宋体"/>
          <w:sz w:val="24"/>
          <w:szCs w:val="24"/>
        </w:rPr>
      </w:pPr>
      <w:r>
        <w:rPr>
          <w:rFonts w:hint="eastAsia" w:ascii="宋体" w:hAnsi="宋体" w:cs="宋体"/>
          <w:sz w:val="24"/>
          <w:szCs w:val="24"/>
        </w:rPr>
        <w:t>采购人、采购代理机构应当在收到供应商的书面质疑后七个工作日内作出答复，并以书面形式通知质疑供应商和其他有关供应商。</w:t>
      </w:r>
    </w:p>
    <w:p w14:paraId="507E4746">
      <w:pPr>
        <w:spacing w:line="400" w:lineRule="exact"/>
        <w:ind w:firstLine="480" w:firstLineChars="200"/>
        <w:rPr>
          <w:rFonts w:ascii="宋体" w:hAnsi="宋体" w:cs="宋体"/>
          <w:sz w:val="24"/>
          <w:szCs w:val="24"/>
        </w:rPr>
      </w:pPr>
      <w:r>
        <w:rPr>
          <w:rFonts w:hint="eastAsia" w:ascii="宋体" w:hAnsi="宋体" w:cs="宋体"/>
          <w:sz w:val="24"/>
          <w:szCs w:val="24"/>
        </w:rPr>
        <w:t>3.其他</w:t>
      </w:r>
    </w:p>
    <w:p w14:paraId="1EBABD79">
      <w:pPr>
        <w:spacing w:line="400" w:lineRule="exact"/>
        <w:ind w:firstLine="480" w:firstLineChars="200"/>
        <w:rPr>
          <w:rFonts w:ascii="宋体" w:hAnsi="宋体" w:cs="宋体"/>
          <w:sz w:val="24"/>
          <w:szCs w:val="24"/>
        </w:rPr>
      </w:pPr>
      <w:r>
        <w:rPr>
          <w:rFonts w:hint="eastAsia" w:ascii="宋体" w:hAnsi="宋体" w:cs="宋体"/>
          <w:sz w:val="24"/>
          <w:szCs w:val="24"/>
        </w:rPr>
        <w:t>3.1供应商应按照《政府采购质疑和投诉办法》（财政部令第94号）及相关法律法规要求，在法定质疑期内一次性提出针对同一采购程序环节的质疑。</w:t>
      </w:r>
    </w:p>
    <w:p w14:paraId="62441DF3">
      <w:pPr>
        <w:spacing w:line="400" w:lineRule="exact"/>
        <w:ind w:firstLine="480" w:firstLineChars="200"/>
        <w:rPr>
          <w:rFonts w:ascii="宋体" w:hAnsi="宋体" w:cs="宋体"/>
          <w:sz w:val="24"/>
          <w:szCs w:val="24"/>
        </w:rPr>
      </w:pPr>
      <w:r>
        <w:rPr>
          <w:rFonts w:hint="eastAsia" w:ascii="宋体" w:hAnsi="宋体" w:cs="宋体"/>
          <w:sz w:val="24"/>
          <w:szCs w:val="24"/>
        </w:rPr>
        <w:t>3.2质疑函范本可在财政部门户网站和中国政府采购网下载。</w:t>
      </w:r>
    </w:p>
    <w:p w14:paraId="3FC7196B">
      <w:pPr>
        <w:spacing w:line="400" w:lineRule="exact"/>
        <w:ind w:firstLine="480" w:firstLineChars="200"/>
        <w:outlineLvl w:val="2"/>
        <w:rPr>
          <w:rFonts w:ascii="宋体" w:hAnsi="宋体" w:cs="宋体"/>
          <w:sz w:val="24"/>
          <w:szCs w:val="24"/>
        </w:rPr>
      </w:pPr>
      <w:r>
        <w:rPr>
          <w:rFonts w:hint="eastAsia" w:ascii="宋体" w:hAnsi="宋体" w:cs="宋体"/>
          <w:sz w:val="24"/>
          <w:szCs w:val="24"/>
        </w:rPr>
        <w:t>（二）投诉</w:t>
      </w:r>
    </w:p>
    <w:p w14:paraId="36509037">
      <w:pPr>
        <w:spacing w:line="400" w:lineRule="exact"/>
        <w:ind w:firstLine="480" w:firstLineChars="200"/>
        <w:rPr>
          <w:rFonts w:ascii="宋体" w:hAnsi="宋体" w:cs="宋体"/>
          <w:sz w:val="24"/>
          <w:szCs w:val="24"/>
        </w:rPr>
      </w:pPr>
      <w:r>
        <w:rPr>
          <w:rFonts w:hint="eastAsia" w:ascii="宋体" w:hAnsi="宋体" w:cs="宋体"/>
          <w:sz w:val="24"/>
          <w:szCs w:val="24"/>
        </w:rPr>
        <w:t>1.供应商对采购人、采购代理机构的答复不满意，或者采购人、采购代理机构未在规定时间内作出答复的，可以在答复期满后15个工作日内按照相关法律法规向财政部门提起投诉。</w:t>
      </w:r>
    </w:p>
    <w:p w14:paraId="009AD521">
      <w:pPr>
        <w:spacing w:line="400" w:lineRule="exact"/>
        <w:ind w:firstLine="480" w:firstLineChars="200"/>
        <w:rPr>
          <w:rFonts w:ascii="宋体" w:hAnsi="宋体" w:cs="宋体"/>
          <w:sz w:val="24"/>
          <w:szCs w:val="24"/>
        </w:rPr>
      </w:pPr>
      <w:r>
        <w:rPr>
          <w:rFonts w:hint="eastAsia" w:ascii="宋体" w:hAnsi="宋体" w:cs="宋体"/>
          <w:sz w:val="24"/>
          <w:szCs w:val="24"/>
        </w:rPr>
        <w:t>2.供应商应按照《政府采购质疑和投诉办法》（财政部令第94号）及相关法律法规要求递交投诉书和必要的证明材料。投诉书范本可在财政部门户网站和中国政府采购网下载。</w:t>
      </w:r>
    </w:p>
    <w:p w14:paraId="1FB38F06">
      <w:pPr>
        <w:spacing w:line="400" w:lineRule="exact"/>
        <w:ind w:firstLine="480" w:firstLineChars="200"/>
        <w:rPr>
          <w:rFonts w:ascii="宋体" w:hAnsi="宋体" w:cs="宋体"/>
          <w:sz w:val="24"/>
          <w:szCs w:val="24"/>
        </w:rPr>
      </w:pPr>
      <w:r>
        <w:rPr>
          <w:rFonts w:hint="eastAsia" w:ascii="宋体" w:hAnsi="宋体" w:cs="宋体"/>
          <w:sz w:val="24"/>
          <w:szCs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750D8411">
      <w:pPr>
        <w:spacing w:line="400" w:lineRule="exact"/>
        <w:ind w:firstLine="480" w:firstLineChars="200"/>
        <w:rPr>
          <w:rFonts w:ascii="宋体" w:hAnsi="宋体" w:cs="宋体"/>
          <w:sz w:val="24"/>
          <w:szCs w:val="24"/>
        </w:rPr>
      </w:pPr>
      <w:r>
        <w:rPr>
          <w:rFonts w:hint="eastAsia" w:ascii="宋体" w:hAnsi="宋体" w:cs="宋体"/>
          <w:sz w:val="24"/>
          <w:szCs w:val="24"/>
        </w:rPr>
        <w:t>4.在确定受理投诉后，财政部门自受理投诉之日起30个工作日内（需要检验、检测、鉴定、专家评审以及需要投诉人补正材料的，所需时间不计算在投诉处理期限内）对投诉事项做出处理决定。</w:t>
      </w:r>
    </w:p>
    <w:p w14:paraId="321A60BD">
      <w:pPr>
        <w:pStyle w:val="3"/>
        <w:adjustRightInd w:val="0"/>
        <w:snapToGrid w:val="0"/>
        <w:spacing w:line="240" w:lineRule="auto"/>
        <w:jc w:val="left"/>
        <w:rPr>
          <w:rFonts w:ascii="宋体" w:hAnsi="宋体" w:eastAsia="宋体" w:cs="宋体"/>
          <w:sz w:val="24"/>
        </w:rPr>
      </w:pPr>
      <w:bookmarkStart w:id="490" w:name="_Toc17008"/>
      <w:bookmarkStart w:id="491" w:name="_Toc211850963"/>
      <w:bookmarkStart w:id="492" w:name="_Toc5298"/>
      <w:bookmarkStart w:id="493" w:name="_Toc5126"/>
      <w:bookmarkStart w:id="494" w:name="_Toc37"/>
      <w:bookmarkStart w:id="495" w:name="_Toc7579"/>
      <w:bookmarkStart w:id="496" w:name="_Toc7063"/>
      <w:bookmarkStart w:id="497" w:name="_Toc1476"/>
      <w:bookmarkStart w:id="498" w:name="_Toc16867"/>
      <w:bookmarkStart w:id="499" w:name="_Toc32060"/>
      <w:bookmarkStart w:id="500" w:name="_Toc76462344"/>
      <w:bookmarkStart w:id="501" w:name="_Toc23425"/>
      <w:bookmarkStart w:id="502" w:name="_Toc29676"/>
      <w:bookmarkStart w:id="503" w:name="_Toc27516"/>
      <w:bookmarkStart w:id="504" w:name="_Toc4053"/>
      <w:bookmarkStart w:id="505" w:name="_Toc3474"/>
      <w:bookmarkStart w:id="506" w:name="_Toc19423"/>
      <w:bookmarkStart w:id="507" w:name="_Toc371"/>
      <w:r>
        <w:rPr>
          <w:rFonts w:hint="eastAsia" w:ascii="宋体" w:hAnsi="宋体" w:eastAsia="宋体" w:cs="宋体"/>
          <w:sz w:val="24"/>
        </w:rPr>
        <w:t>七、采购代理服务费</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35BAD33D">
      <w:pPr>
        <w:spacing w:line="400" w:lineRule="exact"/>
        <w:ind w:firstLine="480" w:firstLineChars="200"/>
        <w:rPr>
          <w:rFonts w:ascii="宋体" w:hAnsi="宋体" w:cs="宋体"/>
          <w:b/>
          <w:sz w:val="24"/>
        </w:rPr>
      </w:pPr>
      <w:bookmarkStart w:id="508" w:name="OLE_LINK8"/>
      <w:bookmarkStart w:id="509" w:name="OLE_LINK7"/>
      <w:r>
        <w:rPr>
          <w:rFonts w:hint="eastAsia" w:ascii="宋体" w:hAnsi="宋体" w:cs="宋体"/>
          <w:sz w:val="24"/>
        </w:rPr>
        <w:t>（一）供应商成交后向采购代理机构缴纳</w:t>
      </w:r>
      <w:r>
        <w:rPr>
          <w:rFonts w:hint="eastAsia" w:ascii="宋体" w:hAnsi="宋体" w:cs="宋体"/>
          <w:sz w:val="24"/>
          <w:szCs w:val="24"/>
        </w:rPr>
        <w:t>采购</w:t>
      </w:r>
      <w:r>
        <w:rPr>
          <w:rFonts w:hint="eastAsia" w:ascii="宋体" w:hAnsi="宋体" w:cs="宋体"/>
          <w:sz w:val="24"/>
        </w:rPr>
        <w:t>代理服务费，</w:t>
      </w:r>
      <w:r>
        <w:rPr>
          <w:rFonts w:hint="eastAsia" w:ascii="宋体" w:hAnsi="宋体" w:cs="宋体"/>
          <w:sz w:val="24"/>
          <w:szCs w:val="24"/>
        </w:rPr>
        <w:t>采购</w:t>
      </w:r>
      <w:r>
        <w:rPr>
          <w:rFonts w:hint="eastAsia" w:ascii="宋体" w:hAnsi="宋体" w:cs="宋体"/>
          <w:sz w:val="24"/>
        </w:rPr>
        <w:t>代理服务费的收取标准按照以下标准执行:</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0"/>
        <w:gridCol w:w="2273"/>
        <w:gridCol w:w="2273"/>
        <w:gridCol w:w="2272"/>
      </w:tblGrid>
      <w:tr w14:paraId="741F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2810" w:type="dxa"/>
            <w:tcBorders>
              <w:tl2br w:val="single" w:color="auto" w:sz="4" w:space="0"/>
            </w:tcBorders>
            <w:noWrap/>
          </w:tcPr>
          <w:p w14:paraId="1A9766D5">
            <w:pPr>
              <w:jc w:val="right"/>
              <w:rPr>
                <w:rFonts w:ascii="宋体" w:hAnsi="宋体" w:cs="宋体"/>
                <w:sz w:val="21"/>
                <w:szCs w:val="21"/>
              </w:rPr>
            </w:pPr>
            <w:r>
              <w:rPr>
                <w:rFonts w:hint="eastAsia" w:ascii="宋体" w:hAnsi="宋体" w:cs="宋体"/>
                <w:sz w:val="21"/>
                <w:szCs w:val="21"/>
              </w:rPr>
              <w:t>采购</w:t>
            </w:r>
            <w:r>
              <w:rPr>
                <w:rFonts w:ascii="宋体" w:hAnsi="宋体" w:cs="宋体"/>
                <w:sz w:val="21"/>
                <w:szCs w:val="21"/>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635"/>
                      <wp:effectExtent l="0" t="0" r="0" b="0"/>
                      <wp:wrapNone/>
                      <wp:docPr id="1" name="直接连接符 1"/>
                      <wp:cNvGraphicFramePr/>
                      <a:graphic xmlns:a="http://schemas.openxmlformats.org/drawingml/2006/main">
                        <a:graphicData uri="http://schemas.microsoft.com/office/word/2010/wordprocessingShape">
                          <wps:wsp>
                            <wps:cNvCnPr/>
                            <wps:spPr>
                              <a:xfrm>
                                <a:off x="0" y="0"/>
                                <a:ext cx="635" cy="63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9pt;margin-top:-0.5pt;height:0.05pt;width:0.05pt;z-index:251659264;mso-width-relative:page;mso-height-relative:page;" filled="f" stroked="t" coordsize="21600,21600" o:allowincell="f" o:gfxdata="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Xz75g9YAAAAIAQAADwAAAAAAAAABACAAAAAiAAAAZHJzL2Rvd25yZXYueG1sUEsBAhQA&#10;FAAAAAgAh07iQG+brXX0AQAA8AMAAA4AAAAAAAAAAQAgAAAAJQEAAGRycy9lMm9Eb2MueG1sUEsF&#10;BgAAAAAGAAYAWQEAAIsFAAAAAA==&#10;">
                      <v:fill on="f" focussize="0,0"/>
                      <v:stroke color="#000000" joinstyle="round"/>
                      <v:imagedata o:title=""/>
                      <o:lock v:ext="edit" aspectratio="f"/>
                    </v:line>
                  </w:pict>
                </mc:Fallback>
              </mc:AlternateContent>
            </w:r>
            <w:r>
              <w:rPr>
                <w:rFonts w:hint="eastAsia" w:ascii="宋体" w:hAnsi="宋体" w:cs="宋体"/>
                <w:sz w:val="21"/>
                <w:szCs w:val="21"/>
              </w:rPr>
              <w:t>类型</w:t>
            </w:r>
          </w:p>
          <w:p w14:paraId="4957EF81">
            <w:pPr>
              <w:rPr>
                <w:rFonts w:ascii="宋体" w:hAnsi="宋体" w:cs="宋体"/>
                <w:sz w:val="21"/>
                <w:szCs w:val="21"/>
              </w:rPr>
            </w:pPr>
            <w:r>
              <w:rPr>
                <w:rFonts w:hint="eastAsia" w:ascii="宋体" w:hAnsi="宋体" w:cs="宋体"/>
                <w:sz w:val="21"/>
                <w:szCs w:val="21"/>
              </w:rPr>
              <w:t>成交金额（万元）</w:t>
            </w:r>
          </w:p>
        </w:tc>
        <w:tc>
          <w:tcPr>
            <w:tcW w:w="2273" w:type="dxa"/>
            <w:noWrap/>
            <w:vAlign w:val="center"/>
          </w:tcPr>
          <w:p w14:paraId="463C98F9">
            <w:pPr>
              <w:jc w:val="center"/>
              <w:rPr>
                <w:rFonts w:ascii="宋体" w:hAnsi="宋体" w:cs="宋体"/>
                <w:sz w:val="21"/>
                <w:szCs w:val="21"/>
              </w:rPr>
            </w:pPr>
            <w:r>
              <w:rPr>
                <w:rFonts w:hint="eastAsia" w:ascii="宋体" w:hAnsi="宋体" w:cs="宋体"/>
                <w:sz w:val="21"/>
                <w:szCs w:val="21"/>
              </w:rPr>
              <w:t>货物采购</w:t>
            </w:r>
          </w:p>
        </w:tc>
        <w:tc>
          <w:tcPr>
            <w:tcW w:w="2273" w:type="dxa"/>
            <w:noWrap/>
            <w:vAlign w:val="center"/>
          </w:tcPr>
          <w:p w14:paraId="1BFE5F51">
            <w:pPr>
              <w:jc w:val="center"/>
              <w:rPr>
                <w:rFonts w:ascii="宋体" w:hAnsi="宋体" w:cs="宋体"/>
                <w:sz w:val="21"/>
                <w:szCs w:val="21"/>
              </w:rPr>
            </w:pPr>
            <w:r>
              <w:rPr>
                <w:rFonts w:hint="eastAsia" w:ascii="宋体" w:hAnsi="宋体" w:cs="宋体"/>
                <w:sz w:val="21"/>
                <w:szCs w:val="21"/>
              </w:rPr>
              <w:t>服务采购</w:t>
            </w:r>
          </w:p>
        </w:tc>
        <w:tc>
          <w:tcPr>
            <w:tcW w:w="2272" w:type="dxa"/>
            <w:noWrap/>
            <w:vAlign w:val="center"/>
          </w:tcPr>
          <w:p w14:paraId="5D141CAB">
            <w:pPr>
              <w:pStyle w:val="19"/>
              <w:widowControl w:val="0"/>
              <w:pBdr>
                <w:left w:val="none" w:color="auto" w:sz="0" w:space="0"/>
                <w:right w:val="none" w:color="auto" w:sz="0" w:space="0"/>
              </w:pBdr>
              <w:spacing w:beforeAutospacing="0" w:afterAutospacing="0"/>
              <w:rPr>
                <w:rFonts w:cs="宋体"/>
                <w:kern w:val="2"/>
                <w:sz w:val="21"/>
                <w:szCs w:val="21"/>
              </w:rPr>
            </w:pPr>
            <w:r>
              <w:rPr>
                <w:rFonts w:hint="eastAsia" w:cs="宋体"/>
                <w:kern w:val="2"/>
                <w:sz w:val="21"/>
                <w:szCs w:val="21"/>
              </w:rPr>
              <w:t>工程</w:t>
            </w:r>
            <w:r>
              <w:rPr>
                <w:rFonts w:hint="eastAsia" w:cs="宋体"/>
                <w:sz w:val="21"/>
                <w:szCs w:val="21"/>
              </w:rPr>
              <w:t>采购</w:t>
            </w:r>
          </w:p>
        </w:tc>
      </w:tr>
      <w:tr w14:paraId="7E667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0C9218DF">
            <w:pPr>
              <w:jc w:val="center"/>
              <w:rPr>
                <w:rFonts w:ascii="宋体" w:hAnsi="宋体" w:cs="宋体"/>
                <w:sz w:val="21"/>
                <w:szCs w:val="21"/>
              </w:rPr>
            </w:pPr>
            <w:r>
              <w:rPr>
                <w:rFonts w:hint="eastAsia" w:ascii="宋体" w:hAnsi="宋体" w:cs="宋体"/>
                <w:sz w:val="21"/>
                <w:szCs w:val="21"/>
              </w:rPr>
              <w:t>100以下</w:t>
            </w:r>
          </w:p>
        </w:tc>
        <w:tc>
          <w:tcPr>
            <w:tcW w:w="2273" w:type="dxa"/>
            <w:noWrap/>
            <w:vAlign w:val="center"/>
          </w:tcPr>
          <w:p w14:paraId="530B89EB">
            <w:pPr>
              <w:jc w:val="center"/>
              <w:rPr>
                <w:rFonts w:ascii="宋体" w:hAnsi="宋体" w:cs="宋体"/>
                <w:sz w:val="21"/>
                <w:szCs w:val="21"/>
              </w:rPr>
            </w:pPr>
            <w:r>
              <w:rPr>
                <w:rFonts w:hint="eastAsia" w:ascii="宋体" w:hAnsi="宋体" w:cs="宋体"/>
                <w:sz w:val="21"/>
                <w:szCs w:val="21"/>
              </w:rPr>
              <w:t>1.5%</w:t>
            </w:r>
          </w:p>
        </w:tc>
        <w:tc>
          <w:tcPr>
            <w:tcW w:w="2273" w:type="dxa"/>
            <w:noWrap/>
            <w:vAlign w:val="center"/>
          </w:tcPr>
          <w:p w14:paraId="0D97BC3C">
            <w:pPr>
              <w:jc w:val="center"/>
              <w:rPr>
                <w:rFonts w:ascii="宋体" w:hAnsi="宋体" w:cs="宋体"/>
                <w:sz w:val="21"/>
                <w:szCs w:val="21"/>
              </w:rPr>
            </w:pPr>
            <w:r>
              <w:rPr>
                <w:rFonts w:hint="eastAsia" w:ascii="宋体" w:hAnsi="宋体" w:cs="宋体"/>
                <w:sz w:val="21"/>
                <w:szCs w:val="21"/>
              </w:rPr>
              <w:t>1.5%</w:t>
            </w:r>
          </w:p>
        </w:tc>
        <w:tc>
          <w:tcPr>
            <w:tcW w:w="2272" w:type="dxa"/>
            <w:noWrap/>
            <w:vAlign w:val="center"/>
          </w:tcPr>
          <w:p w14:paraId="71447787">
            <w:pPr>
              <w:jc w:val="center"/>
              <w:rPr>
                <w:rFonts w:ascii="宋体" w:hAnsi="宋体" w:cs="宋体"/>
                <w:sz w:val="21"/>
                <w:szCs w:val="21"/>
              </w:rPr>
            </w:pPr>
            <w:r>
              <w:rPr>
                <w:rFonts w:hint="eastAsia" w:ascii="宋体" w:hAnsi="宋体" w:cs="宋体"/>
                <w:sz w:val="21"/>
                <w:szCs w:val="21"/>
              </w:rPr>
              <w:t>1.0%</w:t>
            </w:r>
          </w:p>
        </w:tc>
      </w:tr>
      <w:tr w14:paraId="70DB6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28312D35">
            <w:pPr>
              <w:jc w:val="center"/>
              <w:rPr>
                <w:rFonts w:ascii="宋体" w:hAnsi="宋体" w:cs="宋体"/>
                <w:sz w:val="21"/>
                <w:szCs w:val="21"/>
              </w:rPr>
            </w:pPr>
            <w:r>
              <w:rPr>
                <w:rFonts w:hint="eastAsia" w:ascii="宋体" w:hAnsi="宋体" w:cs="宋体"/>
                <w:sz w:val="21"/>
                <w:szCs w:val="21"/>
              </w:rPr>
              <w:t>100-200</w:t>
            </w:r>
          </w:p>
        </w:tc>
        <w:tc>
          <w:tcPr>
            <w:tcW w:w="2273" w:type="dxa"/>
            <w:noWrap/>
            <w:vAlign w:val="center"/>
          </w:tcPr>
          <w:p w14:paraId="13C6CA06">
            <w:pPr>
              <w:jc w:val="center"/>
              <w:rPr>
                <w:rFonts w:ascii="宋体" w:hAnsi="宋体" w:cs="宋体"/>
                <w:sz w:val="21"/>
                <w:szCs w:val="21"/>
              </w:rPr>
            </w:pPr>
            <w:r>
              <w:rPr>
                <w:rFonts w:hint="eastAsia" w:ascii="宋体" w:hAnsi="宋体" w:cs="宋体"/>
                <w:sz w:val="21"/>
                <w:szCs w:val="21"/>
              </w:rPr>
              <w:t>1.1%</w:t>
            </w:r>
          </w:p>
        </w:tc>
        <w:tc>
          <w:tcPr>
            <w:tcW w:w="2273" w:type="dxa"/>
            <w:noWrap/>
            <w:vAlign w:val="center"/>
          </w:tcPr>
          <w:p w14:paraId="56FAF426">
            <w:pPr>
              <w:jc w:val="center"/>
              <w:rPr>
                <w:rFonts w:ascii="宋体" w:hAnsi="宋体" w:cs="宋体"/>
                <w:sz w:val="21"/>
                <w:szCs w:val="21"/>
              </w:rPr>
            </w:pPr>
            <w:r>
              <w:rPr>
                <w:rFonts w:hint="eastAsia" w:ascii="宋体" w:hAnsi="宋体" w:cs="宋体"/>
                <w:sz w:val="21"/>
                <w:szCs w:val="21"/>
              </w:rPr>
              <w:t>0.8%</w:t>
            </w:r>
          </w:p>
        </w:tc>
        <w:tc>
          <w:tcPr>
            <w:tcW w:w="2272" w:type="dxa"/>
            <w:noWrap/>
            <w:vAlign w:val="center"/>
          </w:tcPr>
          <w:p w14:paraId="04068BAF">
            <w:pPr>
              <w:jc w:val="center"/>
              <w:rPr>
                <w:rFonts w:ascii="宋体" w:hAnsi="宋体" w:cs="宋体"/>
                <w:sz w:val="21"/>
                <w:szCs w:val="21"/>
              </w:rPr>
            </w:pPr>
            <w:r>
              <w:rPr>
                <w:rFonts w:hint="eastAsia" w:ascii="宋体" w:hAnsi="宋体" w:cs="宋体"/>
                <w:sz w:val="21"/>
                <w:szCs w:val="21"/>
              </w:rPr>
              <w:t>0.7%</w:t>
            </w:r>
          </w:p>
        </w:tc>
      </w:tr>
      <w:tr w14:paraId="65E64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3893CA49">
            <w:pPr>
              <w:jc w:val="center"/>
              <w:rPr>
                <w:rFonts w:ascii="宋体" w:hAnsi="宋体" w:cs="宋体"/>
                <w:sz w:val="21"/>
                <w:szCs w:val="21"/>
              </w:rPr>
            </w:pPr>
            <w:r>
              <w:rPr>
                <w:rFonts w:hint="eastAsia" w:ascii="宋体" w:hAnsi="宋体" w:cs="宋体"/>
                <w:sz w:val="21"/>
                <w:szCs w:val="21"/>
              </w:rPr>
              <w:t>200-500</w:t>
            </w:r>
          </w:p>
        </w:tc>
        <w:tc>
          <w:tcPr>
            <w:tcW w:w="2273" w:type="dxa"/>
            <w:noWrap/>
            <w:vAlign w:val="center"/>
          </w:tcPr>
          <w:p w14:paraId="24B01E41">
            <w:pPr>
              <w:jc w:val="center"/>
              <w:rPr>
                <w:rFonts w:ascii="宋体" w:hAnsi="宋体" w:cs="宋体"/>
                <w:sz w:val="21"/>
                <w:szCs w:val="21"/>
              </w:rPr>
            </w:pPr>
            <w:r>
              <w:rPr>
                <w:rFonts w:hint="eastAsia" w:ascii="宋体" w:hAnsi="宋体" w:cs="宋体"/>
                <w:sz w:val="21"/>
                <w:szCs w:val="21"/>
              </w:rPr>
              <w:t>1.08%</w:t>
            </w:r>
          </w:p>
        </w:tc>
        <w:tc>
          <w:tcPr>
            <w:tcW w:w="2273" w:type="dxa"/>
            <w:noWrap/>
            <w:vAlign w:val="center"/>
          </w:tcPr>
          <w:p w14:paraId="4DDFBA9B">
            <w:pPr>
              <w:jc w:val="center"/>
              <w:rPr>
                <w:rFonts w:ascii="宋体" w:hAnsi="宋体" w:cs="宋体"/>
                <w:sz w:val="21"/>
                <w:szCs w:val="21"/>
              </w:rPr>
            </w:pPr>
            <w:r>
              <w:rPr>
                <w:rFonts w:hint="eastAsia" w:ascii="宋体" w:hAnsi="宋体" w:cs="宋体"/>
                <w:sz w:val="21"/>
                <w:szCs w:val="21"/>
              </w:rPr>
              <w:t>0.78%</w:t>
            </w:r>
          </w:p>
        </w:tc>
        <w:tc>
          <w:tcPr>
            <w:tcW w:w="2272" w:type="dxa"/>
            <w:noWrap/>
            <w:vAlign w:val="center"/>
          </w:tcPr>
          <w:p w14:paraId="2907F8C8">
            <w:pPr>
              <w:jc w:val="center"/>
              <w:rPr>
                <w:rFonts w:ascii="宋体" w:hAnsi="宋体" w:cs="宋体"/>
                <w:sz w:val="21"/>
                <w:szCs w:val="21"/>
              </w:rPr>
            </w:pPr>
            <w:r>
              <w:rPr>
                <w:rFonts w:hint="eastAsia" w:ascii="宋体" w:hAnsi="宋体" w:cs="宋体"/>
                <w:sz w:val="21"/>
                <w:szCs w:val="21"/>
              </w:rPr>
              <w:t>0.69%</w:t>
            </w:r>
          </w:p>
        </w:tc>
      </w:tr>
      <w:tr w14:paraId="2B127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481110AD">
            <w:pPr>
              <w:jc w:val="center"/>
              <w:rPr>
                <w:rFonts w:ascii="宋体" w:hAnsi="宋体" w:cs="宋体"/>
                <w:sz w:val="21"/>
                <w:szCs w:val="21"/>
              </w:rPr>
            </w:pPr>
            <w:r>
              <w:rPr>
                <w:rFonts w:hint="eastAsia" w:ascii="宋体" w:hAnsi="宋体" w:cs="宋体"/>
                <w:sz w:val="21"/>
                <w:szCs w:val="21"/>
              </w:rPr>
              <w:t>500-1000</w:t>
            </w:r>
          </w:p>
        </w:tc>
        <w:tc>
          <w:tcPr>
            <w:tcW w:w="2273" w:type="dxa"/>
            <w:noWrap/>
            <w:vAlign w:val="center"/>
          </w:tcPr>
          <w:p w14:paraId="1D8E4DFC">
            <w:pPr>
              <w:jc w:val="center"/>
              <w:rPr>
                <w:rFonts w:ascii="宋体" w:hAnsi="宋体" w:cs="宋体"/>
                <w:sz w:val="21"/>
                <w:szCs w:val="21"/>
              </w:rPr>
            </w:pPr>
            <w:r>
              <w:rPr>
                <w:rFonts w:hint="eastAsia" w:ascii="宋体" w:hAnsi="宋体" w:cs="宋体"/>
                <w:sz w:val="21"/>
                <w:szCs w:val="21"/>
              </w:rPr>
              <w:t>0.76%</w:t>
            </w:r>
          </w:p>
        </w:tc>
        <w:tc>
          <w:tcPr>
            <w:tcW w:w="2273" w:type="dxa"/>
            <w:noWrap/>
            <w:vAlign w:val="center"/>
          </w:tcPr>
          <w:p w14:paraId="070303E5">
            <w:pPr>
              <w:jc w:val="center"/>
              <w:rPr>
                <w:rFonts w:ascii="宋体" w:hAnsi="宋体" w:cs="宋体"/>
                <w:sz w:val="21"/>
                <w:szCs w:val="21"/>
              </w:rPr>
            </w:pPr>
            <w:r>
              <w:rPr>
                <w:rFonts w:hint="eastAsia" w:ascii="宋体" w:hAnsi="宋体" w:cs="宋体"/>
                <w:sz w:val="21"/>
                <w:szCs w:val="21"/>
              </w:rPr>
              <w:t>0.43%</w:t>
            </w:r>
          </w:p>
        </w:tc>
        <w:tc>
          <w:tcPr>
            <w:tcW w:w="2272" w:type="dxa"/>
            <w:noWrap/>
            <w:vAlign w:val="center"/>
          </w:tcPr>
          <w:p w14:paraId="5D94D080">
            <w:pPr>
              <w:jc w:val="center"/>
              <w:rPr>
                <w:rFonts w:ascii="宋体" w:hAnsi="宋体" w:cs="宋体"/>
                <w:sz w:val="21"/>
                <w:szCs w:val="21"/>
              </w:rPr>
            </w:pPr>
            <w:r>
              <w:rPr>
                <w:rFonts w:hint="eastAsia" w:ascii="宋体" w:hAnsi="宋体" w:cs="宋体"/>
                <w:sz w:val="21"/>
                <w:szCs w:val="21"/>
              </w:rPr>
              <w:t>0.52%</w:t>
            </w:r>
          </w:p>
        </w:tc>
      </w:tr>
      <w:tr w14:paraId="4F65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79F37FDA">
            <w:pPr>
              <w:jc w:val="center"/>
              <w:rPr>
                <w:rFonts w:ascii="宋体" w:hAnsi="宋体" w:cs="宋体"/>
                <w:sz w:val="21"/>
                <w:szCs w:val="21"/>
              </w:rPr>
            </w:pPr>
            <w:r>
              <w:rPr>
                <w:rFonts w:hint="eastAsia" w:ascii="宋体" w:hAnsi="宋体" w:cs="宋体"/>
                <w:sz w:val="21"/>
                <w:szCs w:val="21"/>
              </w:rPr>
              <w:t>1000-5000</w:t>
            </w:r>
          </w:p>
        </w:tc>
        <w:tc>
          <w:tcPr>
            <w:tcW w:w="2273" w:type="dxa"/>
            <w:noWrap/>
            <w:vAlign w:val="center"/>
          </w:tcPr>
          <w:p w14:paraId="0D06C74E">
            <w:pPr>
              <w:jc w:val="center"/>
              <w:rPr>
                <w:rFonts w:ascii="宋体" w:hAnsi="宋体" w:cs="宋体"/>
                <w:sz w:val="21"/>
                <w:szCs w:val="21"/>
              </w:rPr>
            </w:pPr>
            <w:r>
              <w:rPr>
                <w:rFonts w:hint="eastAsia" w:ascii="宋体" w:hAnsi="宋体" w:cs="宋体"/>
                <w:sz w:val="21"/>
                <w:szCs w:val="21"/>
              </w:rPr>
              <w:t>0.45%</w:t>
            </w:r>
          </w:p>
        </w:tc>
        <w:tc>
          <w:tcPr>
            <w:tcW w:w="2273" w:type="dxa"/>
            <w:noWrap/>
            <w:vAlign w:val="center"/>
          </w:tcPr>
          <w:p w14:paraId="43D1AF31">
            <w:pPr>
              <w:jc w:val="center"/>
              <w:rPr>
                <w:rFonts w:ascii="宋体" w:hAnsi="宋体" w:cs="宋体"/>
                <w:sz w:val="21"/>
                <w:szCs w:val="21"/>
              </w:rPr>
            </w:pPr>
            <w:r>
              <w:rPr>
                <w:rFonts w:hint="eastAsia" w:ascii="宋体" w:hAnsi="宋体" w:cs="宋体"/>
                <w:sz w:val="21"/>
                <w:szCs w:val="21"/>
              </w:rPr>
              <w:t>0.23%</w:t>
            </w:r>
          </w:p>
        </w:tc>
        <w:tc>
          <w:tcPr>
            <w:tcW w:w="2272" w:type="dxa"/>
            <w:noWrap/>
            <w:vAlign w:val="center"/>
          </w:tcPr>
          <w:p w14:paraId="4242F09C">
            <w:pPr>
              <w:jc w:val="center"/>
              <w:rPr>
                <w:rFonts w:ascii="宋体" w:hAnsi="宋体" w:cs="宋体"/>
                <w:sz w:val="21"/>
                <w:szCs w:val="21"/>
              </w:rPr>
            </w:pPr>
            <w:r>
              <w:rPr>
                <w:rFonts w:hint="eastAsia" w:ascii="宋体" w:hAnsi="宋体" w:cs="宋体"/>
                <w:sz w:val="21"/>
                <w:szCs w:val="21"/>
              </w:rPr>
              <w:t>0.32%</w:t>
            </w:r>
          </w:p>
        </w:tc>
      </w:tr>
      <w:tr w14:paraId="174C9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24AA0A33">
            <w:pPr>
              <w:jc w:val="center"/>
              <w:rPr>
                <w:rFonts w:ascii="宋体" w:hAnsi="宋体" w:cs="宋体"/>
                <w:sz w:val="21"/>
                <w:szCs w:val="21"/>
              </w:rPr>
            </w:pPr>
            <w:r>
              <w:rPr>
                <w:rFonts w:hint="eastAsia" w:ascii="宋体" w:hAnsi="宋体" w:cs="宋体"/>
                <w:sz w:val="21"/>
                <w:szCs w:val="21"/>
              </w:rPr>
              <w:t>5000-10000</w:t>
            </w:r>
          </w:p>
        </w:tc>
        <w:tc>
          <w:tcPr>
            <w:tcW w:w="2273" w:type="dxa"/>
            <w:noWrap/>
            <w:vAlign w:val="center"/>
          </w:tcPr>
          <w:p w14:paraId="7F0DE4B6">
            <w:pPr>
              <w:jc w:val="center"/>
              <w:rPr>
                <w:rFonts w:ascii="宋体" w:hAnsi="宋体" w:cs="宋体"/>
                <w:sz w:val="21"/>
                <w:szCs w:val="21"/>
              </w:rPr>
            </w:pPr>
            <w:r>
              <w:rPr>
                <w:rFonts w:hint="eastAsia" w:ascii="宋体" w:hAnsi="宋体" w:cs="宋体"/>
                <w:sz w:val="21"/>
                <w:szCs w:val="21"/>
              </w:rPr>
              <w:t>0.23%</w:t>
            </w:r>
          </w:p>
        </w:tc>
        <w:tc>
          <w:tcPr>
            <w:tcW w:w="2273" w:type="dxa"/>
            <w:noWrap/>
            <w:vAlign w:val="center"/>
          </w:tcPr>
          <w:p w14:paraId="032EB6ED">
            <w:pPr>
              <w:jc w:val="center"/>
              <w:rPr>
                <w:rFonts w:ascii="宋体" w:hAnsi="宋体" w:cs="宋体"/>
                <w:sz w:val="21"/>
                <w:szCs w:val="21"/>
              </w:rPr>
            </w:pPr>
            <w:r>
              <w:rPr>
                <w:rFonts w:hint="eastAsia" w:ascii="宋体" w:hAnsi="宋体" w:cs="宋体"/>
                <w:sz w:val="21"/>
                <w:szCs w:val="21"/>
              </w:rPr>
              <w:t>0.09%</w:t>
            </w:r>
          </w:p>
        </w:tc>
        <w:tc>
          <w:tcPr>
            <w:tcW w:w="2272" w:type="dxa"/>
            <w:noWrap/>
            <w:vAlign w:val="center"/>
          </w:tcPr>
          <w:p w14:paraId="7E99E31C">
            <w:pPr>
              <w:jc w:val="center"/>
              <w:rPr>
                <w:rFonts w:ascii="宋体" w:hAnsi="宋体" w:cs="宋体"/>
                <w:sz w:val="21"/>
                <w:szCs w:val="21"/>
              </w:rPr>
            </w:pPr>
            <w:r>
              <w:rPr>
                <w:rFonts w:hint="eastAsia" w:ascii="宋体" w:hAnsi="宋体" w:cs="宋体"/>
                <w:sz w:val="21"/>
                <w:szCs w:val="21"/>
              </w:rPr>
              <w:t>0.18%</w:t>
            </w:r>
          </w:p>
        </w:tc>
      </w:tr>
      <w:tr w14:paraId="20D1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0AF2B3F7">
            <w:pPr>
              <w:jc w:val="center"/>
              <w:rPr>
                <w:rFonts w:ascii="宋体" w:hAnsi="宋体" w:cs="宋体"/>
                <w:sz w:val="21"/>
                <w:szCs w:val="21"/>
              </w:rPr>
            </w:pPr>
            <w:r>
              <w:rPr>
                <w:rFonts w:hint="eastAsia" w:ascii="宋体" w:hAnsi="宋体" w:cs="宋体"/>
                <w:sz w:val="21"/>
                <w:szCs w:val="21"/>
              </w:rPr>
              <w:t>10000-100000</w:t>
            </w:r>
          </w:p>
        </w:tc>
        <w:tc>
          <w:tcPr>
            <w:tcW w:w="2273" w:type="dxa"/>
            <w:noWrap/>
            <w:vAlign w:val="center"/>
          </w:tcPr>
          <w:p w14:paraId="04FAA0B1">
            <w:pPr>
              <w:jc w:val="center"/>
              <w:rPr>
                <w:rFonts w:ascii="宋体" w:hAnsi="宋体" w:cs="宋体"/>
                <w:sz w:val="21"/>
                <w:szCs w:val="21"/>
              </w:rPr>
            </w:pPr>
            <w:r>
              <w:rPr>
                <w:rFonts w:hint="eastAsia" w:ascii="宋体" w:hAnsi="宋体" w:cs="宋体"/>
                <w:sz w:val="21"/>
                <w:szCs w:val="21"/>
              </w:rPr>
              <w:t>0.045%</w:t>
            </w:r>
          </w:p>
        </w:tc>
        <w:tc>
          <w:tcPr>
            <w:tcW w:w="2273" w:type="dxa"/>
            <w:noWrap/>
            <w:vAlign w:val="center"/>
          </w:tcPr>
          <w:p w14:paraId="0C641D8A">
            <w:pPr>
              <w:jc w:val="center"/>
              <w:rPr>
                <w:rFonts w:ascii="宋体" w:hAnsi="宋体" w:cs="宋体"/>
                <w:sz w:val="21"/>
                <w:szCs w:val="21"/>
              </w:rPr>
            </w:pPr>
            <w:r>
              <w:rPr>
                <w:rFonts w:hint="eastAsia" w:ascii="宋体" w:hAnsi="宋体" w:cs="宋体"/>
                <w:sz w:val="21"/>
                <w:szCs w:val="21"/>
              </w:rPr>
              <w:t>0.045%</w:t>
            </w:r>
          </w:p>
        </w:tc>
        <w:tc>
          <w:tcPr>
            <w:tcW w:w="2272" w:type="dxa"/>
            <w:noWrap/>
            <w:vAlign w:val="center"/>
          </w:tcPr>
          <w:p w14:paraId="72582C47">
            <w:pPr>
              <w:jc w:val="center"/>
              <w:rPr>
                <w:rFonts w:ascii="宋体" w:hAnsi="宋体" w:cs="宋体"/>
                <w:sz w:val="21"/>
                <w:szCs w:val="21"/>
              </w:rPr>
            </w:pPr>
            <w:r>
              <w:rPr>
                <w:rFonts w:hint="eastAsia" w:ascii="宋体" w:hAnsi="宋体" w:cs="宋体"/>
                <w:sz w:val="21"/>
                <w:szCs w:val="21"/>
              </w:rPr>
              <w:t>0.045%</w:t>
            </w:r>
          </w:p>
        </w:tc>
      </w:tr>
      <w:tr w14:paraId="5196F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10" w:type="dxa"/>
            <w:noWrap/>
            <w:vAlign w:val="center"/>
          </w:tcPr>
          <w:p w14:paraId="155D7732">
            <w:pPr>
              <w:jc w:val="center"/>
              <w:rPr>
                <w:rFonts w:ascii="宋体" w:hAnsi="宋体" w:cs="宋体"/>
                <w:sz w:val="21"/>
                <w:szCs w:val="21"/>
              </w:rPr>
            </w:pPr>
            <w:r>
              <w:rPr>
                <w:rFonts w:hint="eastAsia" w:ascii="宋体" w:hAnsi="宋体" w:cs="宋体"/>
                <w:sz w:val="21"/>
                <w:szCs w:val="21"/>
              </w:rPr>
              <w:t>1000000以上</w:t>
            </w:r>
          </w:p>
        </w:tc>
        <w:tc>
          <w:tcPr>
            <w:tcW w:w="2273" w:type="dxa"/>
            <w:noWrap/>
            <w:vAlign w:val="center"/>
          </w:tcPr>
          <w:p w14:paraId="70017371">
            <w:pPr>
              <w:jc w:val="center"/>
              <w:rPr>
                <w:rFonts w:ascii="宋体" w:hAnsi="宋体" w:cs="宋体"/>
                <w:sz w:val="21"/>
                <w:szCs w:val="21"/>
              </w:rPr>
            </w:pPr>
            <w:r>
              <w:rPr>
                <w:rFonts w:hint="eastAsia" w:ascii="宋体" w:hAnsi="宋体" w:cs="宋体"/>
                <w:sz w:val="21"/>
                <w:szCs w:val="21"/>
              </w:rPr>
              <w:t>0.009%</w:t>
            </w:r>
          </w:p>
        </w:tc>
        <w:tc>
          <w:tcPr>
            <w:tcW w:w="2273" w:type="dxa"/>
            <w:noWrap/>
            <w:vAlign w:val="center"/>
          </w:tcPr>
          <w:p w14:paraId="50C7206A">
            <w:pPr>
              <w:jc w:val="center"/>
              <w:rPr>
                <w:rFonts w:ascii="宋体" w:hAnsi="宋体" w:cs="宋体"/>
                <w:sz w:val="21"/>
                <w:szCs w:val="21"/>
              </w:rPr>
            </w:pPr>
            <w:r>
              <w:rPr>
                <w:rFonts w:hint="eastAsia" w:ascii="宋体" w:hAnsi="宋体" w:cs="宋体"/>
                <w:sz w:val="21"/>
                <w:szCs w:val="21"/>
              </w:rPr>
              <w:t>0.009%</w:t>
            </w:r>
          </w:p>
        </w:tc>
        <w:tc>
          <w:tcPr>
            <w:tcW w:w="2272" w:type="dxa"/>
            <w:noWrap/>
            <w:vAlign w:val="center"/>
          </w:tcPr>
          <w:p w14:paraId="34545B6B">
            <w:pPr>
              <w:jc w:val="center"/>
              <w:rPr>
                <w:rFonts w:ascii="宋体" w:hAnsi="宋体" w:cs="宋体"/>
                <w:sz w:val="21"/>
                <w:szCs w:val="21"/>
              </w:rPr>
            </w:pPr>
            <w:r>
              <w:rPr>
                <w:rFonts w:hint="eastAsia" w:ascii="宋体" w:hAnsi="宋体" w:cs="宋体"/>
                <w:sz w:val="21"/>
                <w:szCs w:val="21"/>
              </w:rPr>
              <w:t>0.009%</w:t>
            </w:r>
          </w:p>
        </w:tc>
      </w:tr>
      <w:bookmarkEnd w:id="508"/>
      <w:bookmarkEnd w:id="509"/>
    </w:tbl>
    <w:p w14:paraId="3D2A31F9">
      <w:pPr>
        <w:spacing w:line="400" w:lineRule="exact"/>
        <w:ind w:firstLine="480" w:firstLineChars="200"/>
        <w:rPr>
          <w:rFonts w:ascii="宋体" w:hAnsi="宋体" w:cs="宋体"/>
          <w:sz w:val="24"/>
        </w:rPr>
      </w:pPr>
      <w:r>
        <w:rPr>
          <w:rFonts w:hint="eastAsia" w:ascii="宋体" w:hAnsi="宋体" w:cs="宋体"/>
          <w:sz w:val="24"/>
        </w:rPr>
        <w:t>注：代理服务收费按差额定率累进法计算。例如：某服务代理业务成交金额为500万元，计算代理服务收费额如下：</w:t>
      </w:r>
    </w:p>
    <w:p w14:paraId="0F133594">
      <w:pPr>
        <w:spacing w:line="400" w:lineRule="exact"/>
        <w:ind w:firstLine="480" w:firstLineChars="200"/>
        <w:rPr>
          <w:rFonts w:ascii="宋体" w:hAnsi="宋体" w:cs="宋体"/>
          <w:sz w:val="24"/>
        </w:rPr>
      </w:pPr>
      <w:r>
        <w:rPr>
          <w:rFonts w:hint="eastAsia" w:ascii="宋体" w:hAnsi="宋体" w:cs="宋体"/>
          <w:sz w:val="24"/>
        </w:rPr>
        <w:t>100万元×1.5%=1.5万元</w:t>
      </w:r>
    </w:p>
    <w:p w14:paraId="1845E762">
      <w:pPr>
        <w:spacing w:line="400" w:lineRule="exact"/>
        <w:ind w:firstLine="480" w:firstLineChars="200"/>
        <w:rPr>
          <w:rFonts w:ascii="宋体" w:hAnsi="宋体" w:cs="宋体"/>
          <w:sz w:val="24"/>
        </w:rPr>
      </w:pPr>
      <w:r>
        <w:rPr>
          <w:rFonts w:hint="eastAsia" w:ascii="宋体" w:hAnsi="宋体" w:cs="宋体"/>
          <w:sz w:val="24"/>
        </w:rPr>
        <w:t>（200-100）万元×0.8%=0.8万元</w:t>
      </w:r>
    </w:p>
    <w:p w14:paraId="49FE7B06">
      <w:pPr>
        <w:spacing w:line="400" w:lineRule="exact"/>
        <w:ind w:firstLine="480" w:firstLineChars="200"/>
        <w:rPr>
          <w:rFonts w:ascii="宋体" w:hAnsi="宋体" w:cs="宋体"/>
          <w:sz w:val="24"/>
        </w:rPr>
      </w:pPr>
      <w:r>
        <w:rPr>
          <w:rFonts w:hint="eastAsia" w:ascii="宋体" w:hAnsi="宋体" w:cs="宋体"/>
          <w:sz w:val="24"/>
        </w:rPr>
        <w:t>（500-200）×0.78%=2.34万元</w:t>
      </w:r>
    </w:p>
    <w:p w14:paraId="74E84C39">
      <w:pPr>
        <w:spacing w:line="400" w:lineRule="exact"/>
        <w:ind w:firstLine="480" w:firstLineChars="200"/>
        <w:rPr>
          <w:rFonts w:ascii="宋体" w:hAnsi="宋体" w:cs="宋体"/>
          <w:sz w:val="24"/>
        </w:rPr>
      </w:pPr>
      <w:r>
        <w:rPr>
          <w:rFonts w:hint="eastAsia" w:ascii="宋体" w:hAnsi="宋体" w:cs="宋体"/>
          <w:sz w:val="24"/>
        </w:rPr>
        <w:t>合计收费=1.5+0.8+2.34=4.64（万元）</w:t>
      </w:r>
    </w:p>
    <w:p w14:paraId="7E68A67B">
      <w:pPr>
        <w:spacing w:line="400" w:lineRule="exact"/>
        <w:ind w:firstLine="480" w:firstLineChars="200"/>
        <w:rPr>
          <w:rFonts w:ascii="宋体" w:hAnsi="宋体" w:cs="宋体"/>
          <w:sz w:val="24"/>
        </w:rPr>
      </w:pPr>
      <w:r>
        <w:rPr>
          <w:rFonts w:hint="eastAsia" w:ascii="宋体" w:hAnsi="宋体" w:cs="宋体"/>
          <w:sz w:val="24"/>
        </w:rPr>
        <w:t>（二）采购代理服务费缴纳账号：</w:t>
      </w:r>
    </w:p>
    <w:p w14:paraId="047F10E9">
      <w:pPr>
        <w:spacing w:line="400" w:lineRule="exact"/>
        <w:ind w:firstLine="480" w:firstLineChars="200"/>
        <w:rPr>
          <w:rFonts w:ascii="宋体" w:hAnsi="宋体" w:cs="宋体"/>
          <w:sz w:val="24"/>
        </w:rPr>
      </w:pPr>
      <w:r>
        <w:rPr>
          <w:rFonts w:hint="eastAsia" w:ascii="宋体" w:hAnsi="宋体" w:cs="宋体"/>
          <w:sz w:val="24"/>
        </w:rPr>
        <w:t>户  名：重庆市政府采购中心</w:t>
      </w:r>
    </w:p>
    <w:p w14:paraId="2984B291">
      <w:pPr>
        <w:spacing w:line="400" w:lineRule="exact"/>
        <w:ind w:firstLine="480" w:firstLineChars="200"/>
        <w:rPr>
          <w:rFonts w:ascii="宋体" w:hAnsi="宋体" w:cs="宋体"/>
          <w:sz w:val="24"/>
        </w:rPr>
      </w:pPr>
      <w:r>
        <w:rPr>
          <w:rFonts w:hint="eastAsia" w:ascii="宋体" w:hAnsi="宋体" w:cs="宋体"/>
          <w:sz w:val="24"/>
        </w:rPr>
        <w:t>开户行：中国工商银行股份有限公司重庆五里店支行（行号：102653000177）</w:t>
      </w:r>
    </w:p>
    <w:p w14:paraId="4B6FBC71">
      <w:pPr>
        <w:spacing w:line="400" w:lineRule="exact"/>
        <w:ind w:firstLine="480" w:firstLineChars="200"/>
        <w:rPr>
          <w:rFonts w:ascii="宋体" w:hAnsi="宋体" w:cs="宋体"/>
          <w:sz w:val="24"/>
        </w:rPr>
      </w:pPr>
      <w:r>
        <w:rPr>
          <w:rFonts w:hint="eastAsia" w:ascii="宋体" w:hAnsi="宋体" w:cs="宋体"/>
          <w:sz w:val="24"/>
        </w:rPr>
        <w:t>账  号：3100023409200174780</w:t>
      </w:r>
    </w:p>
    <w:p w14:paraId="539153F7">
      <w:pPr>
        <w:pStyle w:val="3"/>
        <w:adjustRightInd w:val="0"/>
        <w:snapToGrid w:val="0"/>
        <w:spacing w:line="240" w:lineRule="auto"/>
        <w:jc w:val="left"/>
        <w:rPr>
          <w:rFonts w:ascii="宋体" w:hAnsi="宋体" w:eastAsia="宋体" w:cs="宋体"/>
          <w:sz w:val="24"/>
        </w:rPr>
      </w:pPr>
      <w:bookmarkStart w:id="510" w:name="_Toc17947"/>
      <w:bookmarkStart w:id="511" w:name="_Toc22546"/>
      <w:bookmarkStart w:id="512" w:name="_Toc10415"/>
      <w:bookmarkStart w:id="513" w:name="_Toc27535"/>
      <w:bookmarkStart w:id="514" w:name="_Toc18778"/>
      <w:bookmarkStart w:id="515" w:name="_Toc2308"/>
      <w:bookmarkStart w:id="516" w:name="_Toc27944"/>
      <w:bookmarkStart w:id="517" w:name="_Toc19001"/>
      <w:bookmarkStart w:id="518" w:name="_Toc14543"/>
      <w:bookmarkStart w:id="519" w:name="_Toc11035"/>
      <w:bookmarkStart w:id="520" w:name="_Toc23480"/>
      <w:bookmarkStart w:id="521" w:name="_Toc29668"/>
      <w:bookmarkStart w:id="522" w:name="_Toc29763"/>
      <w:bookmarkStart w:id="523" w:name="_Toc76462345"/>
      <w:bookmarkStart w:id="524" w:name="_Toc25781"/>
      <w:bookmarkStart w:id="525" w:name="_Toc14850"/>
      <w:bookmarkStart w:id="526" w:name="_Toc211850964"/>
      <w:bookmarkStart w:id="527" w:name="_Toc29371"/>
      <w:r>
        <w:rPr>
          <w:rFonts w:hint="eastAsia" w:ascii="宋体" w:hAnsi="宋体" w:eastAsia="宋体" w:cs="宋体"/>
          <w:sz w:val="24"/>
        </w:rPr>
        <w:t>八、交易服务费</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7E86CA37">
      <w:pPr>
        <w:spacing w:line="400" w:lineRule="exact"/>
        <w:ind w:firstLine="480" w:firstLineChars="200"/>
        <w:rPr>
          <w:rFonts w:ascii="宋体" w:hAnsi="宋体" w:cs="宋体"/>
          <w:sz w:val="24"/>
          <w:szCs w:val="24"/>
        </w:rPr>
      </w:pPr>
      <w:r>
        <w:rPr>
          <w:rFonts w:hint="eastAsia" w:ascii="宋体" w:hAnsi="宋体" w:cs="宋体"/>
          <w:sz w:val="24"/>
          <w:szCs w:val="24"/>
        </w:rPr>
        <w:t>供应商成交后</w:t>
      </w:r>
      <w:r>
        <w:rPr>
          <w:rFonts w:hint="eastAsia" w:ascii="宋体" w:hAnsi="宋体" w:cs="宋体"/>
          <w:sz w:val="24"/>
        </w:rPr>
        <w:t>向“重庆联合产权交易所集团股份有限公司”缴纳交易服务费，服务费的收取标准按渝价[2018]54号执行。</w:t>
      </w:r>
    </w:p>
    <w:p w14:paraId="237C2234">
      <w:pPr>
        <w:spacing w:line="400" w:lineRule="exact"/>
        <w:ind w:firstLine="480" w:firstLineChars="200"/>
        <w:rPr>
          <w:rFonts w:ascii="宋体" w:hAnsi="宋体" w:cs="宋体"/>
          <w:sz w:val="24"/>
          <w:szCs w:val="24"/>
        </w:rPr>
      </w:pPr>
      <w:r>
        <w:rPr>
          <w:rFonts w:hint="eastAsia" w:ascii="宋体" w:hAnsi="宋体" w:cs="宋体"/>
          <w:sz w:val="24"/>
        </w:rPr>
        <w:t>重庆市公共资源交易中心咨询电话：023-63625633</w:t>
      </w:r>
    </w:p>
    <w:p w14:paraId="6DBFF8BB">
      <w:pPr>
        <w:pStyle w:val="3"/>
        <w:adjustRightInd w:val="0"/>
        <w:snapToGrid w:val="0"/>
        <w:spacing w:line="240" w:lineRule="auto"/>
        <w:jc w:val="left"/>
        <w:rPr>
          <w:rFonts w:ascii="宋体" w:hAnsi="宋体" w:eastAsia="宋体" w:cs="宋体"/>
          <w:sz w:val="24"/>
        </w:rPr>
      </w:pPr>
      <w:bookmarkStart w:id="528" w:name="_Toc102227322"/>
      <w:bookmarkStart w:id="529" w:name="_Toc24303"/>
      <w:bookmarkStart w:id="530" w:name="_Toc26372"/>
      <w:bookmarkStart w:id="531" w:name="_Toc18211"/>
      <w:bookmarkStart w:id="532" w:name="_Toc8595"/>
      <w:bookmarkStart w:id="533" w:name="_Toc3327"/>
      <w:bookmarkStart w:id="534" w:name="_Toc76462346"/>
      <w:bookmarkStart w:id="535" w:name="_Toc7501"/>
      <w:bookmarkStart w:id="536" w:name="_Toc16077"/>
      <w:bookmarkStart w:id="537" w:name="_Toc24713"/>
      <w:bookmarkStart w:id="538" w:name="_Toc31502"/>
      <w:bookmarkStart w:id="539" w:name="_Toc342913396"/>
      <w:bookmarkStart w:id="540" w:name="_Toc8704"/>
      <w:bookmarkStart w:id="541" w:name="_Toc26629"/>
      <w:bookmarkStart w:id="542" w:name="_Toc211850965"/>
      <w:bookmarkStart w:id="543" w:name="_Toc20308"/>
      <w:bookmarkStart w:id="544" w:name="_Toc2209"/>
      <w:bookmarkStart w:id="545" w:name="_Toc11278"/>
      <w:bookmarkStart w:id="546" w:name="_Toc17651"/>
      <w:bookmarkStart w:id="547" w:name="_Toc17728"/>
      <w:bookmarkStart w:id="548" w:name="_Toc11641055"/>
      <w:bookmarkStart w:id="549" w:name="_Toc12789059"/>
      <w:r>
        <w:rPr>
          <w:rFonts w:hint="eastAsia" w:ascii="宋体" w:hAnsi="宋体" w:eastAsia="宋体" w:cs="宋体"/>
          <w:sz w:val="24"/>
        </w:rPr>
        <w:t>九、签订</w:t>
      </w:r>
      <w:bookmarkEnd w:id="528"/>
      <w:r>
        <w:rPr>
          <w:rFonts w:hint="eastAsia" w:ascii="宋体" w:hAnsi="宋体" w:eastAsia="宋体" w:cs="宋体"/>
          <w:sz w:val="24"/>
        </w:rPr>
        <w:t>合同</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6D3C872D">
      <w:pPr>
        <w:spacing w:line="400" w:lineRule="exact"/>
        <w:ind w:firstLine="480" w:firstLineChars="200"/>
        <w:rPr>
          <w:rFonts w:ascii="宋体" w:hAnsi="宋体" w:cs="宋体"/>
          <w:sz w:val="24"/>
          <w:szCs w:val="24"/>
        </w:rPr>
      </w:pPr>
      <w:r>
        <w:rPr>
          <w:rFonts w:hint="eastAsia" w:ascii="宋体" w:hAnsi="宋体" w:cs="宋体"/>
          <w:sz w:val="24"/>
          <w:szCs w:val="24"/>
        </w:rPr>
        <w:t>（一）采购人原则上应在成交通知书发出之日起二十日内和成交供应商签订政府采购合同，无正当理由不得拒绝或拖延合同签订。所签订的合同不得对竞争性磋商文件和供应商的响应文件作实质性修改。其他未尽事宜由采购人和成交供应商在采购合同中详细约定。</w:t>
      </w:r>
    </w:p>
    <w:p w14:paraId="79C6AADE">
      <w:pPr>
        <w:spacing w:line="400" w:lineRule="exact"/>
        <w:ind w:firstLine="480" w:firstLineChars="200"/>
        <w:rPr>
          <w:rFonts w:ascii="宋体" w:hAnsi="宋体" w:cs="宋体"/>
          <w:sz w:val="24"/>
          <w:szCs w:val="24"/>
        </w:rPr>
      </w:pPr>
      <w:r>
        <w:rPr>
          <w:rFonts w:hint="eastAsia" w:ascii="宋体" w:hAnsi="宋体" w:cs="宋体"/>
          <w:sz w:val="24"/>
          <w:szCs w:val="24"/>
        </w:rPr>
        <w:t>（二）采购人应当自合同签订之日起7个工作日内，在“政府采购业务管理系统”进行合同登记备案；2个工作日内按相关管理要求在中国政府采购网上公告政府采购合同，但政府采购合同中涉及国家秘密、商业秘密的内容除外。未按要求公告及备案的，应当及时进行补充公告及备案。</w:t>
      </w:r>
    </w:p>
    <w:p w14:paraId="37A63E55">
      <w:pPr>
        <w:spacing w:line="400" w:lineRule="exact"/>
        <w:ind w:firstLine="480" w:firstLineChars="200"/>
        <w:rPr>
          <w:rFonts w:ascii="宋体" w:hAnsi="宋体" w:cs="宋体"/>
          <w:sz w:val="24"/>
          <w:szCs w:val="24"/>
        </w:rPr>
      </w:pPr>
      <w:r>
        <w:rPr>
          <w:rFonts w:hint="eastAsia" w:ascii="宋体" w:hAnsi="宋体" w:cs="宋体"/>
          <w:sz w:val="24"/>
          <w:szCs w:val="24"/>
        </w:rPr>
        <w:t>（三）竞争性磋商文件、供应商的响应文件及澄清文件等，均为签订政府采购合同的依据。</w:t>
      </w:r>
    </w:p>
    <w:p w14:paraId="3CD9F87D">
      <w:pPr>
        <w:spacing w:line="400" w:lineRule="exact"/>
        <w:ind w:firstLine="480" w:firstLineChars="200"/>
        <w:rPr>
          <w:rFonts w:ascii="宋体" w:hAnsi="宋体" w:cs="宋体"/>
          <w:sz w:val="24"/>
          <w:szCs w:val="24"/>
        </w:rPr>
      </w:pPr>
      <w:r>
        <w:rPr>
          <w:rFonts w:hint="eastAsia" w:ascii="宋体" w:hAnsi="宋体" w:cs="宋体"/>
          <w:sz w:val="24"/>
          <w:szCs w:val="24"/>
        </w:rPr>
        <w:t>（四）合同生效条款由供需双方约定，法律、行政法规规定应当办理批准、登记等手续后生效的合同，依照其规定。</w:t>
      </w:r>
    </w:p>
    <w:p w14:paraId="54593167">
      <w:pPr>
        <w:spacing w:line="400" w:lineRule="exact"/>
        <w:ind w:firstLine="480" w:firstLineChars="200"/>
        <w:rPr>
          <w:rFonts w:ascii="宋体" w:hAnsi="宋体" w:cs="宋体"/>
          <w:sz w:val="24"/>
          <w:szCs w:val="24"/>
        </w:rPr>
      </w:pPr>
      <w:r>
        <w:rPr>
          <w:rFonts w:hint="eastAsia" w:ascii="宋体" w:hAnsi="宋体" w:cs="宋体"/>
          <w:sz w:val="24"/>
          <w:szCs w:val="24"/>
        </w:rPr>
        <w:t>（五）合同原则上应按照《重庆市政府采购合同》签订，相关单位要求适用合同通用格式版本的，应按其要求另行签订其他合同。</w:t>
      </w:r>
    </w:p>
    <w:p w14:paraId="3E43724A">
      <w:pPr>
        <w:spacing w:line="400" w:lineRule="exact"/>
        <w:ind w:firstLine="480" w:firstLineChars="200"/>
        <w:rPr>
          <w:rFonts w:ascii="宋体" w:hAnsi="宋体" w:cs="宋体"/>
          <w:sz w:val="24"/>
          <w:szCs w:val="24"/>
        </w:rPr>
      </w:pPr>
      <w:r>
        <w:rPr>
          <w:rFonts w:hint="eastAsia" w:ascii="宋体" w:hAnsi="宋体" w:cs="宋体"/>
          <w:sz w:val="24"/>
          <w:szCs w:val="24"/>
        </w:rPr>
        <w:t>（六）采购人要求成交供应商提供履约保证金的，应当在竞争性磋商文件中予以约定。成交供应商履约完毕后，采购人根据采购文件规定无息退还其履约保证金。</w:t>
      </w:r>
    </w:p>
    <w:p w14:paraId="64AC2A3A">
      <w:pPr>
        <w:pStyle w:val="3"/>
        <w:adjustRightInd w:val="0"/>
        <w:snapToGrid w:val="0"/>
        <w:spacing w:line="240" w:lineRule="auto"/>
        <w:jc w:val="left"/>
        <w:rPr>
          <w:rFonts w:ascii="宋体" w:hAnsi="宋体" w:eastAsia="宋体" w:cs="宋体"/>
          <w:sz w:val="24"/>
        </w:rPr>
      </w:pPr>
      <w:bookmarkStart w:id="550" w:name="_Toc30471"/>
      <w:bookmarkStart w:id="551" w:name="_Toc211850966"/>
      <w:r>
        <w:rPr>
          <w:rFonts w:hint="eastAsia" w:ascii="宋体" w:hAnsi="宋体" w:eastAsia="宋体" w:cs="宋体"/>
          <w:sz w:val="24"/>
        </w:rPr>
        <w:t>十、</w:t>
      </w:r>
      <w:bookmarkEnd w:id="550"/>
      <w:r>
        <w:rPr>
          <w:rFonts w:hint="eastAsia" w:ascii="宋体" w:hAnsi="宋体" w:eastAsia="宋体" w:cs="宋体"/>
          <w:sz w:val="24"/>
        </w:rPr>
        <w:t>项目验收</w:t>
      </w:r>
      <w:bookmarkEnd w:id="551"/>
    </w:p>
    <w:p w14:paraId="488E373F">
      <w:pPr>
        <w:spacing w:line="400" w:lineRule="exact"/>
        <w:ind w:firstLine="480" w:firstLineChars="200"/>
        <w:rPr>
          <w:rFonts w:ascii="宋体" w:hAnsi="宋体" w:cs="宋体"/>
          <w:sz w:val="24"/>
          <w:szCs w:val="24"/>
        </w:rPr>
      </w:pPr>
      <w:r>
        <w:rPr>
          <w:rFonts w:hint="eastAsia" w:ascii="宋体" w:hAnsi="宋体" w:cs="宋体"/>
          <w:sz w:val="24"/>
          <w:szCs w:val="24"/>
        </w:rPr>
        <w:t>合同执行完毕，采购人或采购代理机构原则上应在7个工作日内组织履约情况验收，不得无故拖延或附加额外条件。</w:t>
      </w:r>
    </w:p>
    <w:p w14:paraId="6B546355">
      <w:pPr>
        <w:spacing w:line="400" w:lineRule="exact"/>
        <w:ind w:firstLine="480" w:firstLineChars="200"/>
        <w:rPr>
          <w:rFonts w:ascii="宋体" w:hAnsi="宋体" w:cs="宋体"/>
          <w:sz w:val="24"/>
          <w:szCs w:val="24"/>
        </w:rPr>
      </w:pPr>
    </w:p>
    <w:p w14:paraId="3A12828A">
      <w:pPr>
        <w:pStyle w:val="20"/>
        <w:rPr>
          <w:color w:val="auto"/>
        </w:rPr>
      </w:pPr>
    </w:p>
    <w:p w14:paraId="2F5E8D3E"/>
    <w:p w14:paraId="4281B2B2">
      <w:pPr>
        <w:pStyle w:val="20"/>
        <w:rPr>
          <w:color w:val="auto"/>
        </w:rPr>
      </w:pPr>
    </w:p>
    <w:p w14:paraId="75AE2BD5"/>
    <w:p w14:paraId="1C413384">
      <w:pPr>
        <w:pStyle w:val="20"/>
        <w:rPr>
          <w:color w:val="auto"/>
        </w:rPr>
      </w:pPr>
    </w:p>
    <w:p w14:paraId="3BDB3021"/>
    <w:p w14:paraId="25366D5B">
      <w:pPr>
        <w:pStyle w:val="20"/>
        <w:rPr>
          <w:color w:val="auto"/>
        </w:rPr>
      </w:pPr>
    </w:p>
    <w:p w14:paraId="2E21267A"/>
    <w:p w14:paraId="1D2D8F62">
      <w:pPr>
        <w:pStyle w:val="20"/>
        <w:rPr>
          <w:color w:val="auto"/>
        </w:rPr>
      </w:pPr>
    </w:p>
    <w:p w14:paraId="500A6294"/>
    <w:p w14:paraId="0BF7DF40">
      <w:pPr>
        <w:pStyle w:val="20"/>
        <w:rPr>
          <w:color w:val="auto"/>
        </w:rPr>
      </w:pPr>
    </w:p>
    <w:p w14:paraId="3A7C0FA0"/>
    <w:p w14:paraId="64C534BF">
      <w:pPr>
        <w:pStyle w:val="20"/>
        <w:rPr>
          <w:color w:val="auto"/>
        </w:rPr>
      </w:pPr>
    </w:p>
    <w:p w14:paraId="19B444B2"/>
    <w:p w14:paraId="07ECE787">
      <w:pPr>
        <w:pStyle w:val="20"/>
        <w:rPr>
          <w:color w:val="auto"/>
        </w:rPr>
      </w:pPr>
    </w:p>
    <w:p w14:paraId="31A9934D"/>
    <w:p w14:paraId="16504CA5">
      <w:pPr>
        <w:pStyle w:val="20"/>
        <w:rPr>
          <w:color w:val="auto"/>
        </w:rPr>
      </w:pPr>
    </w:p>
    <w:p w14:paraId="5DC57FFE"/>
    <w:p w14:paraId="535C0E5E">
      <w:pPr>
        <w:pStyle w:val="20"/>
        <w:rPr>
          <w:color w:val="auto"/>
        </w:rPr>
      </w:pPr>
    </w:p>
    <w:p w14:paraId="4691CAC7"/>
    <w:p w14:paraId="7ED10C98">
      <w:pPr>
        <w:pStyle w:val="20"/>
        <w:rPr>
          <w:color w:val="auto"/>
        </w:rPr>
      </w:pPr>
    </w:p>
    <w:p w14:paraId="47499A73"/>
    <w:p w14:paraId="420500C0">
      <w:pPr>
        <w:pStyle w:val="20"/>
        <w:rPr>
          <w:color w:val="auto"/>
        </w:rPr>
      </w:pPr>
    </w:p>
    <w:p w14:paraId="248B3DB3"/>
    <w:p w14:paraId="7378006D">
      <w:pPr>
        <w:pStyle w:val="20"/>
        <w:rPr>
          <w:color w:val="auto"/>
        </w:rPr>
      </w:pPr>
    </w:p>
    <w:p w14:paraId="584EBA1D"/>
    <w:p w14:paraId="03B076D2"/>
    <w:p w14:paraId="2FA5B870">
      <w:pPr>
        <w:pStyle w:val="2"/>
        <w:tabs>
          <w:tab w:val="left" w:pos="3360"/>
        </w:tabs>
        <w:rPr>
          <w:rFonts w:cs="宋体"/>
          <w:szCs w:val="36"/>
        </w:rPr>
      </w:pPr>
      <w:bookmarkStart w:id="552" w:name="_Toc18306"/>
      <w:bookmarkStart w:id="553" w:name="_Toc17453"/>
      <w:bookmarkStart w:id="554" w:name="_Toc84"/>
      <w:bookmarkStart w:id="555" w:name="_Toc6967"/>
      <w:bookmarkStart w:id="556" w:name="_Toc130"/>
      <w:bookmarkStart w:id="557" w:name="_Toc18187"/>
      <w:bookmarkStart w:id="558" w:name="_Toc1411"/>
      <w:bookmarkStart w:id="559" w:name="_Toc18101"/>
      <w:bookmarkStart w:id="560" w:name="_Toc1505"/>
      <w:bookmarkStart w:id="561" w:name="_Toc18910"/>
      <w:bookmarkStart w:id="562" w:name="_Toc28948"/>
      <w:bookmarkStart w:id="563" w:name="_Toc20965"/>
      <w:bookmarkStart w:id="564" w:name="_Toc424"/>
      <w:bookmarkStart w:id="565" w:name="_Toc76462348"/>
      <w:bookmarkStart w:id="566" w:name="_Toc27280"/>
      <w:bookmarkStart w:id="567" w:name="_Toc211850967"/>
      <w:bookmarkStart w:id="568" w:name="_Toc23229"/>
      <w:bookmarkStart w:id="569" w:name="_Toc229"/>
      <w:r>
        <w:rPr>
          <w:rFonts w:hint="eastAsia"/>
        </w:rPr>
        <w:t xml:space="preserve">第六篇  </w:t>
      </w:r>
      <w:bookmarkEnd w:id="548"/>
      <w:bookmarkEnd w:id="549"/>
      <w:r>
        <w:rPr>
          <w:rFonts w:hint="eastAsia"/>
        </w:rPr>
        <w:t>政府采购合同</w:t>
      </w:r>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FD207C3">
      <w:pPr>
        <w:rPr>
          <w:rFonts w:ascii="宋体" w:hAnsi="宋体" w:cs="宋体"/>
          <w:sz w:val="24"/>
        </w:rPr>
      </w:pPr>
    </w:p>
    <w:p w14:paraId="4015C7D3">
      <w:pPr>
        <w:spacing w:line="500" w:lineRule="exact"/>
        <w:jc w:val="center"/>
        <w:rPr>
          <w:rFonts w:ascii="宋体" w:hAnsi="宋体" w:cs="宋体"/>
          <w:b/>
          <w:sz w:val="44"/>
          <w:szCs w:val="22"/>
        </w:rPr>
      </w:pPr>
      <w:r>
        <w:rPr>
          <w:rFonts w:hint="eastAsia" w:ascii="宋体" w:hAnsi="宋体" w:cs="宋体"/>
          <w:b/>
          <w:sz w:val="44"/>
          <w:szCs w:val="22"/>
        </w:rPr>
        <w:t>采购合同模版(仅供参考)</w:t>
      </w:r>
    </w:p>
    <w:p w14:paraId="70F586B2">
      <w:pPr>
        <w:spacing w:line="500" w:lineRule="exact"/>
        <w:jc w:val="center"/>
        <w:rPr>
          <w:rFonts w:ascii="宋体" w:hAnsi="宋体" w:cs="宋体"/>
          <w:sz w:val="21"/>
          <w:szCs w:val="22"/>
        </w:rPr>
      </w:pPr>
      <w:r>
        <w:rPr>
          <w:rFonts w:hint="eastAsia" w:ascii="宋体" w:hAnsi="宋体" w:cs="宋体"/>
          <w:sz w:val="21"/>
          <w:szCs w:val="22"/>
        </w:rPr>
        <w:t>（项目号：     ）</w:t>
      </w:r>
    </w:p>
    <w:p w14:paraId="2CE8F839">
      <w:pPr>
        <w:spacing w:line="500" w:lineRule="exact"/>
        <w:rPr>
          <w:rFonts w:ascii="宋体" w:hAnsi="宋体" w:cs="宋体"/>
          <w:sz w:val="24"/>
          <w:szCs w:val="22"/>
        </w:rPr>
      </w:pPr>
      <w:r>
        <w:rPr>
          <w:rFonts w:hint="eastAsia" w:ascii="宋体" w:hAnsi="宋体" w:cs="宋体"/>
          <w:sz w:val="24"/>
          <w:szCs w:val="22"/>
        </w:rPr>
        <w:t>甲方（需方）：___________________________      计价单位：____________</w:t>
      </w:r>
    </w:p>
    <w:p w14:paraId="7F50C452">
      <w:pPr>
        <w:spacing w:line="500" w:lineRule="exact"/>
        <w:rPr>
          <w:rFonts w:ascii="宋体" w:hAnsi="宋体" w:cs="宋体"/>
          <w:sz w:val="24"/>
          <w:szCs w:val="22"/>
        </w:rPr>
      </w:pPr>
      <w:r>
        <w:rPr>
          <w:rFonts w:hint="eastAsia" w:ascii="宋体" w:hAnsi="宋体" w:cs="宋体"/>
          <w:sz w:val="24"/>
          <w:szCs w:val="22"/>
        </w:rPr>
        <w:t>乙方（供方）：___________________________      计量单位：_____________</w:t>
      </w:r>
    </w:p>
    <w:p w14:paraId="06F12CED">
      <w:pPr>
        <w:spacing w:line="500" w:lineRule="exact"/>
        <w:rPr>
          <w:rFonts w:ascii="宋体" w:hAnsi="宋体" w:cs="宋体"/>
          <w:sz w:val="24"/>
          <w:szCs w:val="22"/>
        </w:rPr>
      </w:pPr>
    </w:p>
    <w:p w14:paraId="1BD72311">
      <w:pPr>
        <w:spacing w:line="500" w:lineRule="exact"/>
        <w:rPr>
          <w:rFonts w:ascii="宋体" w:hAnsi="宋体" w:cs="宋体"/>
          <w:sz w:val="24"/>
          <w:szCs w:val="22"/>
        </w:rPr>
      </w:pPr>
      <w:r>
        <w:rPr>
          <w:rFonts w:hint="eastAsia" w:ascii="宋体" w:hAnsi="宋体" w:cs="宋体"/>
          <w:sz w:val="24"/>
          <w:szCs w:val="22"/>
        </w:rPr>
        <w:t>经双方协商一致，达成以下购销合同：</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1"/>
        <w:gridCol w:w="984"/>
        <w:gridCol w:w="589"/>
        <w:gridCol w:w="709"/>
        <w:gridCol w:w="1134"/>
        <w:gridCol w:w="1559"/>
        <w:gridCol w:w="1567"/>
      </w:tblGrid>
      <w:tr w14:paraId="7199D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1" w:type="dxa"/>
            <w:noWrap/>
            <w:vAlign w:val="center"/>
          </w:tcPr>
          <w:p w14:paraId="3EC0C9F2">
            <w:pPr>
              <w:spacing w:line="240" w:lineRule="atLeast"/>
              <w:jc w:val="center"/>
              <w:rPr>
                <w:rFonts w:ascii="宋体" w:hAnsi="宋体" w:cs="宋体"/>
                <w:sz w:val="21"/>
                <w:szCs w:val="21"/>
              </w:rPr>
            </w:pPr>
            <w:r>
              <w:rPr>
                <w:rFonts w:hint="eastAsia" w:ascii="宋体" w:hAnsi="宋体" w:cs="宋体"/>
                <w:sz w:val="21"/>
                <w:szCs w:val="21"/>
              </w:rPr>
              <w:t>磋商项目名称</w:t>
            </w:r>
          </w:p>
        </w:tc>
        <w:tc>
          <w:tcPr>
            <w:tcW w:w="984" w:type="dxa"/>
            <w:noWrap/>
            <w:vAlign w:val="center"/>
          </w:tcPr>
          <w:p w14:paraId="082500D6">
            <w:pPr>
              <w:spacing w:line="240" w:lineRule="atLeast"/>
              <w:jc w:val="center"/>
              <w:rPr>
                <w:rFonts w:ascii="宋体" w:hAnsi="宋体" w:cs="宋体"/>
                <w:sz w:val="21"/>
                <w:szCs w:val="21"/>
              </w:rPr>
            </w:pPr>
            <w:r>
              <w:rPr>
                <w:rFonts w:hint="eastAsia" w:ascii="宋体" w:hAnsi="宋体" w:cs="宋体"/>
                <w:sz w:val="21"/>
                <w:szCs w:val="21"/>
              </w:rPr>
              <w:t>数量</w:t>
            </w:r>
          </w:p>
        </w:tc>
        <w:tc>
          <w:tcPr>
            <w:tcW w:w="1298" w:type="dxa"/>
            <w:gridSpan w:val="2"/>
            <w:noWrap/>
            <w:vAlign w:val="center"/>
          </w:tcPr>
          <w:p w14:paraId="1D5821AC">
            <w:pPr>
              <w:spacing w:line="240" w:lineRule="atLeast"/>
              <w:jc w:val="center"/>
              <w:rPr>
                <w:rFonts w:ascii="宋体" w:hAnsi="宋体" w:cs="宋体"/>
                <w:sz w:val="21"/>
                <w:szCs w:val="21"/>
              </w:rPr>
            </w:pPr>
            <w:r>
              <w:rPr>
                <w:rFonts w:hint="eastAsia" w:ascii="宋体" w:hAnsi="宋体" w:cs="宋体"/>
                <w:sz w:val="21"/>
                <w:szCs w:val="21"/>
              </w:rPr>
              <w:t>综合单价</w:t>
            </w:r>
          </w:p>
        </w:tc>
        <w:tc>
          <w:tcPr>
            <w:tcW w:w="1134" w:type="dxa"/>
            <w:noWrap/>
            <w:vAlign w:val="center"/>
          </w:tcPr>
          <w:p w14:paraId="1E59C3B0">
            <w:pPr>
              <w:spacing w:line="240" w:lineRule="atLeast"/>
              <w:jc w:val="center"/>
              <w:rPr>
                <w:rFonts w:ascii="宋体" w:hAnsi="宋体" w:cs="宋体"/>
                <w:sz w:val="21"/>
                <w:szCs w:val="21"/>
              </w:rPr>
            </w:pPr>
            <w:r>
              <w:rPr>
                <w:rFonts w:hint="eastAsia" w:ascii="宋体" w:hAnsi="宋体" w:cs="宋体"/>
                <w:sz w:val="21"/>
                <w:szCs w:val="21"/>
              </w:rPr>
              <w:t>总价</w:t>
            </w:r>
          </w:p>
        </w:tc>
        <w:tc>
          <w:tcPr>
            <w:tcW w:w="1559" w:type="dxa"/>
            <w:noWrap/>
            <w:vAlign w:val="center"/>
          </w:tcPr>
          <w:p w14:paraId="78DFB054">
            <w:pPr>
              <w:spacing w:line="240" w:lineRule="atLeast"/>
              <w:jc w:val="center"/>
              <w:rPr>
                <w:rFonts w:ascii="宋体" w:hAnsi="宋体" w:cs="宋体"/>
                <w:sz w:val="21"/>
                <w:szCs w:val="21"/>
              </w:rPr>
            </w:pPr>
            <w:r>
              <w:rPr>
                <w:rFonts w:hint="eastAsia" w:ascii="宋体" w:hAnsi="宋体" w:cs="宋体"/>
                <w:sz w:val="21"/>
                <w:szCs w:val="21"/>
              </w:rPr>
              <w:t>施工工期</w:t>
            </w:r>
          </w:p>
        </w:tc>
        <w:tc>
          <w:tcPr>
            <w:tcW w:w="1567" w:type="dxa"/>
            <w:noWrap/>
            <w:vAlign w:val="center"/>
          </w:tcPr>
          <w:p w14:paraId="5242E636">
            <w:pPr>
              <w:spacing w:line="240" w:lineRule="atLeast"/>
              <w:jc w:val="center"/>
              <w:rPr>
                <w:rFonts w:ascii="宋体" w:hAnsi="宋体" w:cs="宋体"/>
                <w:sz w:val="21"/>
                <w:szCs w:val="21"/>
              </w:rPr>
            </w:pPr>
            <w:r>
              <w:rPr>
                <w:rFonts w:hint="eastAsia" w:ascii="宋体" w:hAnsi="宋体" w:cs="宋体"/>
                <w:sz w:val="21"/>
                <w:szCs w:val="21"/>
              </w:rPr>
              <w:t>项目地点</w:t>
            </w:r>
          </w:p>
        </w:tc>
      </w:tr>
      <w:tr w14:paraId="2CA14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1" w:type="dxa"/>
            <w:noWrap/>
            <w:vAlign w:val="center"/>
          </w:tcPr>
          <w:p w14:paraId="02974963">
            <w:pPr>
              <w:spacing w:line="240" w:lineRule="atLeast"/>
              <w:jc w:val="center"/>
              <w:rPr>
                <w:rFonts w:ascii="宋体" w:hAnsi="宋体" w:cs="宋体"/>
                <w:sz w:val="21"/>
                <w:szCs w:val="21"/>
              </w:rPr>
            </w:pPr>
          </w:p>
        </w:tc>
        <w:tc>
          <w:tcPr>
            <w:tcW w:w="984" w:type="dxa"/>
            <w:noWrap/>
            <w:vAlign w:val="center"/>
          </w:tcPr>
          <w:p w14:paraId="0BF57D1F">
            <w:pPr>
              <w:spacing w:line="240" w:lineRule="atLeast"/>
              <w:jc w:val="center"/>
              <w:rPr>
                <w:rFonts w:ascii="宋体" w:hAnsi="宋体" w:cs="宋体"/>
                <w:sz w:val="21"/>
                <w:szCs w:val="21"/>
              </w:rPr>
            </w:pPr>
          </w:p>
        </w:tc>
        <w:tc>
          <w:tcPr>
            <w:tcW w:w="1298" w:type="dxa"/>
            <w:gridSpan w:val="2"/>
            <w:noWrap/>
            <w:vAlign w:val="center"/>
          </w:tcPr>
          <w:p w14:paraId="14BE5C00">
            <w:pPr>
              <w:spacing w:line="240" w:lineRule="atLeast"/>
              <w:jc w:val="center"/>
              <w:rPr>
                <w:rFonts w:ascii="宋体" w:hAnsi="宋体" w:cs="宋体"/>
                <w:sz w:val="21"/>
                <w:szCs w:val="21"/>
              </w:rPr>
            </w:pPr>
          </w:p>
        </w:tc>
        <w:tc>
          <w:tcPr>
            <w:tcW w:w="1134" w:type="dxa"/>
            <w:noWrap/>
            <w:vAlign w:val="center"/>
          </w:tcPr>
          <w:p w14:paraId="3ADDC335">
            <w:pPr>
              <w:spacing w:line="240" w:lineRule="atLeast"/>
              <w:jc w:val="center"/>
              <w:rPr>
                <w:rFonts w:ascii="宋体" w:hAnsi="宋体" w:cs="宋体"/>
                <w:sz w:val="21"/>
                <w:szCs w:val="21"/>
              </w:rPr>
            </w:pPr>
          </w:p>
        </w:tc>
        <w:tc>
          <w:tcPr>
            <w:tcW w:w="1559" w:type="dxa"/>
            <w:noWrap/>
            <w:vAlign w:val="center"/>
          </w:tcPr>
          <w:p w14:paraId="1E2874A7">
            <w:pPr>
              <w:spacing w:line="240" w:lineRule="atLeast"/>
              <w:jc w:val="center"/>
              <w:rPr>
                <w:rFonts w:ascii="宋体" w:hAnsi="宋体" w:cs="宋体"/>
                <w:sz w:val="21"/>
                <w:szCs w:val="21"/>
              </w:rPr>
            </w:pPr>
          </w:p>
        </w:tc>
        <w:tc>
          <w:tcPr>
            <w:tcW w:w="1567" w:type="dxa"/>
            <w:noWrap/>
            <w:vAlign w:val="center"/>
          </w:tcPr>
          <w:p w14:paraId="64A4EC6C">
            <w:pPr>
              <w:spacing w:line="240" w:lineRule="atLeast"/>
              <w:jc w:val="center"/>
              <w:rPr>
                <w:rFonts w:ascii="宋体" w:hAnsi="宋体" w:cs="宋体"/>
                <w:sz w:val="21"/>
                <w:szCs w:val="21"/>
              </w:rPr>
            </w:pPr>
          </w:p>
        </w:tc>
      </w:tr>
      <w:tr w14:paraId="54F5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71" w:type="dxa"/>
            <w:noWrap/>
            <w:vAlign w:val="center"/>
          </w:tcPr>
          <w:p w14:paraId="43D0DC13">
            <w:pPr>
              <w:spacing w:line="240" w:lineRule="atLeast"/>
              <w:jc w:val="center"/>
              <w:rPr>
                <w:rFonts w:ascii="宋体" w:hAnsi="宋体" w:cs="宋体"/>
                <w:sz w:val="21"/>
                <w:szCs w:val="21"/>
              </w:rPr>
            </w:pPr>
          </w:p>
        </w:tc>
        <w:tc>
          <w:tcPr>
            <w:tcW w:w="984" w:type="dxa"/>
            <w:noWrap/>
            <w:vAlign w:val="center"/>
          </w:tcPr>
          <w:p w14:paraId="565A0F59">
            <w:pPr>
              <w:spacing w:line="240" w:lineRule="atLeast"/>
              <w:jc w:val="center"/>
              <w:rPr>
                <w:rFonts w:ascii="宋体" w:hAnsi="宋体" w:cs="宋体"/>
                <w:sz w:val="21"/>
                <w:szCs w:val="21"/>
              </w:rPr>
            </w:pPr>
          </w:p>
        </w:tc>
        <w:tc>
          <w:tcPr>
            <w:tcW w:w="1298" w:type="dxa"/>
            <w:gridSpan w:val="2"/>
            <w:noWrap/>
            <w:vAlign w:val="center"/>
          </w:tcPr>
          <w:p w14:paraId="6ADA2BA5">
            <w:pPr>
              <w:spacing w:line="240" w:lineRule="atLeast"/>
              <w:jc w:val="center"/>
              <w:rPr>
                <w:rFonts w:ascii="宋体" w:hAnsi="宋体" w:cs="宋体"/>
                <w:sz w:val="21"/>
                <w:szCs w:val="21"/>
              </w:rPr>
            </w:pPr>
          </w:p>
        </w:tc>
        <w:tc>
          <w:tcPr>
            <w:tcW w:w="1134" w:type="dxa"/>
            <w:noWrap/>
            <w:vAlign w:val="center"/>
          </w:tcPr>
          <w:p w14:paraId="38F72BD6">
            <w:pPr>
              <w:spacing w:line="240" w:lineRule="atLeast"/>
              <w:jc w:val="center"/>
              <w:rPr>
                <w:rFonts w:ascii="宋体" w:hAnsi="宋体" w:cs="宋体"/>
                <w:sz w:val="21"/>
                <w:szCs w:val="21"/>
              </w:rPr>
            </w:pPr>
          </w:p>
        </w:tc>
        <w:tc>
          <w:tcPr>
            <w:tcW w:w="1559" w:type="dxa"/>
            <w:noWrap/>
            <w:vAlign w:val="center"/>
          </w:tcPr>
          <w:p w14:paraId="791456EE">
            <w:pPr>
              <w:spacing w:line="240" w:lineRule="atLeast"/>
              <w:jc w:val="center"/>
              <w:rPr>
                <w:rFonts w:ascii="宋体" w:hAnsi="宋体" w:cs="宋体"/>
                <w:sz w:val="21"/>
                <w:szCs w:val="21"/>
              </w:rPr>
            </w:pPr>
          </w:p>
        </w:tc>
        <w:tc>
          <w:tcPr>
            <w:tcW w:w="1567" w:type="dxa"/>
            <w:noWrap/>
            <w:vAlign w:val="center"/>
          </w:tcPr>
          <w:p w14:paraId="54246FCD">
            <w:pPr>
              <w:spacing w:line="240" w:lineRule="atLeast"/>
              <w:jc w:val="center"/>
              <w:rPr>
                <w:rFonts w:ascii="宋体" w:hAnsi="宋体" w:cs="宋体"/>
                <w:sz w:val="21"/>
                <w:szCs w:val="21"/>
              </w:rPr>
            </w:pPr>
          </w:p>
        </w:tc>
      </w:tr>
      <w:tr w14:paraId="79953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3" w:type="dxa"/>
            <w:gridSpan w:val="7"/>
            <w:noWrap/>
            <w:vAlign w:val="center"/>
          </w:tcPr>
          <w:p w14:paraId="34462E70">
            <w:pPr>
              <w:spacing w:line="240" w:lineRule="atLeast"/>
              <w:rPr>
                <w:rFonts w:ascii="宋体" w:hAnsi="宋体" w:cs="宋体"/>
                <w:sz w:val="21"/>
                <w:szCs w:val="21"/>
              </w:rPr>
            </w:pPr>
            <w:r>
              <w:rPr>
                <w:rFonts w:hint="eastAsia" w:ascii="宋体" w:hAnsi="宋体" w:cs="宋体"/>
                <w:sz w:val="21"/>
                <w:szCs w:val="21"/>
              </w:rPr>
              <w:t>合计人民币（小写）：</w:t>
            </w:r>
          </w:p>
        </w:tc>
      </w:tr>
      <w:tr w14:paraId="27C23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3" w:type="dxa"/>
            <w:gridSpan w:val="7"/>
            <w:noWrap/>
            <w:vAlign w:val="center"/>
          </w:tcPr>
          <w:p w14:paraId="01B93B19">
            <w:pPr>
              <w:spacing w:line="240" w:lineRule="atLeast"/>
              <w:rPr>
                <w:rFonts w:ascii="宋体" w:hAnsi="宋体" w:cs="宋体"/>
                <w:sz w:val="21"/>
                <w:szCs w:val="21"/>
              </w:rPr>
            </w:pPr>
            <w:r>
              <w:rPr>
                <w:rFonts w:hint="eastAsia" w:ascii="宋体" w:hAnsi="宋体" w:cs="宋体"/>
                <w:sz w:val="21"/>
                <w:szCs w:val="21"/>
              </w:rPr>
              <w:t>合计人民币（大写）：</w:t>
            </w:r>
          </w:p>
        </w:tc>
      </w:tr>
      <w:tr w14:paraId="68F50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613" w:type="dxa"/>
            <w:gridSpan w:val="7"/>
            <w:noWrap/>
          </w:tcPr>
          <w:p w14:paraId="1715885F">
            <w:pPr>
              <w:spacing w:line="240" w:lineRule="atLeast"/>
              <w:rPr>
                <w:rFonts w:ascii="宋体" w:hAnsi="宋体" w:cs="宋体"/>
                <w:sz w:val="21"/>
                <w:szCs w:val="21"/>
              </w:rPr>
            </w:pPr>
            <w:r>
              <w:rPr>
                <w:rFonts w:hint="eastAsia" w:ascii="宋体" w:hAnsi="宋体" w:cs="宋体"/>
                <w:sz w:val="21"/>
                <w:szCs w:val="21"/>
              </w:rPr>
              <w:t>一、施工要求</w:t>
            </w:r>
          </w:p>
        </w:tc>
      </w:tr>
      <w:tr w14:paraId="008B0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9613" w:type="dxa"/>
            <w:gridSpan w:val="7"/>
            <w:noWrap/>
          </w:tcPr>
          <w:p w14:paraId="51D770A1">
            <w:pPr>
              <w:spacing w:line="240" w:lineRule="atLeast"/>
              <w:rPr>
                <w:rFonts w:ascii="宋体" w:hAnsi="宋体" w:cs="宋体"/>
                <w:sz w:val="21"/>
                <w:szCs w:val="21"/>
              </w:rPr>
            </w:pPr>
            <w:r>
              <w:rPr>
                <w:rFonts w:hint="eastAsia" w:ascii="宋体" w:hAnsi="宋体" w:cs="宋体"/>
                <w:sz w:val="21"/>
                <w:szCs w:val="21"/>
              </w:rPr>
              <w:t>二、验收方式</w:t>
            </w:r>
          </w:p>
        </w:tc>
      </w:tr>
      <w:tr w14:paraId="1E891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3" w:type="dxa"/>
            <w:gridSpan w:val="7"/>
            <w:noWrap/>
          </w:tcPr>
          <w:p w14:paraId="000CC391">
            <w:pPr>
              <w:spacing w:line="240" w:lineRule="atLeast"/>
              <w:rPr>
                <w:rFonts w:ascii="宋体" w:hAnsi="宋体" w:cs="宋体"/>
                <w:sz w:val="21"/>
                <w:szCs w:val="21"/>
              </w:rPr>
            </w:pPr>
            <w:r>
              <w:rPr>
                <w:rFonts w:hint="eastAsia" w:ascii="宋体" w:hAnsi="宋体" w:cs="宋体"/>
                <w:sz w:val="21"/>
                <w:szCs w:val="21"/>
              </w:rPr>
              <w:t>三、付款方式：</w:t>
            </w:r>
          </w:p>
          <w:p w14:paraId="77B38C68">
            <w:pPr>
              <w:spacing w:line="240" w:lineRule="atLeast"/>
              <w:rPr>
                <w:rFonts w:ascii="宋体" w:hAnsi="宋体" w:cs="宋体"/>
                <w:sz w:val="21"/>
                <w:szCs w:val="21"/>
              </w:rPr>
            </w:pPr>
            <w:r>
              <w:rPr>
                <w:rFonts w:hint="eastAsia" w:ascii="宋体" w:hAnsi="宋体" w:cs="宋体"/>
                <w:sz w:val="21"/>
                <w:szCs w:val="21"/>
              </w:rPr>
              <w:t>1.预付款：合同签订后15个工作日内甲方支付预付款比例不低于合同金额的30%；</w:t>
            </w:r>
          </w:p>
          <w:p w14:paraId="09D298ED">
            <w:pPr>
              <w:spacing w:line="240" w:lineRule="atLeast"/>
              <w:rPr>
                <w:rFonts w:ascii="宋体" w:hAnsi="宋体" w:cs="宋体"/>
                <w:sz w:val="21"/>
                <w:szCs w:val="21"/>
              </w:rPr>
            </w:pPr>
            <w:r>
              <w:rPr>
                <w:rFonts w:hint="eastAsia" w:ascii="宋体" w:hAnsi="宋体" w:cs="宋体"/>
                <w:sz w:val="21"/>
                <w:szCs w:val="21"/>
              </w:rPr>
              <w:t>2.现场基础装修完工后10个工作日内采购人支付进度款至合同金额的60%；</w:t>
            </w:r>
          </w:p>
          <w:p w14:paraId="1E9B2F17">
            <w:pPr>
              <w:spacing w:line="240" w:lineRule="atLeast"/>
              <w:rPr>
                <w:rFonts w:ascii="宋体" w:hAnsi="宋体" w:cs="宋体"/>
                <w:sz w:val="21"/>
                <w:szCs w:val="21"/>
              </w:rPr>
            </w:pPr>
            <w:r>
              <w:rPr>
                <w:rFonts w:hint="eastAsia" w:ascii="宋体" w:hAnsi="宋体" w:cs="宋体"/>
                <w:sz w:val="21"/>
                <w:szCs w:val="21"/>
              </w:rPr>
              <w:t>3.工程完工验收合格后15个工作日内甲方支付至合同金额的80%；</w:t>
            </w:r>
          </w:p>
          <w:p w14:paraId="2F6EDA10">
            <w:pPr>
              <w:spacing w:line="240" w:lineRule="atLeast"/>
              <w:rPr>
                <w:rFonts w:ascii="宋体" w:hAnsi="宋体" w:cs="宋体"/>
                <w:sz w:val="21"/>
                <w:szCs w:val="21"/>
              </w:rPr>
            </w:pPr>
            <w:r>
              <w:rPr>
                <w:rFonts w:hint="eastAsia" w:ascii="宋体" w:hAnsi="宋体" w:cs="宋体"/>
                <w:sz w:val="21"/>
                <w:szCs w:val="21"/>
              </w:rPr>
              <w:t xml:space="preserve">4.工程竣工验收合格且通过结算审计后，15个工作日内甲方支付至审定金额的97%；剩余结算审定金额的3%转为质保金；                                                                                                            </w:t>
            </w:r>
          </w:p>
          <w:p w14:paraId="223D2A7C">
            <w:pPr>
              <w:spacing w:line="240" w:lineRule="atLeast"/>
              <w:rPr>
                <w:rFonts w:ascii="宋体" w:hAnsi="宋体" w:cs="宋体"/>
                <w:sz w:val="21"/>
                <w:szCs w:val="21"/>
              </w:rPr>
            </w:pPr>
            <w:r>
              <w:rPr>
                <w:rFonts w:hint="eastAsia" w:ascii="宋体" w:hAnsi="宋体" w:cs="宋体"/>
                <w:sz w:val="21"/>
                <w:szCs w:val="21"/>
              </w:rPr>
              <w:t>5.缺陷责任期（</w:t>
            </w:r>
            <w:r>
              <w:rPr>
                <w:rFonts w:hint="eastAsia" w:ascii="宋体" w:hAnsi="宋体" w:cs="宋体"/>
                <w:sz w:val="21"/>
                <w:szCs w:val="21"/>
                <w:lang w:eastAsia="zh-CN"/>
              </w:rPr>
              <w:t>18个月</w:t>
            </w:r>
            <w:r>
              <w:rPr>
                <w:rFonts w:hint="eastAsia" w:ascii="宋体" w:hAnsi="宋体" w:cs="宋体"/>
                <w:sz w:val="21"/>
                <w:szCs w:val="21"/>
              </w:rPr>
              <w:t>，若供应商有最优承诺，按最优承诺执行) 满，无工程质量争议且甲方收到发票等完整的付款资料后，甲方30个工作日内支付至审定金额的100%；</w:t>
            </w:r>
          </w:p>
          <w:p w14:paraId="3A46F482">
            <w:pPr>
              <w:spacing w:line="240" w:lineRule="atLeast"/>
              <w:rPr>
                <w:rFonts w:ascii="宋体" w:hAnsi="宋体" w:cs="宋体"/>
                <w:sz w:val="21"/>
                <w:szCs w:val="21"/>
              </w:rPr>
            </w:pPr>
            <w:r>
              <w:rPr>
                <w:rFonts w:hint="eastAsia" w:ascii="宋体" w:hAnsi="宋体" w:cs="宋体"/>
                <w:sz w:val="21"/>
                <w:szCs w:val="21"/>
              </w:rPr>
              <w:t>6.其他付款要求</w:t>
            </w:r>
          </w:p>
          <w:p w14:paraId="10386E15">
            <w:pPr>
              <w:spacing w:line="240" w:lineRule="atLeast"/>
              <w:rPr>
                <w:rFonts w:ascii="宋体" w:hAnsi="宋体" w:cs="宋体"/>
                <w:sz w:val="21"/>
                <w:szCs w:val="21"/>
              </w:rPr>
            </w:pPr>
            <w:r>
              <w:rPr>
                <w:rFonts w:hint="eastAsia" w:ascii="宋体" w:hAnsi="宋体" w:cs="宋体"/>
                <w:sz w:val="21"/>
                <w:szCs w:val="21"/>
              </w:rPr>
              <w:t>6.1乙方不得发生拖欠农民工工资行为，严格按照渝人社发〔2022〕45号《重庆市工程建设领域农民工工资专用账户管理实施细则》要求支付民工工资。</w:t>
            </w:r>
          </w:p>
          <w:p w14:paraId="7178BFBA">
            <w:pPr>
              <w:spacing w:line="240" w:lineRule="atLeast"/>
              <w:rPr>
                <w:rFonts w:ascii="宋体" w:hAnsi="宋体" w:cs="宋体"/>
                <w:sz w:val="21"/>
                <w:szCs w:val="21"/>
              </w:rPr>
            </w:pPr>
            <w:r>
              <w:rPr>
                <w:rFonts w:hint="eastAsia" w:ascii="宋体" w:hAnsi="宋体" w:cs="宋体"/>
                <w:sz w:val="21"/>
                <w:szCs w:val="21"/>
              </w:rPr>
              <w:t>注：①每次付款前，乙方须按有关规定提供合格发票，因乙方原因未能及时提供发票造成的支付延期由乙方承担全部责任。</w:t>
            </w:r>
          </w:p>
          <w:p w14:paraId="4D0BA901">
            <w:pPr>
              <w:spacing w:line="240" w:lineRule="atLeast"/>
              <w:rPr>
                <w:rFonts w:ascii="宋体" w:hAnsi="宋体" w:cs="宋体"/>
                <w:sz w:val="21"/>
                <w:szCs w:val="21"/>
              </w:rPr>
            </w:pPr>
            <w:r>
              <w:rPr>
                <w:rFonts w:hint="eastAsia" w:ascii="宋体" w:hAnsi="宋体" w:cs="宋体"/>
                <w:sz w:val="21"/>
                <w:szCs w:val="21"/>
              </w:rPr>
              <w:t>②甲方在支付预付款前，乙方须向甲方提供与预付款同等额度的见索即付不可撤销的金融机构、担保机构出具的保函。如乙方收到预付款后不履行相关义务，甲方可通过担保函收回已支付的预付款。</w:t>
            </w:r>
          </w:p>
          <w:p w14:paraId="2219DFFD">
            <w:pPr>
              <w:pStyle w:val="20"/>
              <w:rPr>
                <w:color w:val="auto"/>
              </w:rPr>
            </w:pPr>
            <w:r>
              <w:rPr>
                <w:rFonts w:hint="eastAsia" w:hAnsi="宋体" w:cs="宋体"/>
                <w:color w:val="auto"/>
                <w:sz w:val="21"/>
                <w:szCs w:val="21"/>
              </w:rPr>
              <w:t>6.2 结算审计审减率超过10%(含)以上的，审计费由甲方和乙方各承担一半，乙方在结算尾款前支付相应审计费，未能及时支付的，甲方在支付工程结算款时扣除。</w:t>
            </w:r>
          </w:p>
        </w:tc>
      </w:tr>
      <w:tr w14:paraId="46C8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3" w:type="dxa"/>
            <w:gridSpan w:val="7"/>
            <w:noWrap/>
          </w:tcPr>
          <w:p w14:paraId="71BB9F33">
            <w:pPr>
              <w:spacing w:line="240" w:lineRule="atLeast"/>
              <w:rPr>
                <w:rFonts w:ascii="宋体" w:hAnsi="宋体" w:cs="宋体"/>
                <w:sz w:val="21"/>
                <w:szCs w:val="21"/>
              </w:rPr>
            </w:pPr>
            <w:r>
              <w:rPr>
                <w:rFonts w:hint="eastAsia" w:ascii="宋体" w:hAnsi="宋体" w:cs="宋体"/>
                <w:sz w:val="21"/>
                <w:szCs w:val="21"/>
              </w:rPr>
              <w:t>四、履约保证金：</w:t>
            </w:r>
          </w:p>
          <w:p w14:paraId="04642681">
            <w:pPr>
              <w:spacing w:line="240" w:lineRule="atLeast"/>
              <w:rPr>
                <w:rFonts w:ascii="宋体" w:hAnsi="宋体" w:cs="宋体"/>
                <w:sz w:val="21"/>
                <w:szCs w:val="21"/>
              </w:rPr>
            </w:pPr>
            <w:r>
              <w:rPr>
                <w:rFonts w:hint="eastAsia" w:ascii="宋体" w:hAnsi="宋体" w:cs="宋体"/>
                <w:sz w:val="21"/>
                <w:szCs w:val="21"/>
              </w:rPr>
              <w:t>1.履约担保金的形式:银行转账、支票、电汇、见索即付不可撤销的金融机构、担保机构出具的保函等非现金形式。</w:t>
            </w:r>
          </w:p>
          <w:p w14:paraId="1B1FEC1D">
            <w:pPr>
              <w:spacing w:line="240" w:lineRule="atLeast"/>
              <w:rPr>
                <w:rFonts w:ascii="宋体" w:hAnsi="宋体" w:cs="宋体"/>
                <w:sz w:val="21"/>
                <w:szCs w:val="21"/>
              </w:rPr>
            </w:pPr>
            <w:r>
              <w:rPr>
                <w:rFonts w:hint="eastAsia" w:ascii="宋体" w:hAnsi="宋体" w:cs="宋体"/>
                <w:sz w:val="21"/>
                <w:szCs w:val="21"/>
              </w:rPr>
              <w:t>2.履约担保金的金额:合同成交金额的5%。</w:t>
            </w:r>
          </w:p>
          <w:p w14:paraId="5E1ABEB2">
            <w:pPr>
              <w:spacing w:line="240" w:lineRule="atLeast"/>
              <w:rPr>
                <w:rFonts w:ascii="宋体" w:hAnsi="宋体" w:cs="宋体"/>
                <w:sz w:val="21"/>
                <w:szCs w:val="21"/>
              </w:rPr>
            </w:pPr>
            <w:r>
              <w:rPr>
                <w:rFonts w:hint="eastAsia" w:ascii="宋体" w:hAnsi="宋体" w:cs="宋体"/>
                <w:sz w:val="21"/>
                <w:szCs w:val="21"/>
              </w:rPr>
              <w:t>3.履约担保期限：自合同生效之日起，至工程竣工验收合格并完成竣工结算审计之日止。</w:t>
            </w:r>
          </w:p>
          <w:p w14:paraId="578D0359">
            <w:pPr>
              <w:spacing w:line="240" w:lineRule="atLeast"/>
              <w:rPr>
                <w:rFonts w:ascii="宋体" w:hAnsi="宋体" w:cs="宋体"/>
                <w:sz w:val="21"/>
                <w:szCs w:val="21"/>
              </w:rPr>
            </w:pPr>
            <w:r>
              <w:rPr>
                <w:rFonts w:hint="eastAsia" w:ascii="宋体" w:hAnsi="宋体" w:cs="宋体"/>
                <w:sz w:val="21"/>
                <w:szCs w:val="21"/>
              </w:rPr>
              <w:t>4.履约担保金提交时间：乙方应在</w:t>
            </w:r>
            <w:r>
              <w:rPr>
                <w:rFonts w:hint="eastAsia" w:ascii="宋体" w:hAnsi="宋体" w:cs="宋体"/>
                <w:sz w:val="21"/>
                <w:szCs w:val="21"/>
                <w:lang w:eastAsia="zh-CN"/>
              </w:rPr>
              <w:t>合同签订时</w:t>
            </w:r>
            <w:r>
              <w:rPr>
                <w:rFonts w:hint="eastAsia" w:ascii="宋体" w:hAnsi="宋体" w:cs="宋体"/>
                <w:sz w:val="21"/>
                <w:szCs w:val="21"/>
              </w:rPr>
              <w:t>汇入甲方指定账户或提交见索即付不可撤销的金融机构、担保机构出具的保函。未按约定时间到账或提交的，经甲方报有关部门研究同意后有权终止合同签订。</w:t>
            </w:r>
          </w:p>
          <w:p w14:paraId="2A62DDDA">
            <w:pPr>
              <w:spacing w:line="240" w:lineRule="atLeast"/>
              <w:rPr>
                <w:rFonts w:ascii="宋体" w:hAnsi="宋体" w:cs="宋体"/>
                <w:sz w:val="21"/>
                <w:szCs w:val="21"/>
              </w:rPr>
            </w:pPr>
            <w:r>
              <w:rPr>
                <w:rFonts w:hint="eastAsia" w:ascii="宋体" w:hAnsi="宋体" w:cs="宋体"/>
                <w:sz w:val="21"/>
                <w:szCs w:val="21"/>
              </w:rPr>
              <w:t>5.履约担保金返还方式：工程竣工验收合格且通过结算审计后15个工作日内一次性退还（不计利息）。</w:t>
            </w:r>
          </w:p>
          <w:p w14:paraId="5445FB32">
            <w:pPr>
              <w:pStyle w:val="20"/>
            </w:pPr>
            <w:r>
              <w:rPr>
                <w:rFonts w:hint="eastAsia" w:hAnsi="宋体" w:cs="宋体"/>
                <w:color w:val="auto"/>
                <w:sz w:val="21"/>
                <w:szCs w:val="21"/>
              </w:rPr>
              <w:t>6.若因乙方原因，</w:t>
            </w:r>
            <w:r>
              <w:rPr>
                <w:rFonts w:hint="eastAsia" w:ascii="宋体" w:hAnsi="宋体"/>
                <w:sz w:val="24"/>
                <w:szCs w:val="24"/>
              </w:rPr>
              <w:t>其提供本</w:t>
            </w:r>
            <w:r>
              <w:rPr>
                <w:rFonts w:hint="eastAsia" w:ascii="宋体" w:hAnsi="宋体" w:cs="宋体"/>
                <w:kern w:val="0"/>
                <w:sz w:val="24"/>
                <w:szCs w:val="24"/>
              </w:rPr>
              <w:t>项目所需货物及材料及工期</w:t>
            </w:r>
            <w:r>
              <w:rPr>
                <w:rFonts w:hint="eastAsia" w:ascii="宋体" w:hAnsi="宋体"/>
                <w:sz w:val="24"/>
                <w:szCs w:val="24"/>
              </w:rPr>
              <w:t>未达到合同或采购文件规定的标准，</w:t>
            </w:r>
            <w:r>
              <w:rPr>
                <w:rFonts w:hint="eastAsia" w:hAnsi="宋体" w:cs="宋体"/>
                <w:color w:val="auto"/>
                <w:sz w:val="21"/>
                <w:szCs w:val="21"/>
              </w:rPr>
              <w:t>并对甲方造成损失的，乙方应承担全部赔偿责任。甲方有权从履约保证金中扣除相当于实际损失金额的款项；若实际损失超过履约保证金金额，甲方有权就超出部分继续向成交供应商追偿。</w:t>
            </w:r>
          </w:p>
          <w:p w14:paraId="330116F6"/>
        </w:tc>
      </w:tr>
      <w:tr w14:paraId="14FA3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3" w:hRule="atLeast"/>
        </w:trPr>
        <w:tc>
          <w:tcPr>
            <w:tcW w:w="9613" w:type="dxa"/>
            <w:gridSpan w:val="7"/>
            <w:noWrap/>
          </w:tcPr>
          <w:p w14:paraId="4AFC64C2">
            <w:pPr>
              <w:spacing w:line="240" w:lineRule="atLeast"/>
              <w:rPr>
                <w:rFonts w:ascii="宋体" w:hAnsi="宋体" w:cs="宋体"/>
                <w:sz w:val="21"/>
                <w:szCs w:val="21"/>
              </w:rPr>
            </w:pPr>
            <w:r>
              <w:rPr>
                <w:rFonts w:hint="eastAsia" w:ascii="宋体" w:hAnsi="宋体" w:cs="宋体"/>
                <w:sz w:val="21"/>
                <w:szCs w:val="21"/>
              </w:rPr>
              <w:t>五、违约责任：</w:t>
            </w:r>
          </w:p>
          <w:p w14:paraId="387F648F">
            <w:pPr>
              <w:spacing w:line="240" w:lineRule="atLeast"/>
              <w:rPr>
                <w:rFonts w:ascii="宋体" w:hAnsi="宋体" w:cs="宋体"/>
                <w:sz w:val="21"/>
                <w:szCs w:val="21"/>
              </w:rPr>
            </w:pPr>
            <w:r>
              <w:rPr>
                <w:rFonts w:hint="eastAsia" w:ascii="宋体" w:hAnsi="宋体" w:cs="宋体"/>
                <w:sz w:val="21"/>
                <w:szCs w:val="21"/>
              </w:rPr>
              <w:t>1、乙方逾期完工的，每逾期一日，应向甲方承担合同金额  ‰的违约金；逾期达  日的，甲方有权解除合同，除上述违约责任外乙方还应当向甲方支付合同金额  %的违约金。违约金不足以弥补甲方全部损失的，乙方还应予以赔偿。</w:t>
            </w:r>
          </w:p>
          <w:p w14:paraId="65DCCF60">
            <w:pPr>
              <w:spacing w:line="240" w:lineRule="atLeast"/>
              <w:rPr>
                <w:rFonts w:ascii="宋体" w:hAnsi="宋体" w:cs="宋体"/>
                <w:sz w:val="21"/>
                <w:szCs w:val="21"/>
              </w:rPr>
            </w:pPr>
            <w:r>
              <w:rPr>
                <w:rFonts w:hint="eastAsia" w:ascii="宋体" w:hAnsi="宋体" w:cs="宋体"/>
                <w:sz w:val="21"/>
                <w:szCs w:val="21"/>
              </w:rPr>
              <w:t>2、经甲方验收未通过的，乙方应当无偿进行整改，完工期限不顺延。乙方因整改导致逾期完工的，按逾期完工的约定处理。经甲方二次验收仍不能通过的，甲方有权解除合同，除上述违约责任外乙方还应当向甲方支付合同金额  %的违约金。违约金不足以弥补甲方全部损失的，乙方还应予以赔偿。</w:t>
            </w:r>
          </w:p>
          <w:p w14:paraId="2141029F">
            <w:pPr>
              <w:spacing w:line="240" w:lineRule="atLeast"/>
              <w:rPr>
                <w:rFonts w:ascii="宋体" w:hAnsi="宋体" w:cs="宋体"/>
                <w:sz w:val="21"/>
                <w:szCs w:val="21"/>
              </w:rPr>
            </w:pPr>
            <w:r>
              <w:rPr>
                <w:rFonts w:hint="eastAsia" w:ascii="宋体" w:hAnsi="宋体" w:cs="宋体"/>
                <w:sz w:val="21"/>
                <w:szCs w:val="21"/>
              </w:rPr>
              <w:t>3、其他违约行为按《中华人民共和国民法典》、《中华人民共和国政府采购法》执行，或按双方约定。</w:t>
            </w:r>
          </w:p>
        </w:tc>
      </w:tr>
      <w:tr w14:paraId="2E531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613" w:type="dxa"/>
            <w:gridSpan w:val="7"/>
            <w:noWrap/>
          </w:tcPr>
          <w:p w14:paraId="58886238">
            <w:pPr>
              <w:tabs>
                <w:tab w:val="center" w:pos="4698"/>
              </w:tabs>
              <w:spacing w:line="240" w:lineRule="atLeast"/>
              <w:rPr>
                <w:rFonts w:ascii="宋体" w:hAnsi="宋体" w:cs="宋体"/>
                <w:sz w:val="21"/>
                <w:szCs w:val="21"/>
              </w:rPr>
            </w:pPr>
            <w:r>
              <w:rPr>
                <w:rFonts w:hint="eastAsia" w:ascii="宋体" w:hAnsi="宋体" w:cs="宋体"/>
                <w:sz w:val="21"/>
                <w:szCs w:val="21"/>
              </w:rPr>
              <w:t>六、其他约定事项：</w:t>
            </w:r>
            <w:r>
              <w:rPr>
                <w:rFonts w:ascii="宋体" w:hAnsi="宋体" w:cs="宋体"/>
                <w:sz w:val="21"/>
                <w:szCs w:val="21"/>
              </w:rPr>
              <w:tab/>
            </w:r>
          </w:p>
          <w:p w14:paraId="679B7F47">
            <w:pPr>
              <w:spacing w:line="240" w:lineRule="atLeast"/>
              <w:rPr>
                <w:rFonts w:ascii="宋体" w:hAnsi="宋体" w:cs="宋体"/>
                <w:sz w:val="21"/>
                <w:szCs w:val="21"/>
              </w:rPr>
            </w:pPr>
            <w:r>
              <w:rPr>
                <w:rFonts w:hint="eastAsia" w:ascii="宋体" w:hAnsi="宋体" w:cs="宋体"/>
                <w:sz w:val="21"/>
                <w:szCs w:val="21"/>
              </w:rPr>
              <w:t>1.采购文件及其澄清文件、响应文件和承诺是本合同不可分割的部分。</w:t>
            </w:r>
          </w:p>
          <w:p w14:paraId="6D8F2A27">
            <w:pPr>
              <w:spacing w:line="240" w:lineRule="atLeast"/>
              <w:rPr>
                <w:rFonts w:ascii="宋体" w:hAnsi="宋体" w:cs="宋体"/>
                <w:sz w:val="21"/>
                <w:szCs w:val="21"/>
              </w:rPr>
            </w:pPr>
            <w:r>
              <w:rPr>
                <w:rFonts w:hint="eastAsia" w:ascii="宋体" w:hAnsi="宋体" w:cs="宋体"/>
                <w:sz w:val="21"/>
                <w:szCs w:val="21"/>
              </w:rPr>
              <w:t>2.本合同如发生争议由双方协商解决，协商不成向需方所在人民法院提请诉讼。</w:t>
            </w:r>
          </w:p>
          <w:p w14:paraId="56F36CF5">
            <w:pPr>
              <w:spacing w:line="240" w:lineRule="atLeast"/>
              <w:rPr>
                <w:rFonts w:ascii="宋体" w:hAnsi="宋体" w:cs="宋体"/>
                <w:sz w:val="21"/>
                <w:szCs w:val="21"/>
              </w:rPr>
            </w:pPr>
            <w:r>
              <w:rPr>
                <w:rFonts w:hint="eastAsia" w:ascii="宋体" w:hAnsi="宋体" w:cs="宋体"/>
                <w:sz w:val="21"/>
                <w:szCs w:val="21"/>
              </w:rPr>
              <w:t>3.本合同一式__份， 需方__份，供方__份，具同等法律效力。</w:t>
            </w:r>
          </w:p>
          <w:p w14:paraId="28DDFD26">
            <w:pPr>
              <w:spacing w:line="240" w:lineRule="atLeast"/>
              <w:rPr>
                <w:rFonts w:ascii="宋体" w:hAnsi="宋体" w:cs="宋体"/>
                <w:sz w:val="21"/>
                <w:szCs w:val="21"/>
              </w:rPr>
            </w:pPr>
            <w:r>
              <w:rPr>
                <w:rFonts w:hint="eastAsia" w:ascii="宋体" w:hAnsi="宋体" w:cs="宋体"/>
                <w:sz w:val="21"/>
                <w:szCs w:val="21"/>
              </w:rPr>
              <w:t>4.其他：双方确认各自在本合同签署页预留地址（如未填写，送达地址以工商登记注册地址为准，收件人以工商登记的法定代表人为准）均能有效送达，一方向另一方按预留地址邮寄送达书面文书、通知的，自邮件寄出之日起四日后视为送达。一方变更地址的，应提前书面通知对方，否则按预留地址送达有效。司法机关就司法文书的送达适用本条约定。（以下无正文，为签署页）</w:t>
            </w:r>
          </w:p>
        </w:tc>
      </w:tr>
      <w:tr w14:paraId="260B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3"/>
            <w:noWrap/>
          </w:tcPr>
          <w:p w14:paraId="127C34EE">
            <w:pPr>
              <w:spacing w:line="240" w:lineRule="atLeast"/>
              <w:rPr>
                <w:rFonts w:ascii="宋体" w:hAnsi="宋体" w:cs="宋体"/>
                <w:sz w:val="21"/>
                <w:szCs w:val="21"/>
              </w:rPr>
            </w:pPr>
            <w:r>
              <w:rPr>
                <w:rFonts w:hint="eastAsia" w:ascii="宋体" w:hAnsi="宋体" w:cs="宋体"/>
                <w:sz w:val="21"/>
                <w:szCs w:val="21"/>
              </w:rPr>
              <w:t>需方：</w:t>
            </w:r>
          </w:p>
          <w:p w14:paraId="5D414275">
            <w:pPr>
              <w:spacing w:line="240" w:lineRule="atLeast"/>
              <w:rPr>
                <w:rFonts w:ascii="宋体" w:hAnsi="宋体" w:cs="宋体"/>
                <w:sz w:val="21"/>
                <w:szCs w:val="21"/>
              </w:rPr>
            </w:pPr>
            <w:r>
              <w:rPr>
                <w:rFonts w:hint="eastAsia" w:ascii="宋体" w:hAnsi="宋体" w:cs="宋体"/>
                <w:sz w:val="21"/>
                <w:szCs w:val="21"/>
              </w:rPr>
              <w:t>地址：</w:t>
            </w:r>
          </w:p>
          <w:p w14:paraId="6B29CE5D">
            <w:pPr>
              <w:spacing w:line="240" w:lineRule="atLeast"/>
              <w:rPr>
                <w:rFonts w:ascii="宋体" w:hAnsi="宋体" w:cs="宋体"/>
                <w:sz w:val="21"/>
                <w:szCs w:val="21"/>
              </w:rPr>
            </w:pPr>
            <w:r>
              <w:rPr>
                <w:rFonts w:hint="eastAsia" w:ascii="宋体" w:hAnsi="宋体" w:cs="宋体"/>
                <w:sz w:val="21"/>
                <w:szCs w:val="21"/>
              </w:rPr>
              <w:t>联系电话：</w:t>
            </w:r>
          </w:p>
          <w:p w14:paraId="336A3D4B">
            <w:pPr>
              <w:spacing w:line="240" w:lineRule="atLeast"/>
              <w:rPr>
                <w:rFonts w:ascii="宋体" w:hAnsi="宋体" w:cs="宋体"/>
                <w:sz w:val="21"/>
                <w:szCs w:val="21"/>
              </w:rPr>
            </w:pPr>
            <w:r>
              <w:rPr>
                <w:rFonts w:hint="eastAsia" w:ascii="宋体" w:hAnsi="宋体" w:cs="宋体"/>
                <w:sz w:val="21"/>
                <w:szCs w:val="21"/>
              </w:rPr>
              <w:t>授权代表：</w:t>
            </w:r>
          </w:p>
        </w:tc>
        <w:tc>
          <w:tcPr>
            <w:tcW w:w="4969" w:type="dxa"/>
            <w:gridSpan w:val="4"/>
            <w:noWrap/>
          </w:tcPr>
          <w:p w14:paraId="67774D96">
            <w:pPr>
              <w:spacing w:line="240" w:lineRule="atLeast"/>
              <w:rPr>
                <w:rFonts w:ascii="宋体" w:hAnsi="宋体" w:cs="宋体"/>
                <w:sz w:val="21"/>
                <w:szCs w:val="21"/>
              </w:rPr>
            </w:pPr>
            <w:r>
              <w:rPr>
                <w:rFonts w:hint="eastAsia" w:ascii="宋体" w:hAnsi="宋体" w:cs="宋体"/>
                <w:sz w:val="21"/>
                <w:szCs w:val="21"/>
              </w:rPr>
              <w:t>供方：</w:t>
            </w:r>
          </w:p>
          <w:p w14:paraId="396F3D29">
            <w:pPr>
              <w:spacing w:line="240" w:lineRule="atLeast"/>
              <w:rPr>
                <w:rFonts w:ascii="宋体" w:hAnsi="宋体" w:cs="宋体"/>
                <w:sz w:val="21"/>
                <w:szCs w:val="21"/>
              </w:rPr>
            </w:pPr>
            <w:r>
              <w:rPr>
                <w:rFonts w:hint="eastAsia" w:ascii="宋体" w:hAnsi="宋体" w:cs="宋体"/>
                <w:sz w:val="21"/>
                <w:szCs w:val="21"/>
              </w:rPr>
              <w:t>地址：</w:t>
            </w:r>
          </w:p>
          <w:p w14:paraId="2EC53873">
            <w:pPr>
              <w:spacing w:line="240" w:lineRule="atLeast"/>
              <w:rPr>
                <w:rFonts w:ascii="宋体" w:hAnsi="宋体" w:cs="宋体"/>
                <w:sz w:val="21"/>
                <w:szCs w:val="21"/>
              </w:rPr>
            </w:pPr>
            <w:r>
              <w:rPr>
                <w:rFonts w:hint="eastAsia" w:ascii="宋体" w:hAnsi="宋体" w:cs="宋体"/>
                <w:sz w:val="21"/>
                <w:szCs w:val="21"/>
              </w:rPr>
              <w:t>电话：</w:t>
            </w:r>
          </w:p>
          <w:p w14:paraId="019186F1">
            <w:pPr>
              <w:spacing w:line="240" w:lineRule="atLeast"/>
              <w:rPr>
                <w:rFonts w:ascii="宋体" w:hAnsi="宋体" w:cs="宋体"/>
                <w:sz w:val="21"/>
                <w:szCs w:val="21"/>
              </w:rPr>
            </w:pPr>
            <w:r>
              <w:rPr>
                <w:rFonts w:hint="eastAsia" w:ascii="宋体" w:hAnsi="宋体" w:cs="宋体"/>
                <w:sz w:val="21"/>
                <w:szCs w:val="21"/>
              </w:rPr>
              <w:t>传真：</w:t>
            </w:r>
          </w:p>
          <w:p w14:paraId="23B745E7">
            <w:pPr>
              <w:spacing w:line="240" w:lineRule="atLeast"/>
              <w:rPr>
                <w:rFonts w:ascii="宋体" w:hAnsi="宋体" w:cs="宋体"/>
                <w:sz w:val="21"/>
                <w:szCs w:val="21"/>
              </w:rPr>
            </w:pPr>
            <w:r>
              <w:rPr>
                <w:rFonts w:hint="eastAsia" w:ascii="宋体" w:hAnsi="宋体" w:cs="宋体"/>
                <w:sz w:val="21"/>
                <w:szCs w:val="21"/>
              </w:rPr>
              <w:t>开户银行：</w:t>
            </w:r>
          </w:p>
          <w:p w14:paraId="2853779B">
            <w:pPr>
              <w:spacing w:line="240" w:lineRule="atLeast"/>
              <w:rPr>
                <w:rFonts w:ascii="宋体" w:hAnsi="宋体" w:cs="宋体"/>
                <w:sz w:val="21"/>
                <w:szCs w:val="21"/>
              </w:rPr>
            </w:pPr>
            <w:r>
              <w:rPr>
                <w:rFonts w:hint="eastAsia" w:ascii="宋体" w:hAnsi="宋体" w:cs="宋体"/>
                <w:sz w:val="21"/>
                <w:szCs w:val="21"/>
              </w:rPr>
              <w:t>账号：</w:t>
            </w:r>
          </w:p>
          <w:p w14:paraId="341DB87B">
            <w:pPr>
              <w:spacing w:line="240" w:lineRule="atLeast"/>
              <w:rPr>
                <w:rFonts w:ascii="宋体" w:hAnsi="宋体" w:cs="宋体"/>
                <w:sz w:val="21"/>
                <w:szCs w:val="21"/>
              </w:rPr>
            </w:pPr>
            <w:r>
              <w:rPr>
                <w:rFonts w:hint="eastAsia" w:ascii="宋体" w:hAnsi="宋体" w:cs="宋体"/>
                <w:sz w:val="21"/>
                <w:szCs w:val="21"/>
              </w:rPr>
              <w:t>授权代表：</w:t>
            </w:r>
          </w:p>
          <w:p w14:paraId="41D190A4">
            <w:pPr>
              <w:widowControl/>
              <w:spacing w:line="240" w:lineRule="atLeast"/>
              <w:jc w:val="left"/>
              <w:rPr>
                <w:rFonts w:ascii="宋体" w:hAnsi="宋体" w:cs="宋体"/>
                <w:sz w:val="21"/>
                <w:szCs w:val="21"/>
              </w:rPr>
            </w:pPr>
            <w:r>
              <w:rPr>
                <w:rFonts w:hint="eastAsia" w:ascii="宋体" w:hAnsi="宋体" w:cs="宋体"/>
                <w:sz w:val="21"/>
                <w:szCs w:val="21"/>
              </w:rPr>
              <w:t>（本栏请用计算机打印以便于准确付款）</w:t>
            </w:r>
          </w:p>
        </w:tc>
      </w:tr>
      <w:tr w14:paraId="3C50D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13" w:type="dxa"/>
            <w:gridSpan w:val="7"/>
            <w:noWrap/>
          </w:tcPr>
          <w:p w14:paraId="034D7DE4">
            <w:pPr>
              <w:spacing w:line="240" w:lineRule="atLeast"/>
              <w:rPr>
                <w:rFonts w:ascii="宋体" w:hAnsi="宋体" w:cs="宋体"/>
                <w:sz w:val="21"/>
                <w:szCs w:val="21"/>
              </w:rPr>
            </w:pPr>
            <w:r>
              <w:rPr>
                <w:rFonts w:hint="eastAsia" w:ascii="宋体" w:hAnsi="宋体" w:cs="宋体"/>
                <w:sz w:val="21"/>
                <w:szCs w:val="21"/>
              </w:rPr>
              <w:t>备注：</w:t>
            </w:r>
          </w:p>
          <w:p w14:paraId="092DE47E">
            <w:pPr>
              <w:spacing w:line="240" w:lineRule="atLeast"/>
              <w:rPr>
                <w:rFonts w:ascii="宋体" w:hAnsi="宋体" w:cs="宋体"/>
                <w:sz w:val="21"/>
                <w:szCs w:val="21"/>
              </w:rPr>
            </w:pPr>
          </w:p>
          <w:p w14:paraId="0B38FB60">
            <w:pPr>
              <w:spacing w:line="240" w:lineRule="atLeast"/>
              <w:rPr>
                <w:rFonts w:ascii="宋体" w:hAnsi="宋体" w:cs="宋体"/>
                <w:sz w:val="21"/>
                <w:szCs w:val="21"/>
              </w:rPr>
            </w:pPr>
          </w:p>
        </w:tc>
      </w:tr>
    </w:tbl>
    <w:p w14:paraId="66CA1C19">
      <w:pPr>
        <w:rPr>
          <w:rFonts w:ascii="宋体" w:hAnsi="宋体" w:cs="宋体"/>
          <w:sz w:val="24"/>
          <w:szCs w:val="22"/>
        </w:rPr>
      </w:pPr>
      <w:r>
        <w:rPr>
          <w:rFonts w:hint="eastAsia" w:ascii="宋体" w:hAnsi="宋体" w:cs="宋体"/>
          <w:sz w:val="24"/>
          <w:szCs w:val="22"/>
        </w:rPr>
        <w:t>签约时间：           年   月   日      签约地点：</w:t>
      </w:r>
    </w:p>
    <w:p w14:paraId="233F34E4">
      <w:pPr>
        <w:rPr>
          <w:rFonts w:ascii="宋体" w:hAnsi="宋体" w:cs="宋体"/>
          <w:sz w:val="24"/>
        </w:rPr>
      </w:pPr>
    </w:p>
    <w:p w14:paraId="798628AC">
      <w:pPr>
        <w:pStyle w:val="2"/>
        <w:tabs>
          <w:tab w:val="left" w:pos="3360"/>
        </w:tabs>
        <w:rPr>
          <w:rFonts w:cs="宋体"/>
          <w:szCs w:val="36"/>
        </w:rPr>
      </w:pPr>
      <w:r>
        <w:rPr>
          <w:rFonts w:hint="eastAsia" w:cs="宋体"/>
          <w:sz w:val="24"/>
        </w:rPr>
        <w:br w:type="page"/>
      </w:r>
      <w:bookmarkStart w:id="570" w:name="_Hlt41879464"/>
      <w:bookmarkEnd w:id="570"/>
      <w:bookmarkStart w:id="571" w:name="_Toc27521"/>
      <w:bookmarkStart w:id="572" w:name="_Toc76462349"/>
      <w:bookmarkStart w:id="573" w:name="_Toc16351"/>
      <w:bookmarkStart w:id="574" w:name="_Toc11195"/>
      <w:bookmarkStart w:id="575" w:name="_Toc5150"/>
      <w:bookmarkStart w:id="576" w:name="_Toc23433"/>
      <w:bookmarkStart w:id="577" w:name="_Toc6342"/>
      <w:bookmarkStart w:id="578" w:name="_Toc23212"/>
      <w:bookmarkStart w:id="579" w:name="_Toc17879"/>
      <w:bookmarkStart w:id="580" w:name="_Toc9338"/>
      <w:bookmarkStart w:id="581" w:name="_Toc211850968"/>
      <w:bookmarkStart w:id="582" w:name="_Toc2705"/>
      <w:bookmarkStart w:id="583" w:name="_Toc2393"/>
      <w:bookmarkStart w:id="584" w:name="_Toc429"/>
      <w:bookmarkStart w:id="585" w:name="_Toc7605"/>
      <w:bookmarkStart w:id="586" w:name="_Toc15809"/>
      <w:bookmarkStart w:id="587" w:name="_Toc19195"/>
      <w:bookmarkStart w:id="588" w:name="_Toc29379"/>
      <w:r>
        <w:rPr>
          <w:rFonts w:hint="eastAsia" w:cs="宋体"/>
          <w:szCs w:val="36"/>
        </w:rPr>
        <w:t>第七篇  响应文件编制要求</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7B08986B">
      <w:pPr>
        <w:spacing w:line="400" w:lineRule="exact"/>
        <w:ind w:firstLine="480" w:firstLineChars="200"/>
        <w:rPr>
          <w:rFonts w:ascii="宋体" w:hAnsi="宋体" w:cs="宋体"/>
          <w:sz w:val="24"/>
          <w:szCs w:val="24"/>
        </w:rPr>
      </w:pPr>
      <w:r>
        <w:rPr>
          <w:rFonts w:hint="eastAsia" w:ascii="宋体" w:hAnsi="宋体" w:cs="宋体"/>
          <w:sz w:val="24"/>
          <w:szCs w:val="24"/>
        </w:rPr>
        <w:t>一、经济部分</w:t>
      </w:r>
    </w:p>
    <w:p w14:paraId="0C190565">
      <w:pPr>
        <w:spacing w:line="400" w:lineRule="exact"/>
        <w:ind w:firstLine="480" w:firstLineChars="200"/>
        <w:rPr>
          <w:rFonts w:ascii="宋体" w:hAnsi="宋体" w:cs="宋体"/>
          <w:sz w:val="24"/>
          <w:szCs w:val="24"/>
        </w:rPr>
      </w:pPr>
      <w:r>
        <w:rPr>
          <w:rFonts w:hint="eastAsia" w:ascii="宋体" w:hAnsi="宋体" w:cs="宋体"/>
          <w:sz w:val="24"/>
          <w:szCs w:val="24"/>
        </w:rPr>
        <w:t>（一）竞争性磋商报价函</w:t>
      </w:r>
    </w:p>
    <w:p w14:paraId="0455EE14">
      <w:pPr>
        <w:spacing w:line="400" w:lineRule="exact"/>
        <w:ind w:firstLine="480" w:firstLineChars="200"/>
        <w:rPr>
          <w:rFonts w:ascii="宋体" w:hAnsi="宋体" w:cs="宋体"/>
          <w:sz w:val="24"/>
          <w:szCs w:val="24"/>
        </w:rPr>
      </w:pPr>
      <w:r>
        <w:rPr>
          <w:rFonts w:hint="eastAsia" w:ascii="宋体" w:hAnsi="宋体" w:cs="宋体"/>
          <w:sz w:val="24"/>
          <w:szCs w:val="24"/>
        </w:rPr>
        <w:t>（二）已标价工程量清单</w:t>
      </w:r>
    </w:p>
    <w:p w14:paraId="7CA7340B">
      <w:pPr>
        <w:spacing w:line="400" w:lineRule="exact"/>
        <w:ind w:firstLine="480" w:firstLineChars="200"/>
        <w:rPr>
          <w:rFonts w:ascii="宋体" w:hAnsi="宋体" w:cs="宋体"/>
          <w:sz w:val="24"/>
          <w:szCs w:val="24"/>
        </w:rPr>
      </w:pPr>
      <w:r>
        <w:rPr>
          <w:rFonts w:hint="eastAsia" w:ascii="宋体" w:hAnsi="宋体" w:cs="宋体"/>
          <w:sz w:val="24"/>
          <w:szCs w:val="24"/>
        </w:rPr>
        <w:t>二、服务部分</w:t>
      </w:r>
    </w:p>
    <w:p w14:paraId="27CAA318">
      <w:pPr>
        <w:spacing w:line="400" w:lineRule="exact"/>
        <w:ind w:firstLine="480" w:firstLineChars="200"/>
        <w:rPr>
          <w:rFonts w:ascii="宋体" w:hAnsi="宋体" w:cs="宋体"/>
          <w:sz w:val="24"/>
          <w:szCs w:val="24"/>
        </w:rPr>
      </w:pPr>
      <w:r>
        <w:rPr>
          <w:rFonts w:hint="eastAsia" w:ascii="宋体" w:hAnsi="宋体" w:cs="宋体"/>
          <w:sz w:val="24"/>
          <w:szCs w:val="24"/>
        </w:rPr>
        <w:t>（一）服务响应偏离表</w:t>
      </w:r>
    </w:p>
    <w:p w14:paraId="17C7914C">
      <w:pPr>
        <w:spacing w:line="400" w:lineRule="exact"/>
        <w:ind w:firstLine="480" w:firstLineChars="200"/>
        <w:rPr>
          <w:rFonts w:ascii="宋体" w:hAnsi="宋体" w:cs="宋体"/>
          <w:sz w:val="24"/>
          <w:szCs w:val="24"/>
        </w:rPr>
      </w:pPr>
      <w:r>
        <w:rPr>
          <w:rFonts w:hint="eastAsia" w:ascii="宋体" w:hAnsi="宋体" w:cs="宋体"/>
          <w:sz w:val="24"/>
          <w:szCs w:val="24"/>
        </w:rPr>
        <w:t>（二）其他资料（格式自定）</w:t>
      </w:r>
    </w:p>
    <w:p w14:paraId="069BAA94">
      <w:pPr>
        <w:spacing w:line="400" w:lineRule="exact"/>
        <w:ind w:firstLine="480" w:firstLineChars="200"/>
        <w:rPr>
          <w:rFonts w:ascii="宋体" w:hAnsi="宋体" w:cs="宋体"/>
          <w:sz w:val="24"/>
          <w:szCs w:val="24"/>
        </w:rPr>
      </w:pPr>
      <w:r>
        <w:rPr>
          <w:rFonts w:hint="eastAsia" w:ascii="宋体" w:hAnsi="宋体" w:cs="宋体"/>
          <w:sz w:val="24"/>
          <w:szCs w:val="24"/>
        </w:rPr>
        <w:t>三、商务部分</w:t>
      </w:r>
    </w:p>
    <w:p w14:paraId="3B5F6D4F">
      <w:pPr>
        <w:spacing w:line="400" w:lineRule="exact"/>
        <w:ind w:firstLine="480" w:firstLineChars="200"/>
        <w:rPr>
          <w:rFonts w:ascii="宋体" w:hAnsi="宋体" w:cs="宋体"/>
          <w:sz w:val="24"/>
          <w:szCs w:val="24"/>
        </w:rPr>
      </w:pPr>
      <w:r>
        <w:rPr>
          <w:rFonts w:hint="eastAsia" w:ascii="宋体" w:hAnsi="宋体" w:cs="宋体"/>
          <w:sz w:val="24"/>
          <w:szCs w:val="24"/>
        </w:rPr>
        <w:t>（一）商务响应偏离表</w:t>
      </w:r>
    </w:p>
    <w:p w14:paraId="3BFE5995">
      <w:pPr>
        <w:spacing w:line="400" w:lineRule="exact"/>
        <w:ind w:firstLine="480" w:firstLineChars="200"/>
        <w:rPr>
          <w:rFonts w:ascii="宋体" w:hAnsi="宋体" w:cs="宋体"/>
          <w:sz w:val="24"/>
          <w:szCs w:val="24"/>
        </w:rPr>
      </w:pPr>
      <w:r>
        <w:rPr>
          <w:rFonts w:hint="eastAsia" w:ascii="宋体" w:hAnsi="宋体" w:cs="宋体"/>
          <w:sz w:val="24"/>
          <w:szCs w:val="24"/>
        </w:rPr>
        <w:t>（二）其它优惠服务承诺（格式自定）</w:t>
      </w:r>
    </w:p>
    <w:p w14:paraId="568E9556">
      <w:pPr>
        <w:spacing w:line="400" w:lineRule="exact"/>
        <w:ind w:firstLine="480" w:firstLineChars="200"/>
        <w:rPr>
          <w:rFonts w:ascii="宋体" w:hAnsi="宋体" w:cs="宋体"/>
          <w:sz w:val="24"/>
          <w:szCs w:val="24"/>
        </w:rPr>
      </w:pPr>
      <w:r>
        <w:rPr>
          <w:rFonts w:hint="eastAsia" w:ascii="宋体" w:hAnsi="宋体" w:cs="宋体"/>
          <w:sz w:val="24"/>
          <w:szCs w:val="24"/>
        </w:rPr>
        <w:t>四、资格条件及其他</w:t>
      </w:r>
    </w:p>
    <w:p w14:paraId="3A5EE06A">
      <w:pPr>
        <w:snapToGrid w:val="0"/>
        <w:spacing w:line="400" w:lineRule="exact"/>
        <w:ind w:firstLine="480" w:firstLineChars="200"/>
        <w:rPr>
          <w:rFonts w:ascii="宋体" w:hAnsi="宋体" w:cs="宋体"/>
          <w:sz w:val="24"/>
          <w:szCs w:val="24"/>
        </w:rPr>
      </w:pPr>
      <w:r>
        <w:rPr>
          <w:rFonts w:hint="eastAsia" w:ascii="宋体" w:hAnsi="宋体" w:cs="宋体"/>
          <w:sz w:val="24"/>
          <w:szCs w:val="24"/>
        </w:rPr>
        <w:t>（一）法人营业执照（副本）或事业单位法人证书（副本）或个体工商户营业执照或有效的自然人身份证明或社会团体法人登记证书复印件</w:t>
      </w:r>
    </w:p>
    <w:p w14:paraId="71316F94">
      <w:pPr>
        <w:snapToGrid w:val="0"/>
        <w:spacing w:line="400" w:lineRule="exact"/>
        <w:ind w:firstLine="480" w:firstLineChars="200"/>
        <w:rPr>
          <w:rFonts w:ascii="宋体" w:hAnsi="宋体" w:cs="宋体"/>
          <w:sz w:val="24"/>
          <w:szCs w:val="24"/>
        </w:rPr>
      </w:pPr>
      <w:r>
        <w:rPr>
          <w:rFonts w:hint="eastAsia" w:ascii="宋体" w:hAnsi="宋体" w:cs="宋体"/>
          <w:sz w:val="24"/>
          <w:szCs w:val="24"/>
        </w:rPr>
        <w:t>（二）法定代表人身份证明书（格式）</w:t>
      </w:r>
    </w:p>
    <w:p w14:paraId="28DDEB10">
      <w:pPr>
        <w:snapToGrid w:val="0"/>
        <w:spacing w:line="400" w:lineRule="exact"/>
        <w:ind w:firstLine="480" w:firstLineChars="200"/>
        <w:rPr>
          <w:rFonts w:ascii="宋体" w:hAnsi="宋体" w:cs="宋体"/>
          <w:sz w:val="24"/>
          <w:szCs w:val="24"/>
        </w:rPr>
      </w:pPr>
      <w:r>
        <w:rPr>
          <w:rFonts w:hint="eastAsia" w:ascii="宋体" w:hAnsi="宋体" w:cs="宋体"/>
          <w:sz w:val="24"/>
          <w:szCs w:val="24"/>
        </w:rPr>
        <w:t>（三）法定代表人授权委托书（格式）</w:t>
      </w:r>
    </w:p>
    <w:p w14:paraId="1DBEB805">
      <w:pPr>
        <w:snapToGrid w:val="0"/>
        <w:spacing w:line="400" w:lineRule="exact"/>
        <w:ind w:firstLine="480" w:firstLineChars="200"/>
        <w:rPr>
          <w:rFonts w:ascii="宋体" w:hAnsi="宋体" w:cs="宋体"/>
          <w:sz w:val="24"/>
          <w:szCs w:val="24"/>
        </w:rPr>
      </w:pPr>
      <w:r>
        <w:rPr>
          <w:rFonts w:hint="eastAsia" w:ascii="宋体" w:hAnsi="宋体" w:cs="宋体"/>
          <w:sz w:val="24"/>
          <w:szCs w:val="24"/>
        </w:rPr>
        <w:t>（四）基本资格条件承诺函（格式）</w:t>
      </w:r>
    </w:p>
    <w:p w14:paraId="665E628F">
      <w:pPr>
        <w:snapToGrid w:val="0"/>
        <w:spacing w:line="400" w:lineRule="exact"/>
        <w:ind w:firstLine="480" w:firstLineChars="200"/>
        <w:rPr>
          <w:rFonts w:ascii="宋体" w:hAnsi="宋体" w:cs="宋体"/>
          <w:sz w:val="24"/>
          <w:szCs w:val="24"/>
        </w:rPr>
      </w:pPr>
      <w:r>
        <w:rPr>
          <w:rFonts w:hint="eastAsia" w:ascii="宋体" w:hAnsi="宋体" w:cs="宋体"/>
          <w:sz w:val="24"/>
          <w:szCs w:val="24"/>
        </w:rPr>
        <w:t>（五）特定资格条件证书或证明文件</w:t>
      </w:r>
    </w:p>
    <w:p w14:paraId="7293B024">
      <w:pPr>
        <w:spacing w:line="400" w:lineRule="exact"/>
        <w:ind w:firstLine="480" w:firstLineChars="200"/>
        <w:rPr>
          <w:rFonts w:ascii="宋体" w:hAnsi="宋体" w:cs="宋体"/>
          <w:sz w:val="24"/>
          <w:szCs w:val="24"/>
        </w:rPr>
      </w:pPr>
      <w:r>
        <w:rPr>
          <w:rFonts w:hint="eastAsia" w:ascii="宋体" w:hAnsi="宋体" w:cs="宋体"/>
          <w:sz w:val="24"/>
          <w:szCs w:val="24"/>
        </w:rPr>
        <w:t>五、其他资料</w:t>
      </w:r>
    </w:p>
    <w:p w14:paraId="456FC388">
      <w:pPr>
        <w:spacing w:line="400" w:lineRule="exact"/>
        <w:ind w:firstLine="480" w:firstLineChars="200"/>
        <w:rPr>
          <w:rFonts w:ascii="宋体" w:hAnsi="宋体" w:cs="宋体"/>
          <w:b/>
          <w:sz w:val="24"/>
          <w:szCs w:val="24"/>
        </w:rPr>
      </w:pPr>
      <w:r>
        <w:rPr>
          <w:rFonts w:hint="eastAsia" w:ascii="宋体" w:hAnsi="宋体" w:cs="宋体"/>
          <w:sz w:val="24"/>
          <w:szCs w:val="24"/>
        </w:rPr>
        <w:t>（一）中小企业声明函、监狱企业证明文件、残疾人福利性单位声明函</w:t>
      </w:r>
    </w:p>
    <w:p w14:paraId="48952505">
      <w:pPr>
        <w:spacing w:line="400" w:lineRule="exact"/>
        <w:ind w:firstLine="480" w:firstLineChars="200"/>
        <w:rPr>
          <w:rFonts w:ascii="宋体" w:hAnsi="宋体" w:cs="宋体"/>
          <w:sz w:val="24"/>
          <w:szCs w:val="24"/>
        </w:rPr>
      </w:pPr>
      <w:r>
        <w:rPr>
          <w:rFonts w:hint="eastAsia" w:ascii="宋体" w:hAnsi="宋体" w:cs="宋体"/>
          <w:sz w:val="24"/>
          <w:szCs w:val="24"/>
        </w:rPr>
        <w:t>（二）其他与项目有关的资料</w:t>
      </w:r>
    </w:p>
    <w:p w14:paraId="1340D85E">
      <w:pPr>
        <w:snapToGrid w:val="0"/>
        <w:spacing w:line="360" w:lineRule="auto"/>
        <w:rPr>
          <w:rFonts w:ascii="宋体" w:hAnsi="宋体" w:cs="宋体"/>
          <w:sz w:val="24"/>
          <w:szCs w:val="24"/>
          <w:bdr w:val="single" w:color="auto" w:sz="4" w:space="0"/>
        </w:rPr>
        <w:sectPr>
          <w:footerReference r:id="rId11" w:type="default"/>
          <w:pgSz w:w="11907" w:h="16840"/>
          <w:pgMar w:top="1134" w:right="1191" w:bottom="1134" w:left="1304" w:header="851" w:footer="992" w:gutter="0"/>
          <w:pgNumType w:fmt="numberInDash"/>
          <w:cols w:space="720" w:num="1"/>
          <w:docGrid w:linePitch="380" w:charSpace="-5735"/>
        </w:sectPr>
      </w:pPr>
    </w:p>
    <w:p w14:paraId="00A503DC">
      <w:pPr>
        <w:pStyle w:val="3"/>
        <w:adjustRightInd w:val="0"/>
        <w:snapToGrid w:val="0"/>
        <w:spacing w:line="240" w:lineRule="auto"/>
        <w:jc w:val="left"/>
        <w:rPr>
          <w:rFonts w:ascii="宋体" w:hAnsi="宋体" w:eastAsia="宋体" w:cs="宋体"/>
          <w:sz w:val="24"/>
        </w:rPr>
      </w:pPr>
      <w:bookmarkStart w:id="589" w:name="_Toc13366"/>
      <w:bookmarkStart w:id="590" w:name="_Toc313888360"/>
      <w:bookmarkStart w:id="591" w:name="_Toc14916"/>
      <w:bookmarkStart w:id="592" w:name="_Toc30801"/>
      <w:bookmarkStart w:id="593" w:name="_Toc16224"/>
      <w:bookmarkStart w:id="594" w:name="_Toc21652"/>
      <w:bookmarkStart w:id="595" w:name="_Toc5655"/>
      <w:bookmarkStart w:id="596" w:name="_Toc313008356"/>
      <w:bookmarkStart w:id="597" w:name="_Toc211850969"/>
      <w:bookmarkStart w:id="598" w:name="_Toc76462350"/>
      <w:bookmarkStart w:id="599" w:name="_Toc31455"/>
      <w:bookmarkStart w:id="600" w:name="_Toc32046"/>
      <w:bookmarkStart w:id="601" w:name="_Toc12292"/>
      <w:bookmarkStart w:id="602" w:name="_Toc32301"/>
      <w:bookmarkStart w:id="603" w:name="_Toc342913419"/>
      <w:bookmarkStart w:id="604" w:name="_Toc17915"/>
      <w:bookmarkStart w:id="605" w:name="_Toc18885"/>
      <w:bookmarkStart w:id="606" w:name="_Toc13221"/>
      <w:bookmarkStart w:id="607" w:name="_Toc27684"/>
      <w:bookmarkStart w:id="608" w:name="_Toc15773"/>
      <w:bookmarkStart w:id="609" w:name="_Toc19492"/>
      <w:bookmarkStart w:id="610" w:name="_Toc12789073"/>
      <w:bookmarkStart w:id="611" w:name="_Toc283382454"/>
      <w:r>
        <w:rPr>
          <w:rFonts w:hint="eastAsia" w:ascii="宋体" w:hAnsi="宋体" w:eastAsia="宋体" w:cs="宋体"/>
          <w:sz w:val="24"/>
        </w:rPr>
        <w:t>一、经济部分</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bookmarkEnd w:id="610"/>
    <w:bookmarkEnd w:id="611"/>
    <w:p w14:paraId="7ADE9F85">
      <w:pPr>
        <w:tabs>
          <w:tab w:val="left" w:pos="6300"/>
        </w:tabs>
        <w:snapToGrid w:val="0"/>
        <w:spacing w:line="312" w:lineRule="auto"/>
        <w:ind w:firstLine="480" w:firstLineChars="200"/>
        <w:rPr>
          <w:rFonts w:ascii="宋体" w:hAnsi="宋体" w:cs="宋体"/>
          <w:sz w:val="24"/>
          <w:szCs w:val="24"/>
        </w:rPr>
      </w:pPr>
      <w:r>
        <w:rPr>
          <w:rFonts w:hint="eastAsia" w:ascii="宋体" w:hAnsi="宋体" w:cs="宋体"/>
          <w:sz w:val="24"/>
          <w:szCs w:val="24"/>
        </w:rPr>
        <w:t>（一）竞争性磋商报价函</w:t>
      </w:r>
    </w:p>
    <w:p w14:paraId="24301C64">
      <w:pPr>
        <w:jc w:val="center"/>
        <w:rPr>
          <w:rFonts w:ascii="宋体" w:hAnsi="宋体" w:cs="宋体"/>
          <w:b/>
          <w:szCs w:val="28"/>
        </w:rPr>
      </w:pPr>
      <w:r>
        <w:rPr>
          <w:rFonts w:hint="eastAsia" w:ascii="宋体" w:hAnsi="宋体" w:cs="宋体"/>
          <w:b/>
          <w:szCs w:val="28"/>
        </w:rPr>
        <w:t>竞争性磋商报价函</w:t>
      </w:r>
    </w:p>
    <w:p w14:paraId="4973D7ED">
      <w:pPr>
        <w:jc w:val="center"/>
        <w:rPr>
          <w:rFonts w:hint="eastAsia" w:ascii="宋体" w:hAnsi="宋体" w:cs="宋体"/>
          <w:b/>
          <w:color w:val="auto"/>
          <w:szCs w:val="28"/>
          <w:highlight w:val="none"/>
        </w:rPr>
      </w:pPr>
      <w:r>
        <w:rPr>
          <w:rFonts w:hint="eastAsia" w:ascii="宋体" w:hAnsi="宋体" w:cs="宋体"/>
          <w:b/>
          <w:color w:val="auto"/>
          <w:szCs w:val="28"/>
          <w:highlight w:val="none"/>
        </w:rPr>
        <w:t>竞争性磋商报价函</w:t>
      </w:r>
    </w:p>
    <w:p w14:paraId="3D263768">
      <w:pPr>
        <w:tabs>
          <w:tab w:val="left" w:pos="6300"/>
        </w:tabs>
        <w:snapToGrid w:val="0"/>
        <w:spacing w:line="312"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（采购代理机构名称）</w:t>
      </w:r>
      <w:r>
        <w:rPr>
          <w:rFonts w:hint="eastAsia" w:ascii="宋体" w:hAnsi="宋体" w:cs="宋体"/>
          <w:color w:val="auto"/>
          <w:sz w:val="24"/>
          <w:szCs w:val="24"/>
          <w:highlight w:val="none"/>
        </w:rPr>
        <w:t>：</w:t>
      </w:r>
    </w:p>
    <w:p w14:paraId="3CD5A76F">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我方收到____________________________（磋商项目名称）的竞争性磋商文件，经详细研究，决定参加该项目的磋商。</w:t>
      </w:r>
    </w:p>
    <w:p w14:paraId="531FF3F8">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1.愿意按照竞争性磋商文件中的一切要求，提供本项目的服务，初始报价为人民币大写：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元；人民币小写：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元（其中安全文明施工费：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元）。以我公司最后报价为准。</w:t>
      </w:r>
    </w:p>
    <w:p w14:paraId="44FCF34C">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2.我方现提交的响应文件为：响应文件正本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份，副本</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份，电子文档</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份。</w:t>
      </w:r>
    </w:p>
    <w:p w14:paraId="61C72B5C">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3.我方承诺：本次磋商的有效期为提交响应文件截止时间起90天。</w:t>
      </w:r>
    </w:p>
    <w:p w14:paraId="7317EB16">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4.我方完全理解和接受贵方竞争性磋商文件的一切规定和要求及评审办法。</w:t>
      </w:r>
    </w:p>
    <w:p w14:paraId="2CCF551B">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5.在整个竞争性磋商过程中，我方若有违规行为，接受按照《中华人民共和国政府采购法》和《竞争性磋商文件》之规定给予惩罚。</w:t>
      </w:r>
    </w:p>
    <w:p w14:paraId="5BB1451D">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6.我方若成为成交供应商，将按照最终磋商结果签订合同，并且严格履行合同义务。本承诺函将成为合同不可分割的一部分，与合同具有同等的法律效力。</w:t>
      </w:r>
    </w:p>
    <w:p w14:paraId="16BECDD9">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7.如果我方成为成交供应商，保证在接到成交通知书后，向采购代理机构和</w:t>
      </w:r>
      <w:r>
        <w:rPr>
          <w:rFonts w:hint="eastAsia" w:ascii="宋体" w:hAnsi="宋体" w:cs="宋体"/>
          <w:color w:val="auto"/>
          <w:sz w:val="24"/>
          <w:highlight w:val="none"/>
        </w:rPr>
        <w:t>重庆联合产权交易所集团股份有限公司缴纳</w:t>
      </w:r>
      <w:r>
        <w:rPr>
          <w:rFonts w:hint="eastAsia" w:ascii="宋体" w:hAnsi="宋体" w:cs="宋体"/>
          <w:color w:val="auto"/>
          <w:sz w:val="24"/>
          <w:szCs w:val="24"/>
          <w:highlight w:val="none"/>
        </w:rPr>
        <w:t>竞争性磋商文件规定的采购代理服务费和交易服务费。</w:t>
      </w:r>
    </w:p>
    <w:p w14:paraId="1614E1F4">
      <w:pPr>
        <w:tabs>
          <w:tab w:val="left" w:pos="6300"/>
        </w:tabs>
        <w:snapToGrid w:val="0"/>
        <w:spacing w:line="312"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color w:val="auto"/>
          <w:sz w:val="24"/>
          <w:szCs w:val="28"/>
          <w:highlight w:val="none"/>
        </w:rPr>
        <w:t>我方未</w:t>
      </w:r>
      <w:r>
        <w:rPr>
          <w:rFonts w:hint="eastAsia" w:ascii="宋体" w:hAnsi="宋体" w:cs="宋体"/>
          <w:color w:val="auto"/>
          <w:sz w:val="24"/>
          <w:szCs w:val="24"/>
          <w:highlight w:val="none"/>
        </w:rPr>
        <w:t>为采购项目提供整体设计、规范编制或者项目管理、监理、检测等服务。</w:t>
      </w:r>
    </w:p>
    <w:p w14:paraId="289532E0">
      <w:pPr>
        <w:tabs>
          <w:tab w:val="left" w:pos="6300"/>
        </w:tabs>
        <w:snapToGrid w:val="0"/>
        <w:spacing w:line="312" w:lineRule="auto"/>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供应商（公章）或自然人签署：</w:t>
      </w:r>
    </w:p>
    <w:p w14:paraId="534BCD06">
      <w:pPr>
        <w:tabs>
          <w:tab w:val="left" w:pos="6300"/>
        </w:tabs>
        <w:snapToGrid w:val="0"/>
        <w:spacing w:line="312" w:lineRule="auto"/>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p>
    <w:p w14:paraId="57FE8B9E">
      <w:pPr>
        <w:tabs>
          <w:tab w:val="left" w:pos="6300"/>
        </w:tabs>
        <w:snapToGrid w:val="0"/>
        <w:spacing w:line="312" w:lineRule="auto"/>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电话：                                             传真：</w:t>
      </w:r>
    </w:p>
    <w:p w14:paraId="537235F9">
      <w:pPr>
        <w:tabs>
          <w:tab w:val="left" w:pos="6300"/>
        </w:tabs>
        <w:snapToGrid w:val="0"/>
        <w:spacing w:line="312" w:lineRule="auto"/>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网址：                                             邮编：</w:t>
      </w:r>
    </w:p>
    <w:p w14:paraId="4CE6C28D">
      <w:pPr>
        <w:tabs>
          <w:tab w:val="left" w:pos="6300"/>
        </w:tabs>
        <w:snapToGrid w:val="0"/>
        <w:spacing w:line="312" w:lineRule="auto"/>
        <w:ind w:firstLine="570"/>
        <w:rPr>
          <w:rFonts w:hint="eastAsia" w:ascii="宋体" w:hAnsi="宋体" w:cs="宋体"/>
          <w:color w:val="auto"/>
          <w:sz w:val="24"/>
          <w:szCs w:val="24"/>
          <w:highlight w:val="none"/>
        </w:rPr>
      </w:pPr>
      <w:r>
        <w:rPr>
          <w:rFonts w:hint="eastAsia" w:ascii="宋体" w:hAnsi="宋体" w:cs="宋体"/>
          <w:color w:val="auto"/>
          <w:sz w:val="24"/>
          <w:szCs w:val="24"/>
          <w:highlight w:val="none"/>
        </w:rPr>
        <w:t>联系人：</w:t>
      </w:r>
    </w:p>
    <w:p w14:paraId="2A0A0D90">
      <w:pPr>
        <w:snapToGrid w:val="0"/>
        <w:spacing w:line="312" w:lineRule="auto"/>
        <w:ind w:firstLine="480" w:firstLineChars="200"/>
        <w:rPr>
          <w:rFonts w:hint="eastAsia" w:ascii="宋体" w:hAnsi="宋体" w:cs="宋体"/>
          <w:color w:val="auto"/>
          <w:sz w:val="24"/>
          <w:szCs w:val="24"/>
          <w:highlight w:val="none"/>
        </w:rPr>
        <w:sectPr>
          <w:pgSz w:w="11907" w:h="16840"/>
          <w:pgMar w:top="1134" w:right="1191" w:bottom="1134" w:left="1304" w:header="851" w:footer="992" w:gutter="0"/>
          <w:pgNumType w:fmt="numberInDash"/>
          <w:cols w:space="720" w:num="1"/>
          <w:docGrid w:linePitch="380" w:charSpace="-5735"/>
        </w:sectPr>
      </w:pPr>
      <w:r>
        <w:rPr>
          <w:rFonts w:hint="eastAsia" w:ascii="宋体" w:hAnsi="宋体" w:cs="宋体"/>
          <w:color w:val="auto"/>
          <w:sz w:val="24"/>
          <w:szCs w:val="24"/>
          <w:highlight w:val="none"/>
        </w:rPr>
        <w:t xml:space="preserve">                                                  年   月   日</w:t>
      </w:r>
    </w:p>
    <w:p w14:paraId="2A6109FF">
      <w:pPr>
        <w:tabs>
          <w:tab w:val="left" w:pos="2895"/>
        </w:tabs>
        <w:spacing w:line="400" w:lineRule="exact"/>
        <w:ind w:firstLine="480" w:firstLineChars="200"/>
        <w:rPr>
          <w:rFonts w:ascii="宋体" w:hAnsi="宋体"/>
          <w:sz w:val="24"/>
          <w:szCs w:val="24"/>
        </w:rPr>
      </w:pPr>
      <w:r>
        <w:rPr>
          <w:rFonts w:hint="eastAsia" w:ascii="宋体" w:hAnsi="宋体"/>
          <w:sz w:val="24"/>
          <w:szCs w:val="24"/>
        </w:rPr>
        <w:t>（二）</w:t>
      </w:r>
      <w:bookmarkStart w:id="612" w:name="_Hlk106294121"/>
      <w:r>
        <w:rPr>
          <w:rFonts w:hint="eastAsia" w:ascii="宋体" w:hAnsi="宋体"/>
          <w:sz w:val="24"/>
          <w:szCs w:val="24"/>
        </w:rPr>
        <w:t>已标价工程量清单</w:t>
      </w:r>
      <w:bookmarkEnd w:id="612"/>
    </w:p>
    <w:p w14:paraId="229EF0C8">
      <w:pPr>
        <w:pStyle w:val="11"/>
        <w:rPr>
          <w:rFonts w:ascii="宋体" w:hAnsi="宋体" w:cs="宋体"/>
          <w:sz w:val="18"/>
          <w:szCs w:val="18"/>
        </w:rPr>
      </w:pPr>
    </w:p>
    <w:p w14:paraId="1D4AE8E4">
      <w:pPr>
        <w:pStyle w:val="11"/>
        <w:rPr>
          <w:rFonts w:ascii="宋体" w:hAnsi="宋体" w:cs="宋体"/>
          <w:sz w:val="18"/>
          <w:szCs w:val="18"/>
        </w:rPr>
      </w:pPr>
    </w:p>
    <w:p w14:paraId="3BAD5848">
      <w:pPr>
        <w:pStyle w:val="11"/>
        <w:rPr>
          <w:rFonts w:ascii="宋体" w:hAnsi="宋体" w:cs="宋体"/>
          <w:sz w:val="18"/>
          <w:szCs w:val="18"/>
        </w:rPr>
      </w:pPr>
    </w:p>
    <w:p w14:paraId="4AC8571C">
      <w:pPr>
        <w:pStyle w:val="11"/>
        <w:rPr>
          <w:rFonts w:ascii="宋体" w:hAnsi="宋体" w:cs="宋体"/>
          <w:szCs w:val="24"/>
        </w:rPr>
      </w:pPr>
    </w:p>
    <w:p w14:paraId="68702462">
      <w:pPr>
        <w:pStyle w:val="11"/>
        <w:ind w:firstLine="482" w:firstLineChars="200"/>
        <w:rPr>
          <w:rFonts w:ascii="宋体" w:hAnsi="宋体" w:cs="宋体"/>
          <w:szCs w:val="24"/>
        </w:rPr>
      </w:pPr>
      <w:r>
        <w:rPr>
          <w:rFonts w:hint="eastAsia" w:ascii="宋体" w:hAnsi="宋体" w:cs="宋体"/>
          <w:szCs w:val="24"/>
        </w:rPr>
        <w:t>注1：根据提供的工程量清单报价，</w:t>
      </w:r>
      <w:r>
        <w:rPr>
          <w:rFonts w:hint="eastAsia" w:ascii="宋体" w:hAnsi="宋体" w:cs="宋体"/>
          <w:b w:val="0"/>
          <w:bCs/>
          <w:szCs w:val="24"/>
        </w:rPr>
        <w:t>可不提供单价分析表</w:t>
      </w:r>
      <w:r>
        <w:rPr>
          <w:rFonts w:hint="eastAsia" w:ascii="宋体" w:hAnsi="宋体" w:cs="宋体"/>
          <w:szCs w:val="24"/>
        </w:rPr>
        <w:t>；</w:t>
      </w:r>
    </w:p>
    <w:p w14:paraId="06CF4830">
      <w:pPr>
        <w:pStyle w:val="11"/>
        <w:ind w:firstLine="482" w:firstLineChars="200"/>
        <w:rPr>
          <w:rFonts w:ascii="宋体" w:hAnsi="宋体" w:cs="宋体"/>
          <w:szCs w:val="24"/>
        </w:rPr>
      </w:pPr>
      <w:r>
        <w:rPr>
          <w:rFonts w:hint="eastAsia" w:ascii="宋体" w:hAnsi="宋体" w:cs="宋体"/>
          <w:szCs w:val="24"/>
        </w:rPr>
        <w:t>注2：如挂网工程量清单名称与竞争性磋商文件所示项目名称不一致，以竞争性磋商文件所示项目名称为准；</w:t>
      </w:r>
    </w:p>
    <w:p w14:paraId="29D8D6B0">
      <w:pPr>
        <w:spacing w:line="360" w:lineRule="auto"/>
        <w:ind w:right="480" w:firstLine="6480" w:firstLineChars="2700"/>
        <w:rPr>
          <w:rFonts w:ascii="宋体" w:hAnsi="宋体"/>
          <w:sz w:val="24"/>
          <w:szCs w:val="24"/>
        </w:rPr>
      </w:pPr>
    </w:p>
    <w:p w14:paraId="454027BC">
      <w:pPr>
        <w:snapToGrid w:val="0"/>
        <w:spacing w:line="500" w:lineRule="exact"/>
        <w:rPr>
          <w:rFonts w:ascii="宋体" w:hAnsi="宋体" w:cs="宋体"/>
          <w:sz w:val="24"/>
          <w:szCs w:val="28"/>
        </w:rPr>
      </w:pPr>
    </w:p>
    <w:p w14:paraId="1235BC80">
      <w:pPr>
        <w:pStyle w:val="11"/>
        <w:rPr>
          <w:rFonts w:ascii="宋体" w:hAnsi="宋体" w:cs="宋体"/>
          <w:szCs w:val="24"/>
        </w:rPr>
      </w:pPr>
    </w:p>
    <w:p w14:paraId="3125F180">
      <w:pPr>
        <w:pStyle w:val="11"/>
        <w:rPr>
          <w:rFonts w:ascii="宋体" w:hAnsi="宋体" w:cs="宋体"/>
          <w:szCs w:val="24"/>
        </w:rPr>
      </w:pPr>
    </w:p>
    <w:p w14:paraId="57142EFC">
      <w:pPr>
        <w:rPr>
          <w:rFonts w:ascii="宋体" w:hAnsi="宋体" w:cs="宋体"/>
        </w:rPr>
      </w:pPr>
    </w:p>
    <w:p w14:paraId="60CE10B4">
      <w:pPr>
        <w:rPr>
          <w:rFonts w:ascii="宋体" w:hAnsi="宋体" w:cs="宋体"/>
        </w:rPr>
      </w:pPr>
    </w:p>
    <w:p w14:paraId="5F4806DB">
      <w:pPr>
        <w:spacing w:line="360" w:lineRule="auto"/>
        <w:rPr>
          <w:rFonts w:ascii="宋体" w:hAnsi="宋体" w:cs="宋体"/>
        </w:rPr>
      </w:pPr>
      <w:r>
        <w:rPr>
          <w:rFonts w:hint="eastAsia" w:ascii="宋体" w:hAnsi="宋体" w:cs="宋体"/>
          <w:sz w:val="24"/>
          <w:szCs w:val="24"/>
        </w:rPr>
        <w:t xml:space="preserve">                                             供应商名称（公章）或自然人签署：</w:t>
      </w:r>
    </w:p>
    <w:p w14:paraId="06AAD8B5">
      <w:pPr>
        <w:spacing w:line="360" w:lineRule="auto"/>
        <w:ind w:right="480" w:firstLine="6480" w:firstLineChars="2700"/>
        <w:rPr>
          <w:rFonts w:ascii="宋体" w:hAnsi="宋体" w:cs="宋体"/>
          <w:sz w:val="24"/>
          <w:szCs w:val="24"/>
        </w:rPr>
      </w:pPr>
      <w:r>
        <w:rPr>
          <w:rFonts w:hint="eastAsia" w:ascii="宋体" w:hAnsi="宋体" w:cs="宋体"/>
          <w:sz w:val="24"/>
          <w:szCs w:val="24"/>
        </w:rPr>
        <w:t>年     月    日</w:t>
      </w:r>
    </w:p>
    <w:p w14:paraId="068EED57">
      <w:pPr>
        <w:spacing w:line="360" w:lineRule="auto"/>
        <w:ind w:right="480" w:firstLine="6480" w:firstLineChars="2700"/>
        <w:rPr>
          <w:rFonts w:ascii="宋体" w:hAnsi="宋体" w:cs="宋体"/>
          <w:sz w:val="24"/>
          <w:szCs w:val="24"/>
        </w:rPr>
      </w:pPr>
    </w:p>
    <w:p w14:paraId="1EEE7128">
      <w:pPr>
        <w:snapToGrid w:val="0"/>
        <w:spacing w:line="360" w:lineRule="auto"/>
        <w:ind w:firstLine="480" w:firstLineChars="200"/>
        <w:rPr>
          <w:rFonts w:ascii="宋体" w:hAnsi="宋体" w:cs="宋体"/>
          <w:sz w:val="24"/>
          <w:szCs w:val="24"/>
          <w:bdr w:val="single" w:color="auto" w:sz="4" w:space="0"/>
        </w:rPr>
        <w:sectPr>
          <w:headerReference r:id="rId12" w:type="default"/>
          <w:pgSz w:w="11907" w:h="16840"/>
          <w:pgMar w:top="1134" w:right="1191" w:bottom="1134" w:left="1304" w:header="851" w:footer="992" w:gutter="0"/>
          <w:pgNumType w:fmt="numberInDash"/>
          <w:cols w:space="720" w:num="1"/>
          <w:docGrid w:linePitch="380" w:charSpace="-5735"/>
        </w:sectPr>
      </w:pPr>
    </w:p>
    <w:p w14:paraId="78E418E7">
      <w:pPr>
        <w:pStyle w:val="3"/>
        <w:adjustRightInd w:val="0"/>
        <w:snapToGrid w:val="0"/>
        <w:spacing w:line="240" w:lineRule="auto"/>
        <w:jc w:val="left"/>
        <w:rPr>
          <w:rFonts w:ascii="宋体" w:hAnsi="宋体" w:eastAsia="宋体" w:cs="宋体"/>
          <w:sz w:val="24"/>
        </w:rPr>
      </w:pPr>
      <w:bookmarkStart w:id="613" w:name="_Toc32746"/>
      <w:bookmarkStart w:id="614" w:name="_Toc25411"/>
      <w:bookmarkStart w:id="615" w:name="_Toc4111"/>
      <w:bookmarkStart w:id="616" w:name="_Toc25494"/>
      <w:bookmarkStart w:id="617" w:name="_Toc18490"/>
      <w:bookmarkStart w:id="618" w:name="_Toc22313"/>
      <w:bookmarkStart w:id="619" w:name="_Toc16376"/>
      <w:bookmarkStart w:id="620" w:name="_Toc23625"/>
      <w:bookmarkStart w:id="621" w:name="_Toc76462351"/>
      <w:bookmarkStart w:id="622" w:name="_Toc12788"/>
      <w:bookmarkStart w:id="623" w:name="_Toc31255"/>
      <w:bookmarkStart w:id="624" w:name="_Toc19994"/>
      <w:bookmarkStart w:id="625" w:name="_Toc342913420"/>
      <w:bookmarkStart w:id="626" w:name="_Toc11754"/>
      <w:bookmarkStart w:id="627" w:name="_Toc313888361"/>
      <w:bookmarkStart w:id="628" w:name="_Toc26593"/>
      <w:bookmarkStart w:id="629" w:name="_Toc211850970"/>
      <w:bookmarkStart w:id="630" w:name="_Toc313008357"/>
      <w:bookmarkStart w:id="631" w:name="_Toc7071"/>
      <w:bookmarkStart w:id="632" w:name="_Toc29582"/>
      <w:bookmarkStart w:id="633" w:name="_Toc28779"/>
      <w:r>
        <w:rPr>
          <w:rFonts w:hint="eastAsia" w:ascii="宋体" w:hAnsi="宋体" w:eastAsia="宋体" w:cs="宋体"/>
          <w:sz w:val="24"/>
        </w:rPr>
        <w:t>二、服务部分</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 w14:paraId="1E39D280">
      <w:pPr>
        <w:tabs>
          <w:tab w:val="left" w:pos="6300"/>
        </w:tabs>
        <w:snapToGrid w:val="0"/>
        <w:spacing w:line="400" w:lineRule="exact"/>
        <w:ind w:firstLine="480" w:firstLineChars="200"/>
        <w:rPr>
          <w:rFonts w:ascii="宋体" w:hAnsi="宋体" w:cs="宋体"/>
          <w:szCs w:val="24"/>
        </w:rPr>
      </w:pPr>
      <w:r>
        <w:rPr>
          <w:rFonts w:hint="eastAsia" w:ascii="宋体" w:hAnsi="宋体" w:cs="宋体"/>
          <w:sz w:val="24"/>
          <w:szCs w:val="24"/>
        </w:rPr>
        <w:t>（一）服务响应偏离表</w:t>
      </w:r>
    </w:p>
    <w:p w14:paraId="6DF9E659">
      <w:pPr>
        <w:spacing w:line="400" w:lineRule="exact"/>
        <w:ind w:firstLine="480" w:firstLineChars="200"/>
        <w:rPr>
          <w:rFonts w:ascii="宋体" w:hAnsi="宋体" w:cs="宋体"/>
          <w:sz w:val="24"/>
          <w:szCs w:val="24"/>
        </w:rPr>
      </w:pPr>
      <w:r>
        <w:rPr>
          <w:rFonts w:hint="eastAsia" w:ascii="宋体" w:hAnsi="宋体" w:cs="宋体"/>
          <w:sz w:val="24"/>
          <w:szCs w:val="24"/>
        </w:rPr>
        <w:t xml:space="preserve">项目号：                                </w:t>
      </w:r>
    </w:p>
    <w:p w14:paraId="6B6301F0">
      <w:pPr>
        <w:spacing w:line="400" w:lineRule="exact"/>
        <w:ind w:firstLine="480" w:firstLineChars="200"/>
        <w:rPr>
          <w:rFonts w:ascii="宋体" w:hAnsi="宋体" w:cs="宋体"/>
          <w:sz w:val="24"/>
          <w:szCs w:val="24"/>
        </w:rPr>
      </w:pPr>
      <w:r>
        <w:rPr>
          <w:rFonts w:hint="eastAsia" w:ascii="宋体" w:hAnsi="宋体" w:cs="宋体"/>
          <w:sz w:val="24"/>
          <w:szCs w:val="24"/>
        </w:rPr>
        <w:t>磋商项目名称：</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592"/>
        <w:gridCol w:w="6096"/>
        <w:gridCol w:w="1304"/>
      </w:tblGrid>
      <w:tr w14:paraId="260F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ign w:val="center"/>
          </w:tcPr>
          <w:p w14:paraId="40B42D08">
            <w:pPr>
              <w:tabs>
                <w:tab w:val="left" w:pos="6300"/>
              </w:tabs>
              <w:snapToGrid w:val="0"/>
              <w:spacing w:line="500" w:lineRule="exact"/>
              <w:jc w:val="center"/>
              <w:outlineLvl w:val="0"/>
              <w:rPr>
                <w:rFonts w:ascii="宋体" w:hAnsi="宋体" w:cs="宋体"/>
                <w:sz w:val="21"/>
                <w:szCs w:val="21"/>
              </w:rPr>
            </w:pPr>
            <w:r>
              <w:rPr>
                <w:rFonts w:hint="eastAsia" w:ascii="宋体" w:hAnsi="宋体" w:cs="宋体"/>
                <w:sz w:val="21"/>
                <w:szCs w:val="21"/>
              </w:rPr>
              <w:t>序号</w:t>
            </w:r>
          </w:p>
        </w:tc>
        <w:tc>
          <w:tcPr>
            <w:tcW w:w="1541" w:type="pct"/>
            <w:noWrap/>
            <w:vAlign w:val="center"/>
          </w:tcPr>
          <w:p w14:paraId="44B7C430">
            <w:pPr>
              <w:tabs>
                <w:tab w:val="left" w:pos="6300"/>
              </w:tabs>
              <w:snapToGrid w:val="0"/>
              <w:spacing w:line="500" w:lineRule="exact"/>
              <w:jc w:val="center"/>
              <w:outlineLvl w:val="0"/>
              <w:rPr>
                <w:rFonts w:ascii="宋体" w:hAnsi="宋体" w:cs="宋体"/>
                <w:sz w:val="21"/>
                <w:szCs w:val="21"/>
              </w:rPr>
            </w:pPr>
            <w:r>
              <w:rPr>
                <w:rFonts w:hint="eastAsia" w:ascii="宋体" w:hAnsi="宋体" w:cs="宋体"/>
                <w:sz w:val="21"/>
                <w:szCs w:val="21"/>
              </w:rPr>
              <w:t>项目服务需求</w:t>
            </w:r>
          </w:p>
        </w:tc>
        <w:tc>
          <w:tcPr>
            <w:tcW w:w="1600" w:type="pct"/>
            <w:noWrap/>
            <w:vAlign w:val="center"/>
          </w:tcPr>
          <w:p w14:paraId="01E5607A">
            <w:pPr>
              <w:tabs>
                <w:tab w:val="left" w:pos="6300"/>
              </w:tabs>
              <w:snapToGrid w:val="0"/>
              <w:spacing w:line="500" w:lineRule="exact"/>
              <w:jc w:val="center"/>
              <w:outlineLvl w:val="0"/>
              <w:rPr>
                <w:rFonts w:ascii="宋体" w:hAnsi="宋体" w:cs="宋体"/>
                <w:sz w:val="21"/>
                <w:szCs w:val="21"/>
              </w:rPr>
            </w:pPr>
            <w:r>
              <w:rPr>
                <w:rFonts w:hint="eastAsia" w:ascii="宋体" w:hAnsi="宋体" w:cs="宋体"/>
                <w:sz w:val="21"/>
                <w:szCs w:val="21"/>
              </w:rPr>
              <w:t>响应情况</w:t>
            </w:r>
          </w:p>
        </w:tc>
        <w:tc>
          <w:tcPr>
            <w:tcW w:w="1199" w:type="pct"/>
            <w:noWrap/>
            <w:vAlign w:val="center"/>
          </w:tcPr>
          <w:p w14:paraId="66A442C2">
            <w:pPr>
              <w:tabs>
                <w:tab w:val="left" w:pos="6300"/>
              </w:tabs>
              <w:snapToGrid w:val="0"/>
              <w:spacing w:line="500" w:lineRule="exact"/>
              <w:jc w:val="center"/>
              <w:outlineLvl w:val="0"/>
              <w:rPr>
                <w:rFonts w:ascii="宋体" w:hAnsi="宋体" w:cs="宋体"/>
                <w:sz w:val="21"/>
                <w:szCs w:val="21"/>
              </w:rPr>
            </w:pPr>
            <w:r>
              <w:rPr>
                <w:rFonts w:hint="eastAsia" w:ascii="宋体" w:hAnsi="宋体" w:cs="宋体"/>
                <w:sz w:val="21"/>
                <w:szCs w:val="21"/>
              </w:rPr>
              <w:t>差异说明</w:t>
            </w:r>
          </w:p>
        </w:tc>
      </w:tr>
      <w:tr w14:paraId="680E5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2DE344BF">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1F82FF85">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6D696E4D">
            <w:pPr>
              <w:tabs>
                <w:tab w:val="left" w:pos="6300"/>
              </w:tabs>
              <w:snapToGrid w:val="0"/>
              <w:spacing w:line="500" w:lineRule="exact"/>
              <w:outlineLvl w:val="0"/>
              <w:rPr>
                <w:rFonts w:ascii="宋体" w:hAnsi="宋体" w:cs="宋体"/>
                <w:sz w:val="21"/>
                <w:szCs w:val="21"/>
              </w:rPr>
            </w:pPr>
            <w:r>
              <w:rPr>
                <w:rFonts w:hint="eastAsia" w:ascii="宋体" w:hAnsi="宋体" w:cs="宋体"/>
                <w:sz w:val="21"/>
                <w:szCs w:val="21"/>
              </w:rPr>
              <w:t>提醒：请注明具体内容以及响应文件中具体内容的位置（页码）</w:t>
            </w:r>
          </w:p>
        </w:tc>
        <w:tc>
          <w:tcPr>
            <w:tcW w:w="1199" w:type="pct"/>
            <w:noWrap/>
            <w:vAlign w:val="center"/>
          </w:tcPr>
          <w:p w14:paraId="3D8EBED9">
            <w:pPr>
              <w:tabs>
                <w:tab w:val="left" w:pos="6300"/>
              </w:tabs>
              <w:snapToGrid w:val="0"/>
              <w:spacing w:line="500" w:lineRule="exact"/>
              <w:jc w:val="center"/>
              <w:outlineLvl w:val="0"/>
              <w:rPr>
                <w:rFonts w:ascii="宋体" w:hAnsi="宋体" w:cs="宋体"/>
                <w:sz w:val="21"/>
                <w:szCs w:val="21"/>
              </w:rPr>
            </w:pPr>
          </w:p>
        </w:tc>
      </w:tr>
      <w:tr w14:paraId="6350B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4EFA5293">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423A5299">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591313E6">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62520030">
            <w:pPr>
              <w:tabs>
                <w:tab w:val="left" w:pos="6300"/>
              </w:tabs>
              <w:snapToGrid w:val="0"/>
              <w:spacing w:line="500" w:lineRule="exact"/>
              <w:jc w:val="center"/>
              <w:outlineLvl w:val="0"/>
              <w:rPr>
                <w:rFonts w:ascii="宋体" w:hAnsi="宋体" w:cs="宋体"/>
                <w:sz w:val="21"/>
                <w:szCs w:val="21"/>
              </w:rPr>
            </w:pPr>
          </w:p>
        </w:tc>
      </w:tr>
      <w:tr w14:paraId="43E8C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5BEC2D4D">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22182ACA">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73F07138">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1425CE81">
            <w:pPr>
              <w:tabs>
                <w:tab w:val="left" w:pos="6300"/>
              </w:tabs>
              <w:snapToGrid w:val="0"/>
              <w:spacing w:line="500" w:lineRule="exact"/>
              <w:jc w:val="center"/>
              <w:outlineLvl w:val="0"/>
              <w:rPr>
                <w:rFonts w:ascii="宋体" w:hAnsi="宋体" w:cs="宋体"/>
                <w:sz w:val="21"/>
                <w:szCs w:val="21"/>
              </w:rPr>
            </w:pPr>
          </w:p>
        </w:tc>
      </w:tr>
      <w:tr w14:paraId="565A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0A4210C1">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7C72F54A">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5C8DDBEC">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4A3478D7">
            <w:pPr>
              <w:tabs>
                <w:tab w:val="left" w:pos="6300"/>
              </w:tabs>
              <w:snapToGrid w:val="0"/>
              <w:spacing w:line="500" w:lineRule="exact"/>
              <w:jc w:val="center"/>
              <w:outlineLvl w:val="0"/>
              <w:rPr>
                <w:rFonts w:ascii="宋体" w:hAnsi="宋体" w:cs="宋体"/>
                <w:sz w:val="21"/>
                <w:szCs w:val="21"/>
              </w:rPr>
            </w:pPr>
          </w:p>
        </w:tc>
      </w:tr>
      <w:tr w14:paraId="352E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13744783">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2A4AB33A">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2974B713">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749868B6">
            <w:pPr>
              <w:tabs>
                <w:tab w:val="left" w:pos="6300"/>
              </w:tabs>
              <w:snapToGrid w:val="0"/>
              <w:spacing w:line="500" w:lineRule="exact"/>
              <w:jc w:val="center"/>
              <w:outlineLvl w:val="0"/>
              <w:rPr>
                <w:rFonts w:ascii="宋体" w:hAnsi="宋体" w:cs="宋体"/>
                <w:sz w:val="21"/>
                <w:szCs w:val="21"/>
              </w:rPr>
            </w:pPr>
          </w:p>
        </w:tc>
      </w:tr>
      <w:tr w14:paraId="1F12A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333C0B70">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7B9CFB11">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032730A9">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4A77EEA9">
            <w:pPr>
              <w:tabs>
                <w:tab w:val="left" w:pos="6300"/>
              </w:tabs>
              <w:snapToGrid w:val="0"/>
              <w:spacing w:line="500" w:lineRule="exact"/>
              <w:jc w:val="center"/>
              <w:outlineLvl w:val="0"/>
              <w:rPr>
                <w:rFonts w:ascii="宋体" w:hAnsi="宋体" w:cs="宋体"/>
                <w:sz w:val="21"/>
                <w:szCs w:val="21"/>
              </w:rPr>
            </w:pPr>
          </w:p>
        </w:tc>
      </w:tr>
      <w:tr w14:paraId="2AF7A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4515D7EF">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4E75F475">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642C618A">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37E0D9EC">
            <w:pPr>
              <w:tabs>
                <w:tab w:val="left" w:pos="6300"/>
              </w:tabs>
              <w:snapToGrid w:val="0"/>
              <w:spacing w:line="500" w:lineRule="exact"/>
              <w:jc w:val="center"/>
              <w:outlineLvl w:val="0"/>
              <w:rPr>
                <w:rFonts w:ascii="宋体" w:hAnsi="宋体" w:cs="宋体"/>
                <w:sz w:val="21"/>
                <w:szCs w:val="21"/>
              </w:rPr>
            </w:pPr>
          </w:p>
        </w:tc>
      </w:tr>
      <w:tr w14:paraId="7AAAE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79F69695">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2C6B1529">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413B0C8F">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0F6C7449">
            <w:pPr>
              <w:tabs>
                <w:tab w:val="left" w:pos="6300"/>
              </w:tabs>
              <w:snapToGrid w:val="0"/>
              <w:spacing w:line="500" w:lineRule="exact"/>
              <w:jc w:val="center"/>
              <w:outlineLvl w:val="0"/>
              <w:rPr>
                <w:rFonts w:ascii="宋体" w:hAnsi="宋体" w:cs="宋体"/>
                <w:sz w:val="21"/>
                <w:szCs w:val="21"/>
              </w:rPr>
            </w:pPr>
          </w:p>
        </w:tc>
      </w:tr>
      <w:tr w14:paraId="1354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1AA6AC66">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3ECB5DBD">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2ACDA2F8">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68F9ACAD">
            <w:pPr>
              <w:tabs>
                <w:tab w:val="left" w:pos="6300"/>
              </w:tabs>
              <w:snapToGrid w:val="0"/>
              <w:spacing w:line="500" w:lineRule="exact"/>
              <w:jc w:val="center"/>
              <w:outlineLvl w:val="0"/>
              <w:rPr>
                <w:rFonts w:ascii="宋体" w:hAnsi="宋体" w:cs="宋体"/>
                <w:sz w:val="21"/>
                <w:szCs w:val="21"/>
              </w:rPr>
            </w:pPr>
          </w:p>
        </w:tc>
      </w:tr>
      <w:tr w14:paraId="5A0A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ign w:val="center"/>
          </w:tcPr>
          <w:p w14:paraId="467F9A90">
            <w:pPr>
              <w:tabs>
                <w:tab w:val="left" w:pos="6300"/>
              </w:tabs>
              <w:snapToGrid w:val="0"/>
              <w:spacing w:line="500" w:lineRule="exact"/>
              <w:jc w:val="center"/>
              <w:outlineLvl w:val="0"/>
              <w:rPr>
                <w:rFonts w:ascii="宋体" w:hAnsi="宋体" w:cs="宋体"/>
                <w:sz w:val="21"/>
                <w:szCs w:val="21"/>
              </w:rPr>
            </w:pPr>
          </w:p>
        </w:tc>
        <w:tc>
          <w:tcPr>
            <w:tcW w:w="1541" w:type="pct"/>
            <w:noWrap/>
            <w:vAlign w:val="center"/>
          </w:tcPr>
          <w:p w14:paraId="424823D2">
            <w:pPr>
              <w:tabs>
                <w:tab w:val="left" w:pos="6300"/>
              </w:tabs>
              <w:snapToGrid w:val="0"/>
              <w:spacing w:line="500" w:lineRule="exact"/>
              <w:jc w:val="center"/>
              <w:outlineLvl w:val="0"/>
              <w:rPr>
                <w:rFonts w:ascii="宋体" w:hAnsi="宋体" w:cs="宋体"/>
                <w:sz w:val="21"/>
                <w:szCs w:val="21"/>
              </w:rPr>
            </w:pPr>
          </w:p>
        </w:tc>
        <w:tc>
          <w:tcPr>
            <w:tcW w:w="1600" w:type="pct"/>
            <w:noWrap/>
            <w:vAlign w:val="center"/>
          </w:tcPr>
          <w:p w14:paraId="69E7EBAC">
            <w:pPr>
              <w:tabs>
                <w:tab w:val="left" w:pos="6300"/>
              </w:tabs>
              <w:snapToGrid w:val="0"/>
              <w:spacing w:line="500" w:lineRule="exact"/>
              <w:jc w:val="center"/>
              <w:outlineLvl w:val="0"/>
              <w:rPr>
                <w:rFonts w:ascii="宋体" w:hAnsi="宋体" w:cs="宋体"/>
                <w:sz w:val="21"/>
                <w:szCs w:val="21"/>
              </w:rPr>
            </w:pPr>
          </w:p>
        </w:tc>
        <w:tc>
          <w:tcPr>
            <w:tcW w:w="1199" w:type="pct"/>
            <w:noWrap/>
            <w:vAlign w:val="center"/>
          </w:tcPr>
          <w:p w14:paraId="642CBF25">
            <w:pPr>
              <w:tabs>
                <w:tab w:val="left" w:pos="6300"/>
              </w:tabs>
              <w:snapToGrid w:val="0"/>
              <w:spacing w:line="500" w:lineRule="exact"/>
              <w:jc w:val="center"/>
              <w:outlineLvl w:val="0"/>
              <w:rPr>
                <w:rFonts w:ascii="宋体" w:hAnsi="宋体" w:cs="宋体"/>
                <w:sz w:val="21"/>
                <w:szCs w:val="21"/>
              </w:rPr>
            </w:pPr>
          </w:p>
        </w:tc>
      </w:tr>
    </w:tbl>
    <w:p w14:paraId="2C430039">
      <w:pPr>
        <w:tabs>
          <w:tab w:val="left" w:pos="6300"/>
        </w:tabs>
        <w:snapToGrid w:val="0"/>
        <w:spacing w:line="500" w:lineRule="exact"/>
        <w:ind w:firstLine="480" w:firstLineChars="200"/>
        <w:rPr>
          <w:rFonts w:ascii="宋体" w:hAnsi="宋体" w:cs="宋体"/>
          <w:sz w:val="24"/>
        </w:rPr>
      </w:pPr>
    </w:p>
    <w:p w14:paraId="25F37A6E">
      <w:pPr>
        <w:tabs>
          <w:tab w:val="left" w:pos="6300"/>
        </w:tabs>
        <w:snapToGrid w:val="0"/>
        <w:spacing w:line="500" w:lineRule="exact"/>
        <w:ind w:firstLine="480" w:firstLineChars="200"/>
        <w:rPr>
          <w:rFonts w:ascii="宋体" w:hAnsi="宋体" w:cs="宋体"/>
          <w:sz w:val="24"/>
        </w:rPr>
      </w:pPr>
    </w:p>
    <w:p w14:paraId="7D3603C7">
      <w:pPr>
        <w:tabs>
          <w:tab w:val="left" w:pos="6300"/>
        </w:tabs>
        <w:snapToGrid w:val="0"/>
        <w:spacing w:line="500" w:lineRule="exact"/>
        <w:ind w:firstLine="480" w:firstLineChars="200"/>
        <w:rPr>
          <w:rFonts w:ascii="宋体" w:hAnsi="宋体" w:cs="宋体"/>
          <w:sz w:val="24"/>
        </w:rPr>
      </w:pPr>
    </w:p>
    <w:p w14:paraId="232CDCCE">
      <w:pPr>
        <w:tabs>
          <w:tab w:val="left" w:pos="6300"/>
        </w:tabs>
        <w:snapToGrid w:val="0"/>
        <w:spacing w:line="500" w:lineRule="exact"/>
        <w:ind w:firstLine="480" w:firstLineChars="200"/>
        <w:rPr>
          <w:rFonts w:ascii="宋体" w:hAnsi="宋体" w:cs="宋体"/>
          <w:sz w:val="24"/>
        </w:rPr>
      </w:pPr>
    </w:p>
    <w:p w14:paraId="53E1D4D9">
      <w:pPr>
        <w:tabs>
          <w:tab w:val="left" w:pos="6300"/>
        </w:tabs>
        <w:snapToGrid w:val="0"/>
        <w:spacing w:line="500" w:lineRule="exact"/>
        <w:ind w:firstLine="480" w:firstLineChars="200"/>
        <w:rPr>
          <w:rFonts w:ascii="宋体" w:hAnsi="宋体" w:cs="宋体"/>
          <w:sz w:val="24"/>
        </w:rPr>
      </w:pPr>
    </w:p>
    <w:p w14:paraId="29701069">
      <w:pPr>
        <w:tabs>
          <w:tab w:val="left" w:pos="6300"/>
        </w:tabs>
        <w:snapToGrid w:val="0"/>
        <w:spacing w:line="500" w:lineRule="exact"/>
        <w:ind w:firstLine="480" w:firstLineChars="200"/>
        <w:rPr>
          <w:rFonts w:ascii="宋体" w:hAnsi="宋体" w:cs="宋体"/>
          <w:sz w:val="24"/>
        </w:rPr>
      </w:pPr>
      <w:r>
        <w:rPr>
          <w:rFonts w:hint="eastAsia" w:ascii="宋体" w:hAnsi="宋体" w:cs="宋体"/>
          <w:sz w:val="24"/>
        </w:rPr>
        <w:t>注：</w:t>
      </w:r>
    </w:p>
    <w:p w14:paraId="06E427EE">
      <w:pPr>
        <w:tabs>
          <w:tab w:val="left" w:pos="6300"/>
        </w:tabs>
        <w:snapToGrid w:val="0"/>
        <w:spacing w:line="500" w:lineRule="exact"/>
        <w:ind w:firstLine="480" w:firstLineChars="200"/>
        <w:rPr>
          <w:rFonts w:ascii="宋体" w:hAnsi="宋体" w:cs="宋体"/>
          <w:sz w:val="24"/>
        </w:rPr>
      </w:pPr>
      <w:r>
        <w:rPr>
          <w:rFonts w:hint="eastAsia" w:ascii="宋体" w:hAnsi="宋体" w:cs="宋体"/>
          <w:sz w:val="24"/>
          <w:szCs w:val="24"/>
        </w:rPr>
        <w:t>1</w:t>
      </w:r>
      <w:r>
        <w:rPr>
          <w:rFonts w:hint="eastAsia" w:ascii="宋体" w:hAnsi="宋体" w:cs="宋体"/>
          <w:sz w:val="24"/>
        </w:rPr>
        <w:t>.</w:t>
      </w:r>
      <w:r>
        <w:rPr>
          <w:rFonts w:hint="eastAsia" w:ascii="宋体" w:hAnsi="宋体" w:cs="宋体"/>
          <w:sz w:val="24"/>
          <w:szCs w:val="24"/>
        </w:rPr>
        <w:t>本表即为对本项目“第二篇  项目服务需求”中所列条款进行比较和响应；</w:t>
      </w:r>
    </w:p>
    <w:p w14:paraId="579C87FA">
      <w:pPr>
        <w:snapToGrid w:val="0"/>
        <w:spacing w:line="400" w:lineRule="exact"/>
        <w:ind w:firstLine="480" w:firstLineChars="200"/>
        <w:jc w:val="left"/>
        <w:rPr>
          <w:rFonts w:ascii="宋体" w:hAnsi="宋体" w:cs="宋体"/>
          <w:sz w:val="24"/>
        </w:rPr>
      </w:pPr>
      <w:r>
        <w:rPr>
          <w:rFonts w:hint="eastAsia" w:ascii="宋体" w:hAnsi="宋体" w:cs="宋体"/>
          <w:sz w:val="24"/>
        </w:rPr>
        <w:t>2.本表可扩展。</w:t>
      </w:r>
    </w:p>
    <w:p w14:paraId="33DE87B2">
      <w:pPr>
        <w:snapToGrid w:val="0"/>
        <w:spacing w:line="400" w:lineRule="exact"/>
        <w:ind w:firstLine="480" w:firstLineChars="200"/>
        <w:jc w:val="left"/>
        <w:rPr>
          <w:rFonts w:ascii="宋体" w:hAnsi="宋体" w:cs="宋体"/>
          <w:sz w:val="24"/>
        </w:rPr>
      </w:pPr>
    </w:p>
    <w:p w14:paraId="37EE8C7A">
      <w:pPr>
        <w:snapToGrid w:val="0"/>
        <w:spacing w:line="400" w:lineRule="exact"/>
        <w:ind w:firstLine="480" w:firstLineChars="200"/>
        <w:jc w:val="left"/>
        <w:rPr>
          <w:rFonts w:ascii="宋体" w:hAnsi="宋体" w:cs="宋体"/>
          <w:sz w:val="24"/>
          <w:szCs w:val="24"/>
        </w:rPr>
      </w:pPr>
    </w:p>
    <w:p w14:paraId="6DF743BB">
      <w:pPr>
        <w:tabs>
          <w:tab w:val="left" w:pos="6300"/>
        </w:tabs>
        <w:snapToGrid w:val="0"/>
        <w:spacing w:line="400" w:lineRule="exact"/>
        <w:ind w:firstLine="560" w:firstLineChars="200"/>
        <w:rPr>
          <w:rFonts w:ascii="宋体" w:hAnsi="宋体" w:cs="宋体"/>
          <w:szCs w:val="24"/>
        </w:rPr>
      </w:pPr>
      <w:r>
        <w:rPr>
          <w:rFonts w:hint="eastAsia" w:ascii="宋体" w:hAnsi="宋体" w:cs="宋体"/>
          <w:szCs w:val="24"/>
        </w:rPr>
        <w:br w:type="page"/>
      </w:r>
      <w:r>
        <w:rPr>
          <w:rFonts w:hint="eastAsia" w:ascii="宋体" w:hAnsi="宋体" w:cs="宋体"/>
          <w:sz w:val="24"/>
          <w:szCs w:val="24"/>
        </w:rPr>
        <w:t>（二）其他资料（格式自定）</w:t>
      </w:r>
    </w:p>
    <w:p w14:paraId="0D963975">
      <w:pPr>
        <w:tabs>
          <w:tab w:val="left" w:pos="6300"/>
        </w:tabs>
        <w:snapToGrid w:val="0"/>
        <w:spacing w:line="500" w:lineRule="exact"/>
        <w:ind w:firstLine="480" w:firstLineChars="200"/>
        <w:rPr>
          <w:rFonts w:ascii="宋体" w:hAnsi="宋体" w:cs="宋体"/>
          <w:sz w:val="24"/>
        </w:rPr>
      </w:pPr>
    </w:p>
    <w:p w14:paraId="05A5067A">
      <w:pPr>
        <w:pStyle w:val="3"/>
        <w:adjustRightInd w:val="0"/>
        <w:snapToGrid w:val="0"/>
        <w:spacing w:line="400" w:lineRule="exact"/>
        <w:ind w:firstLine="640" w:firstLineChars="200"/>
        <w:rPr>
          <w:rFonts w:ascii="宋体" w:hAnsi="宋体" w:eastAsia="宋体" w:cs="宋体"/>
          <w:sz w:val="24"/>
        </w:rPr>
      </w:pPr>
      <w:r>
        <w:rPr>
          <w:rFonts w:hint="eastAsia" w:ascii="宋体" w:hAnsi="宋体" w:eastAsia="宋体" w:cs="宋体"/>
          <w:b w:val="0"/>
        </w:rPr>
        <w:br w:type="page"/>
      </w:r>
      <w:bookmarkStart w:id="634" w:name="_Toc29841"/>
      <w:bookmarkStart w:id="635" w:name="_Toc29761"/>
      <w:bookmarkStart w:id="636" w:name="_Toc28240"/>
      <w:bookmarkStart w:id="637" w:name="_Toc21538"/>
      <w:bookmarkStart w:id="638" w:name="_Toc211850971"/>
      <w:bookmarkStart w:id="639" w:name="_Toc26398"/>
      <w:bookmarkStart w:id="640" w:name="_Toc6238"/>
      <w:bookmarkStart w:id="641" w:name="_Toc76462352"/>
      <w:bookmarkStart w:id="642" w:name="_Toc22505"/>
      <w:bookmarkStart w:id="643" w:name="_Toc313888362"/>
      <w:bookmarkStart w:id="644" w:name="_Toc9936"/>
      <w:bookmarkStart w:id="645" w:name="_Toc520"/>
      <w:bookmarkStart w:id="646" w:name="_Toc2576"/>
      <w:bookmarkStart w:id="647" w:name="_Toc19297"/>
      <w:bookmarkStart w:id="648" w:name="_Toc342913421"/>
      <w:bookmarkStart w:id="649" w:name="_Toc28099"/>
      <w:bookmarkStart w:id="650" w:name="_Toc9093"/>
      <w:bookmarkStart w:id="651" w:name="_Toc26647"/>
      <w:bookmarkStart w:id="652" w:name="_Toc573"/>
      <w:bookmarkStart w:id="653" w:name="_Toc21216"/>
      <w:bookmarkStart w:id="654" w:name="_Toc313008358"/>
      <w:r>
        <w:rPr>
          <w:rFonts w:hint="eastAsia" w:ascii="宋体" w:hAnsi="宋体" w:eastAsia="宋体" w:cs="宋体"/>
          <w:sz w:val="24"/>
        </w:rPr>
        <w:t>三、商务部分</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6C59F7F2">
      <w:pPr>
        <w:snapToGrid w:val="0"/>
        <w:spacing w:line="400" w:lineRule="exact"/>
        <w:ind w:firstLine="480" w:firstLineChars="200"/>
        <w:rPr>
          <w:rFonts w:ascii="宋体" w:hAnsi="宋体" w:cs="宋体"/>
          <w:sz w:val="24"/>
          <w:szCs w:val="24"/>
        </w:rPr>
      </w:pPr>
      <w:r>
        <w:rPr>
          <w:rFonts w:hint="eastAsia" w:ascii="宋体" w:hAnsi="宋体" w:cs="宋体"/>
          <w:sz w:val="24"/>
          <w:szCs w:val="24"/>
        </w:rPr>
        <w:t>（一）商务响应偏离表</w:t>
      </w:r>
    </w:p>
    <w:p w14:paraId="2CE5F3F8">
      <w:pPr>
        <w:spacing w:line="400" w:lineRule="exact"/>
        <w:ind w:firstLine="480" w:firstLineChars="200"/>
        <w:rPr>
          <w:rFonts w:ascii="宋体" w:hAnsi="宋体" w:cs="宋体"/>
          <w:sz w:val="24"/>
          <w:szCs w:val="24"/>
        </w:rPr>
      </w:pPr>
      <w:r>
        <w:rPr>
          <w:rFonts w:hint="eastAsia" w:ascii="宋体" w:hAnsi="宋体" w:cs="宋体"/>
          <w:sz w:val="24"/>
          <w:szCs w:val="24"/>
        </w:rPr>
        <w:t xml:space="preserve">项目号：                                </w:t>
      </w:r>
    </w:p>
    <w:p w14:paraId="72AA9BF2">
      <w:pPr>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磋商项目名称： </w:t>
      </w:r>
    </w:p>
    <w:tbl>
      <w:tblPr>
        <w:tblStyle w:val="1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14:paraId="6971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ign w:val="center"/>
          </w:tcPr>
          <w:p w14:paraId="5F9B6121">
            <w:pPr>
              <w:snapToGrid w:val="0"/>
              <w:spacing w:line="360" w:lineRule="auto"/>
              <w:ind w:firstLine="465"/>
              <w:rPr>
                <w:rFonts w:ascii="宋体" w:hAnsi="宋体" w:cs="宋体"/>
                <w:sz w:val="21"/>
                <w:szCs w:val="24"/>
              </w:rPr>
            </w:pPr>
            <w:r>
              <w:rPr>
                <w:rFonts w:hint="eastAsia" w:ascii="宋体" w:hAnsi="宋体" w:cs="宋体"/>
                <w:sz w:val="21"/>
                <w:szCs w:val="24"/>
              </w:rPr>
              <w:t>序号</w:t>
            </w:r>
          </w:p>
        </w:tc>
        <w:tc>
          <w:tcPr>
            <w:tcW w:w="3179" w:type="dxa"/>
            <w:noWrap/>
            <w:vAlign w:val="center"/>
          </w:tcPr>
          <w:p w14:paraId="50C1E32B">
            <w:pPr>
              <w:tabs>
                <w:tab w:val="left" w:pos="6300"/>
              </w:tabs>
              <w:snapToGrid w:val="0"/>
              <w:spacing w:line="360" w:lineRule="auto"/>
              <w:jc w:val="center"/>
              <w:outlineLvl w:val="0"/>
              <w:rPr>
                <w:rFonts w:ascii="宋体" w:hAnsi="宋体" w:cs="宋体"/>
                <w:sz w:val="21"/>
                <w:szCs w:val="24"/>
              </w:rPr>
            </w:pPr>
            <w:r>
              <w:rPr>
                <w:rFonts w:hint="eastAsia" w:ascii="宋体" w:hAnsi="宋体" w:cs="宋体"/>
                <w:sz w:val="21"/>
                <w:szCs w:val="24"/>
              </w:rPr>
              <w:t>项目商务需求</w:t>
            </w:r>
          </w:p>
        </w:tc>
        <w:tc>
          <w:tcPr>
            <w:tcW w:w="2434" w:type="dxa"/>
            <w:noWrap/>
            <w:vAlign w:val="center"/>
          </w:tcPr>
          <w:p w14:paraId="39FFAB61">
            <w:pPr>
              <w:tabs>
                <w:tab w:val="left" w:pos="6300"/>
              </w:tabs>
              <w:snapToGrid w:val="0"/>
              <w:spacing w:line="360" w:lineRule="auto"/>
              <w:jc w:val="center"/>
              <w:outlineLvl w:val="0"/>
              <w:rPr>
                <w:rFonts w:ascii="宋体" w:hAnsi="宋体" w:cs="宋体"/>
                <w:sz w:val="21"/>
                <w:szCs w:val="24"/>
              </w:rPr>
            </w:pPr>
            <w:r>
              <w:rPr>
                <w:rFonts w:hint="eastAsia" w:ascii="宋体" w:hAnsi="宋体" w:cs="宋体"/>
                <w:sz w:val="21"/>
                <w:szCs w:val="24"/>
              </w:rPr>
              <w:t>响应情况</w:t>
            </w:r>
          </w:p>
        </w:tc>
        <w:tc>
          <w:tcPr>
            <w:tcW w:w="2355" w:type="dxa"/>
            <w:noWrap/>
            <w:vAlign w:val="center"/>
          </w:tcPr>
          <w:p w14:paraId="39F403F3">
            <w:pPr>
              <w:tabs>
                <w:tab w:val="left" w:pos="6300"/>
              </w:tabs>
              <w:snapToGrid w:val="0"/>
              <w:spacing w:line="360" w:lineRule="auto"/>
              <w:jc w:val="center"/>
              <w:outlineLvl w:val="0"/>
              <w:rPr>
                <w:rFonts w:ascii="宋体" w:hAnsi="宋体" w:cs="宋体"/>
                <w:sz w:val="21"/>
                <w:szCs w:val="24"/>
              </w:rPr>
            </w:pPr>
            <w:r>
              <w:rPr>
                <w:rFonts w:hint="eastAsia" w:ascii="宋体" w:hAnsi="宋体" w:cs="宋体"/>
                <w:sz w:val="21"/>
                <w:szCs w:val="24"/>
              </w:rPr>
              <w:t>偏离说明</w:t>
            </w:r>
          </w:p>
        </w:tc>
      </w:tr>
      <w:tr w14:paraId="56B60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ign w:val="center"/>
          </w:tcPr>
          <w:p w14:paraId="4B9856AC">
            <w:pPr>
              <w:tabs>
                <w:tab w:val="left" w:pos="6300"/>
              </w:tabs>
              <w:snapToGrid w:val="0"/>
              <w:spacing w:line="360" w:lineRule="auto"/>
              <w:jc w:val="center"/>
              <w:outlineLvl w:val="0"/>
              <w:rPr>
                <w:rFonts w:ascii="宋体" w:hAnsi="宋体" w:cs="宋体"/>
                <w:sz w:val="21"/>
                <w:szCs w:val="24"/>
              </w:rPr>
            </w:pPr>
          </w:p>
        </w:tc>
        <w:tc>
          <w:tcPr>
            <w:tcW w:w="3179" w:type="dxa"/>
            <w:noWrap/>
            <w:vAlign w:val="center"/>
          </w:tcPr>
          <w:p w14:paraId="4DB58163">
            <w:pPr>
              <w:tabs>
                <w:tab w:val="left" w:pos="6300"/>
              </w:tabs>
              <w:snapToGrid w:val="0"/>
              <w:spacing w:line="360" w:lineRule="auto"/>
              <w:jc w:val="center"/>
              <w:outlineLvl w:val="0"/>
              <w:rPr>
                <w:rFonts w:ascii="宋体" w:hAnsi="宋体" w:cs="宋体"/>
                <w:sz w:val="21"/>
                <w:szCs w:val="24"/>
              </w:rPr>
            </w:pPr>
          </w:p>
        </w:tc>
        <w:tc>
          <w:tcPr>
            <w:tcW w:w="2434" w:type="dxa"/>
            <w:noWrap/>
            <w:vAlign w:val="center"/>
          </w:tcPr>
          <w:p w14:paraId="6739C66C">
            <w:pPr>
              <w:tabs>
                <w:tab w:val="left" w:pos="6300"/>
              </w:tabs>
              <w:snapToGrid w:val="0"/>
              <w:spacing w:line="360" w:lineRule="auto"/>
              <w:outlineLvl w:val="0"/>
              <w:rPr>
                <w:rFonts w:ascii="宋体" w:hAnsi="宋体" w:cs="宋体"/>
                <w:sz w:val="21"/>
                <w:szCs w:val="24"/>
              </w:rPr>
            </w:pPr>
            <w:r>
              <w:rPr>
                <w:rFonts w:hint="eastAsia" w:ascii="宋体" w:hAnsi="宋体" w:cs="宋体"/>
                <w:sz w:val="21"/>
                <w:szCs w:val="21"/>
              </w:rPr>
              <w:t>提醒：请注明具体内容以及响应文件中具体内容的位置（页码）</w:t>
            </w:r>
          </w:p>
        </w:tc>
        <w:tc>
          <w:tcPr>
            <w:tcW w:w="2355" w:type="dxa"/>
            <w:noWrap/>
            <w:vAlign w:val="center"/>
          </w:tcPr>
          <w:p w14:paraId="7087939D">
            <w:pPr>
              <w:tabs>
                <w:tab w:val="left" w:pos="6300"/>
              </w:tabs>
              <w:snapToGrid w:val="0"/>
              <w:spacing w:line="360" w:lineRule="auto"/>
              <w:jc w:val="center"/>
              <w:outlineLvl w:val="0"/>
              <w:rPr>
                <w:rFonts w:ascii="宋体" w:hAnsi="宋体" w:cs="宋体"/>
                <w:sz w:val="21"/>
                <w:szCs w:val="24"/>
              </w:rPr>
            </w:pPr>
          </w:p>
        </w:tc>
      </w:tr>
      <w:tr w14:paraId="6529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ign w:val="center"/>
          </w:tcPr>
          <w:p w14:paraId="586B079D">
            <w:pPr>
              <w:tabs>
                <w:tab w:val="left" w:pos="6300"/>
              </w:tabs>
              <w:snapToGrid w:val="0"/>
              <w:spacing w:line="360" w:lineRule="auto"/>
              <w:jc w:val="center"/>
              <w:outlineLvl w:val="0"/>
              <w:rPr>
                <w:rFonts w:ascii="宋体" w:hAnsi="宋体" w:cs="宋体"/>
                <w:sz w:val="21"/>
                <w:szCs w:val="24"/>
              </w:rPr>
            </w:pPr>
          </w:p>
        </w:tc>
        <w:tc>
          <w:tcPr>
            <w:tcW w:w="3179" w:type="dxa"/>
            <w:noWrap/>
            <w:vAlign w:val="center"/>
          </w:tcPr>
          <w:p w14:paraId="0C56C419">
            <w:pPr>
              <w:tabs>
                <w:tab w:val="left" w:pos="6300"/>
              </w:tabs>
              <w:snapToGrid w:val="0"/>
              <w:spacing w:line="360" w:lineRule="auto"/>
              <w:jc w:val="center"/>
              <w:outlineLvl w:val="0"/>
              <w:rPr>
                <w:rFonts w:ascii="宋体" w:hAnsi="宋体" w:cs="宋体"/>
                <w:sz w:val="21"/>
                <w:szCs w:val="24"/>
              </w:rPr>
            </w:pPr>
          </w:p>
        </w:tc>
        <w:tc>
          <w:tcPr>
            <w:tcW w:w="2434" w:type="dxa"/>
            <w:noWrap/>
            <w:vAlign w:val="center"/>
          </w:tcPr>
          <w:p w14:paraId="2A8A0D67">
            <w:pPr>
              <w:tabs>
                <w:tab w:val="left" w:pos="6300"/>
              </w:tabs>
              <w:snapToGrid w:val="0"/>
              <w:spacing w:line="360" w:lineRule="auto"/>
              <w:jc w:val="center"/>
              <w:outlineLvl w:val="0"/>
              <w:rPr>
                <w:rFonts w:ascii="宋体" w:hAnsi="宋体" w:cs="宋体"/>
                <w:sz w:val="21"/>
                <w:szCs w:val="24"/>
              </w:rPr>
            </w:pPr>
          </w:p>
        </w:tc>
        <w:tc>
          <w:tcPr>
            <w:tcW w:w="2355" w:type="dxa"/>
            <w:noWrap/>
            <w:vAlign w:val="center"/>
          </w:tcPr>
          <w:p w14:paraId="2473D3D3">
            <w:pPr>
              <w:tabs>
                <w:tab w:val="left" w:pos="6300"/>
              </w:tabs>
              <w:snapToGrid w:val="0"/>
              <w:spacing w:line="360" w:lineRule="auto"/>
              <w:jc w:val="center"/>
              <w:outlineLvl w:val="0"/>
              <w:rPr>
                <w:rFonts w:ascii="宋体" w:hAnsi="宋体" w:cs="宋体"/>
                <w:sz w:val="21"/>
                <w:szCs w:val="24"/>
              </w:rPr>
            </w:pPr>
          </w:p>
        </w:tc>
      </w:tr>
      <w:tr w14:paraId="42332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ign w:val="center"/>
          </w:tcPr>
          <w:p w14:paraId="757BD60F">
            <w:pPr>
              <w:tabs>
                <w:tab w:val="left" w:pos="6300"/>
              </w:tabs>
              <w:snapToGrid w:val="0"/>
              <w:spacing w:line="360" w:lineRule="auto"/>
              <w:jc w:val="center"/>
              <w:outlineLvl w:val="0"/>
              <w:rPr>
                <w:rFonts w:ascii="宋体" w:hAnsi="宋体" w:cs="宋体"/>
                <w:sz w:val="21"/>
                <w:szCs w:val="24"/>
              </w:rPr>
            </w:pPr>
          </w:p>
        </w:tc>
        <w:tc>
          <w:tcPr>
            <w:tcW w:w="3179" w:type="dxa"/>
            <w:noWrap/>
            <w:vAlign w:val="center"/>
          </w:tcPr>
          <w:p w14:paraId="64D238B9">
            <w:pPr>
              <w:tabs>
                <w:tab w:val="left" w:pos="6300"/>
              </w:tabs>
              <w:snapToGrid w:val="0"/>
              <w:spacing w:line="360" w:lineRule="auto"/>
              <w:jc w:val="center"/>
              <w:outlineLvl w:val="0"/>
              <w:rPr>
                <w:rFonts w:ascii="宋体" w:hAnsi="宋体" w:cs="宋体"/>
                <w:sz w:val="21"/>
                <w:szCs w:val="24"/>
              </w:rPr>
            </w:pPr>
          </w:p>
        </w:tc>
        <w:tc>
          <w:tcPr>
            <w:tcW w:w="2434" w:type="dxa"/>
            <w:noWrap/>
            <w:vAlign w:val="center"/>
          </w:tcPr>
          <w:p w14:paraId="6BF029A9">
            <w:pPr>
              <w:tabs>
                <w:tab w:val="left" w:pos="6300"/>
              </w:tabs>
              <w:snapToGrid w:val="0"/>
              <w:spacing w:line="360" w:lineRule="auto"/>
              <w:jc w:val="center"/>
              <w:outlineLvl w:val="0"/>
              <w:rPr>
                <w:rFonts w:ascii="宋体" w:hAnsi="宋体" w:cs="宋体"/>
                <w:sz w:val="21"/>
                <w:szCs w:val="24"/>
              </w:rPr>
            </w:pPr>
          </w:p>
        </w:tc>
        <w:tc>
          <w:tcPr>
            <w:tcW w:w="2355" w:type="dxa"/>
            <w:noWrap/>
            <w:vAlign w:val="center"/>
          </w:tcPr>
          <w:p w14:paraId="08CFF662">
            <w:pPr>
              <w:tabs>
                <w:tab w:val="left" w:pos="6300"/>
              </w:tabs>
              <w:snapToGrid w:val="0"/>
              <w:spacing w:line="360" w:lineRule="auto"/>
              <w:jc w:val="center"/>
              <w:outlineLvl w:val="0"/>
              <w:rPr>
                <w:rFonts w:ascii="宋体" w:hAnsi="宋体" w:cs="宋体"/>
                <w:sz w:val="21"/>
                <w:szCs w:val="24"/>
              </w:rPr>
            </w:pPr>
          </w:p>
        </w:tc>
      </w:tr>
      <w:tr w14:paraId="6334A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ign w:val="center"/>
          </w:tcPr>
          <w:p w14:paraId="6A199793">
            <w:pPr>
              <w:tabs>
                <w:tab w:val="left" w:pos="6300"/>
              </w:tabs>
              <w:snapToGrid w:val="0"/>
              <w:spacing w:line="360" w:lineRule="auto"/>
              <w:jc w:val="center"/>
              <w:outlineLvl w:val="0"/>
              <w:rPr>
                <w:rFonts w:ascii="宋体" w:hAnsi="宋体" w:cs="宋体"/>
                <w:sz w:val="21"/>
                <w:szCs w:val="24"/>
              </w:rPr>
            </w:pPr>
          </w:p>
        </w:tc>
        <w:tc>
          <w:tcPr>
            <w:tcW w:w="3179" w:type="dxa"/>
            <w:noWrap/>
            <w:vAlign w:val="center"/>
          </w:tcPr>
          <w:p w14:paraId="071CE8BB">
            <w:pPr>
              <w:tabs>
                <w:tab w:val="left" w:pos="6300"/>
              </w:tabs>
              <w:snapToGrid w:val="0"/>
              <w:spacing w:line="360" w:lineRule="auto"/>
              <w:jc w:val="center"/>
              <w:outlineLvl w:val="0"/>
              <w:rPr>
                <w:rFonts w:ascii="宋体" w:hAnsi="宋体" w:cs="宋体"/>
                <w:sz w:val="21"/>
                <w:szCs w:val="24"/>
              </w:rPr>
            </w:pPr>
          </w:p>
        </w:tc>
        <w:tc>
          <w:tcPr>
            <w:tcW w:w="2434" w:type="dxa"/>
            <w:noWrap/>
            <w:vAlign w:val="center"/>
          </w:tcPr>
          <w:p w14:paraId="0167C121">
            <w:pPr>
              <w:tabs>
                <w:tab w:val="left" w:pos="6300"/>
              </w:tabs>
              <w:snapToGrid w:val="0"/>
              <w:spacing w:line="360" w:lineRule="auto"/>
              <w:jc w:val="center"/>
              <w:outlineLvl w:val="0"/>
              <w:rPr>
                <w:rFonts w:ascii="宋体" w:hAnsi="宋体" w:cs="宋体"/>
                <w:sz w:val="21"/>
                <w:szCs w:val="24"/>
              </w:rPr>
            </w:pPr>
          </w:p>
        </w:tc>
        <w:tc>
          <w:tcPr>
            <w:tcW w:w="2355" w:type="dxa"/>
            <w:noWrap/>
            <w:vAlign w:val="center"/>
          </w:tcPr>
          <w:p w14:paraId="04C143E7">
            <w:pPr>
              <w:tabs>
                <w:tab w:val="left" w:pos="6300"/>
              </w:tabs>
              <w:snapToGrid w:val="0"/>
              <w:spacing w:line="360" w:lineRule="auto"/>
              <w:jc w:val="center"/>
              <w:outlineLvl w:val="0"/>
              <w:rPr>
                <w:rFonts w:ascii="宋体" w:hAnsi="宋体" w:cs="宋体"/>
                <w:sz w:val="21"/>
                <w:szCs w:val="24"/>
              </w:rPr>
            </w:pPr>
          </w:p>
        </w:tc>
      </w:tr>
      <w:tr w14:paraId="1F32E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ign w:val="center"/>
          </w:tcPr>
          <w:p w14:paraId="4E6332D0">
            <w:pPr>
              <w:tabs>
                <w:tab w:val="left" w:pos="6300"/>
              </w:tabs>
              <w:snapToGrid w:val="0"/>
              <w:spacing w:line="360" w:lineRule="auto"/>
              <w:jc w:val="center"/>
              <w:outlineLvl w:val="0"/>
              <w:rPr>
                <w:rFonts w:ascii="宋体" w:hAnsi="宋体" w:cs="宋体"/>
                <w:sz w:val="21"/>
                <w:szCs w:val="24"/>
              </w:rPr>
            </w:pPr>
          </w:p>
        </w:tc>
        <w:tc>
          <w:tcPr>
            <w:tcW w:w="3179" w:type="dxa"/>
            <w:noWrap/>
            <w:vAlign w:val="center"/>
          </w:tcPr>
          <w:p w14:paraId="276D4D44">
            <w:pPr>
              <w:tabs>
                <w:tab w:val="left" w:pos="6300"/>
              </w:tabs>
              <w:snapToGrid w:val="0"/>
              <w:spacing w:line="360" w:lineRule="auto"/>
              <w:jc w:val="center"/>
              <w:outlineLvl w:val="0"/>
              <w:rPr>
                <w:rFonts w:ascii="宋体" w:hAnsi="宋体" w:cs="宋体"/>
                <w:sz w:val="21"/>
                <w:szCs w:val="24"/>
              </w:rPr>
            </w:pPr>
          </w:p>
        </w:tc>
        <w:tc>
          <w:tcPr>
            <w:tcW w:w="2434" w:type="dxa"/>
            <w:noWrap/>
            <w:vAlign w:val="center"/>
          </w:tcPr>
          <w:p w14:paraId="1361FF95">
            <w:pPr>
              <w:tabs>
                <w:tab w:val="left" w:pos="6300"/>
              </w:tabs>
              <w:snapToGrid w:val="0"/>
              <w:spacing w:line="360" w:lineRule="auto"/>
              <w:jc w:val="center"/>
              <w:outlineLvl w:val="0"/>
              <w:rPr>
                <w:rFonts w:ascii="宋体" w:hAnsi="宋体" w:cs="宋体"/>
                <w:sz w:val="21"/>
                <w:szCs w:val="24"/>
              </w:rPr>
            </w:pPr>
          </w:p>
        </w:tc>
        <w:tc>
          <w:tcPr>
            <w:tcW w:w="2355" w:type="dxa"/>
            <w:noWrap/>
            <w:vAlign w:val="center"/>
          </w:tcPr>
          <w:p w14:paraId="78E1CBA7">
            <w:pPr>
              <w:tabs>
                <w:tab w:val="left" w:pos="6300"/>
              </w:tabs>
              <w:snapToGrid w:val="0"/>
              <w:spacing w:line="360" w:lineRule="auto"/>
              <w:jc w:val="center"/>
              <w:outlineLvl w:val="0"/>
              <w:rPr>
                <w:rFonts w:ascii="宋体" w:hAnsi="宋体" w:cs="宋体"/>
                <w:sz w:val="21"/>
                <w:szCs w:val="24"/>
              </w:rPr>
            </w:pPr>
          </w:p>
        </w:tc>
      </w:tr>
      <w:tr w14:paraId="611A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ign w:val="center"/>
          </w:tcPr>
          <w:p w14:paraId="200AB773">
            <w:pPr>
              <w:tabs>
                <w:tab w:val="left" w:pos="6300"/>
              </w:tabs>
              <w:snapToGrid w:val="0"/>
              <w:spacing w:line="360" w:lineRule="auto"/>
              <w:jc w:val="center"/>
              <w:outlineLvl w:val="0"/>
              <w:rPr>
                <w:rFonts w:ascii="宋体" w:hAnsi="宋体" w:cs="宋体"/>
                <w:sz w:val="21"/>
                <w:szCs w:val="24"/>
              </w:rPr>
            </w:pPr>
          </w:p>
        </w:tc>
        <w:tc>
          <w:tcPr>
            <w:tcW w:w="3179" w:type="dxa"/>
            <w:noWrap/>
            <w:vAlign w:val="center"/>
          </w:tcPr>
          <w:p w14:paraId="24BDC069">
            <w:pPr>
              <w:tabs>
                <w:tab w:val="left" w:pos="6300"/>
              </w:tabs>
              <w:snapToGrid w:val="0"/>
              <w:spacing w:line="360" w:lineRule="auto"/>
              <w:jc w:val="center"/>
              <w:outlineLvl w:val="0"/>
              <w:rPr>
                <w:rFonts w:ascii="宋体" w:hAnsi="宋体" w:cs="宋体"/>
                <w:sz w:val="21"/>
                <w:szCs w:val="24"/>
              </w:rPr>
            </w:pPr>
          </w:p>
        </w:tc>
        <w:tc>
          <w:tcPr>
            <w:tcW w:w="2434" w:type="dxa"/>
            <w:noWrap/>
            <w:vAlign w:val="center"/>
          </w:tcPr>
          <w:p w14:paraId="5DD2E5EB">
            <w:pPr>
              <w:tabs>
                <w:tab w:val="left" w:pos="6300"/>
              </w:tabs>
              <w:snapToGrid w:val="0"/>
              <w:spacing w:line="360" w:lineRule="auto"/>
              <w:jc w:val="center"/>
              <w:outlineLvl w:val="0"/>
              <w:rPr>
                <w:rFonts w:ascii="宋体" w:hAnsi="宋体" w:cs="宋体"/>
                <w:sz w:val="21"/>
                <w:szCs w:val="24"/>
              </w:rPr>
            </w:pPr>
          </w:p>
        </w:tc>
        <w:tc>
          <w:tcPr>
            <w:tcW w:w="2355" w:type="dxa"/>
            <w:noWrap/>
            <w:vAlign w:val="center"/>
          </w:tcPr>
          <w:p w14:paraId="780EB722">
            <w:pPr>
              <w:tabs>
                <w:tab w:val="left" w:pos="6300"/>
              </w:tabs>
              <w:snapToGrid w:val="0"/>
              <w:spacing w:line="360" w:lineRule="auto"/>
              <w:jc w:val="center"/>
              <w:outlineLvl w:val="0"/>
              <w:rPr>
                <w:rFonts w:ascii="宋体" w:hAnsi="宋体" w:cs="宋体"/>
                <w:sz w:val="21"/>
                <w:szCs w:val="24"/>
              </w:rPr>
            </w:pPr>
          </w:p>
        </w:tc>
      </w:tr>
    </w:tbl>
    <w:p w14:paraId="5B689459">
      <w:pPr>
        <w:snapToGrid w:val="0"/>
        <w:spacing w:line="360" w:lineRule="auto"/>
        <w:ind w:firstLine="465"/>
        <w:rPr>
          <w:rFonts w:ascii="宋体" w:hAnsi="宋体" w:cs="宋体"/>
          <w:sz w:val="24"/>
          <w:szCs w:val="24"/>
        </w:rPr>
      </w:pPr>
    </w:p>
    <w:p w14:paraId="65293AEA">
      <w:pPr>
        <w:tabs>
          <w:tab w:val="left" w:pos="6300"/>
        </w:tabs>
        <w:snapToGrid w:val="0"/>
        <w:spacing w:line="400" w:lineRule="exact"/>
        <w:ind w:firstLine="480" w:firstLineChars="200"/>
        <w:rPr>
          <w:rFonts w:ascii="宋体" w:hAnsi="宋体" w:cs="宋体"/>
          <w:sz w:val="24"/>
        </w:rPr>
      </w:pPr>
    </w:p>
    <w:p w14:paraId="4423E88C">
      <w:pPr>
        <w:tabs>
          <w:tab w:val="left" w:pos="6300"/>
        </w:tabs>
        <w:snapToGrid w:val="0"/>
        <w:spacing w:line="400" w:lineRule="exact"/>
        <w:ind w:firstLine="480" w:firstLineChars="200"/>
        <w:rPr>
          <w:rFonts w:ascii="宋体" w:hAnsi="宋体" w:cs="宋体"/>
          <w:sz w:val="24"/>
        </w:rPr>
      </w:pPr>
    </w:p>
    <w:p w14:paraId="2799632D">
      <w:pPr>
        <w:tabs>
          <w:tab w:val="left" w:pos="6300"/>
        </w:tabs>
        <w:snapToGrid w:val="0"/>
        <w:spacing w:line="400" w:lineRule="exact"/>
        <w:ind w:firstLine="480" w:firstLineChars="200"/>
        <w:rPr>
          <w:rFonts w:ascii="宋体" w:hAnsi="宋体" w:cs="宋体"/>
          <w:sz w:val="24"/>
        </w:rPr>
      </w:pPr>
    </w:p>
    <w:p w14:paraId="033C634D">
      <w:pPr>
        <w:tabs>
          <w:tab w:val="left" w:pos="6300"/>
        </w:tabs>
        <w:snapToGrid w:val="0"/>
        <w:spacing w:line="400" w:lineRule="exact"/>
        <w:ind w:firstLine="480" w:firstLineChars="200"/>
        <w:rPr>
          <w:rFonts w:ascii="宋体" w:hAnsi="宋体" w:cs="宋体"/>
          <w:sz w:val="24"/>
        </w:rPr>
      </w:pPr>
    </w:p>
    <w:p w14:paraId="666A7331">
      <w:pPr>
        <w:tabs>
          <w:tab w:val="left" w:pos="6300"/>
        </w:tabs>
        <w:snapToGrid w:val="0"/>
        <w:spacing w:line="400" w:lineRule="exact"/>
        <w:ind w:firstLine="480" w:firstLineChars="200"/>
        <w:rPr>
          <w:rFonts w:ascii="宋体" w:hAnsi="宋体" w:cs="宋体"/>
          <w:sz w:val="24"/>
        </w:rPr>
      </w:pPr>
    </w:p>
    <w:p w14:paraId="5F6A0FE0">
      <w:pPr>
        <w:tabs>
          <w:tab w:val="left" w:pos="6300"/>
        </w:tabs>
        <w:snapToGrid w:val="0"/>
        <w:spacing w:line="400" w:lineRule="exact"/>
        <w:ind w:firstLine="480" w:firstLineChars="200"/>
        <w:rPr>
          <w:rFonts w:ascii="宋体" w:hAnsi="宋体" w:cs="宋体"/>
          <w:sz w:val="24"/>
        </w:rPr>
      </w:pPr>
      <w:r>
        <w:rPr>
          <w:rFonts w:hint="eastAsia" w:ascii="宋体" w:hAnsi="宋体" w:cs="宋体"/>
          <w:sz w:val="24"/>
        </w:rPr>
        <w:t>注：</w:t>
      </w:r>
    </w:p>
    <w:p w14:paraId="36E22DC6">
      <w:pPr>
        <w:tabs>
          <w:tab w:val="left" w:pos="6300"/>
        </w:tabs>
        <w:snapToGrid w:val="0"/>
        <w:spacing w:line="400" w:lineRule="exact"/>
        <w:ind w:firstLine="480" w:firstLineChars="200"/>
        <w:rPr>
          <w:rFonts w:ascii="宋体" w:hAnsi="宋体" w:cs="宋体"/>
          <w:sz w:val="24"/>
        </w:rPr>
      </w:pPr>
      <w:r>
        <w:rPr>
          <w:rFonts w:hint="eastAsia" w:ascii="宋体" w:hAnsi="宋体" w:cs="宋体"/>
          <w:sz w:val="24"/>
          <w:szCs w:val="24"/>
        </w:rPr>
        <w:t>1</w:t>
      </w:r>
      <w:r>
        <w:rPr>
          <w:rFonts w:hint="eastAsia" w:ascii="宋体" w:hAnsi="宋体" w:cs="宋体"/>
          <w:sz w:val="24"/>
        </w:rPr>
        <w:t>.</w:t>
      </w:r>
      <w:r>
        <w:rPr>
          <w:rFonts w:hint="eastAsia" w:ascii="宋体" w:hAnsi="宋体" w:cs="宋体"/>
          <w:sz w:val="24"/>
          <w:szCs w:val="24"/>
        </w:rPr>
        <w:t>本表即为对本项目“第三篇  项目商务需求”中所列条款进行比较和响应；</w:t>
      </w:r>
    </w:p>
    <w:p w14:paraId="34392CD8">
      <w:pPr>
        <w:snapToGrid w:val="0"/>
        <w:spacing w:line="400" w:lineRule="exact"/>
        <w:ind w:firstLine="480" w:firstLineChars="200"/>
        <w:rPr>
          <w:rFonts w:ascii="宋体" w:hAnsi="宋体" w:cs="宋体"/>
          <w:sz w:val="24"/>
        </w:rPr>
      </w:pPr>
      <w:r>
        <w:rPr>
          <w:rFonts w:hint="eastAsia" w:ascii="宋体" w:hAnsi="宋体" w:cs="宋体"/>
          <w:sz w:val="24"/>
        </w:rPr>
        <w:t>2.本表可扩展。</w:t>
      </w:r>
    </w:p>
    <w:p w14:paraId="0EBCF603">
      <w:pPr>
        <w:snapToGrid w:val="0"/>
        <w:spacing w:line="400" w:lineRule="exact"/>
        <w:ind w:firstLine="562" w:firstLineChars="200"/>
        <w:rPr>
          <w:rFonts w:ascii="宋体" w:hAnsi="宋体" w:cs="宋体"/>
          <w:b/>
        </w:rPr>
        <w:sectPr>
          <w:pgSz w:w="11907" w:h="16840"/>
          <w:pgMar w:top="1134" w:right="1191" w:bottom="1134" w:left="1304" w:header="851" w:footer="992" w:gutter="0"/>
          <w:pgNumType w:fmt="numberInDash"/>
          <w:cols w:space="720" w:num="1"/>
          <w:docGrid w:linePitch="380" w:charSpace="-5735"/>
        </w:sectPr>
      </w:pPr>
    </w:p>
    <w:p w14:paraId="3E0C2252">
      <w:pPr>
        <w:snapToGrid w:val="0"/>
        <w:spacing w:line="400" w:lineRule="exact"/>
        <w:ind w:firstLine="480" w:firstLineChars="200"/>
        <w:rPr>
          <w:rFonts w:ascii="宋体" w:hAnsi="宋体" w:cs="宋体"/>
          <w:sz w:val="24"/>
          <w:szCs w:val="24"/>
        </w:rPr>
      </w:pPr>
      <w:bookmarkStart w:id="655" w:name="_Toc283382459"/>
      <w:r>
        <w:rPr>
          <w:rFonts w:hint="eastAsia" w:ascii="宋体" w:hAnsi="宋体" w:cs="宋体"/>
          <w:sz w:val="24"/>
          <w:szCs w:val="24"/>
        </w:rPr>
        <w:t>（二）其它优惠服务承诺（格式自定）</w:t>
      </w:r>
    </w:p>
    <w:p w14:paraId="620B91FF">
      <w:pPr>
        <w:pStyle w:val="3"/>
        <w:adjustRightInd w:val="0"/>
        <w:snapToGrid w:val="0"/>
        <w:spacing w:line="400" w:lineRule="exact"/>
        <w:ind w:firstLine="482" w:firstLineChars="200"/>
        <w:rPr>
          <w:rFonts w:ascii="宋体" w:hAnsi="宋体" w:eastAsia="宋体" w:cs="宋体"/>
          <w:sz w:val="24"/>
        </w:rPr>
      </w:pPr>
      <w:r>
        <w:rPr>
          <w:rFonts w:hint="eastAsia" w:ascii="宋体" w:hAnsi="宋体" w:eastAsia="宋体" w:cs="宋体"/>
          <w:sz w:val="24"/>
          <w:szCs w:val="24"/>
        </w:rPr>
        <w:br w:type="page"/>
      </w:r>
      <w:bookmarkEnd w:id="655"/>
      <w:bookmarkStart w:id="656" w:name="_Toc76462353"/>
      <w:bookmarkStart w:id="657" w:name="_Toc12319"/>
      <w:bookmarkStart w:id="658" w:name="_Toc9472"/>
      <w:bookmarkStart w:id="659" w:name="_Toc25332"/>
      <w:bookmarkStart w:id="660" w:name="_Toc6829"/>
      <w:bookmarkStart w:id="661" w:name="_Toc190"/>
      <w:bookmarkStart w:id="662" w:name="_Toc342913422"/>
      <w:bookmarkStart w:id="663" w:name="_Toc10514"/>
      <w:bookmarkStart w:id="664" w:name="_Toc23426"/>
      <w:bookmarkStart w:id="665" w:name="_Toc21368"/>
      <w:bookmarkStart w:id="666" w:name="_Toc19652"/>
      <w:bookmarkStart w:id="667" w:name="_Toc22916"/>
      <w:bookmarkStart w:id="668" w:name="_Toc20384"/>
      <w:bookmarkStart w:id="669" w:name="_Toc313008359"/>
      <w:bookmarkStart w:id="670" w:name="_Toc6268"/>
      <w:bookmarkStart w:id="671" w:name="_Toc10729"/>
      <w:bookmarkStart w:id="672" w:name="_Toc1742"/>
      <w:bookmarkStart w:id="673" w:name="_Toc4499"/>
      <w:bookmarkStart w:id="674" w:name="_Toc313888363"/>
      <w:bookmarkStart w:id="675" w:name="_Toc28090"/>
      <w:bookmarkStart w:id="676" w:name="_Toc211850972"/>
      <w:r>
        <w:rPr>
          <w:rFonts w:hint="eastAsia" w:ascii="宋体" w:hAnsi="宋体" w:eastAsia="宋体" w:cs="宋体"/>
          <w:sz w:val="24"/>
        </w:rPr>
        <w:t>四、资格条件</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r>
        <w:rPr>
          <w:rFonts w:hint="eastAsia" w:ascii="宋体" w:hAnsi="宋体" w:eastAsia="宋体" w:cs="宋体"/>
          <w:sz w:val="24"/>
        </w:rPr>
        <w:t>及其他</w:t>
      </w:r>
      <w:bookmarkEnd w:id="675"/>
      <w:bookmarkEnd w:id="676"/>
    </w:p>
    <w:p w14:paraId="6C20FE71">
      <w:pPr>
        <w:tabs>
          <w:tab w:val="left" w:pos="6300"/>
        </w:tabs>
        <w:snapToGrid w:val="0"/>
        <w:spacing w:line="400" w:lineRule="exact"/>
        <w:ind w:firstLine="570"/>
        <w:rPr>
          <w:rFonts w:ascii="宋体" w:hAnsi="宋体" w:cs="宋体"/>
          <w:sz w:val="24"/>
          <w:szCs w:val="24"/>
        </w:rPr>
      </w:pPr>
      <w:r>
        <w:rPr>
          <w:rFonts w:hint="eastAsia" w:ascii="宋体" w:hAnsi="宋体" w:cs="宋体"/>
          <w:sz w:val="24"/>
          <w:szCs w:val="24"/>
        </w:rPr>
        <w:t>（一）法人营业执照（副本）或事业单位法人证书（副本）或个体工商户营业执照或有效的自然人身份证明或社会团体法人登记证书复印件</w:t>
      </w:r>
    </w:p>
    <w:p w14:paraId="662FC79C">
      <w:pPr>
        <w:tabs>
          <w:tab w:val="left" w:pos="6300"/>
        </w:tabs>
        <w:snapToGrid w:val="0"/>
        <w:spacing w:line="400" w:lineRule="exact"/>
        <w:ind w:firstLine="570"/>
        <w:rPr>
          <w:rFonts w:ascii="宋体" w:hAnsi="宋体" w:cs="宋体"/>
        </w:rPr>
      </w:pPr>
    </w:p>
    <w:p w14:paraId="3315ADF9">
      <w:pPr>
        <w:tabs>
          <w:tab w:val="left" w:pos="6300"/>
        </w:tabs>
        <w:snapToGrid w:val="0"/>
        <w:spacing w:line="500" w:lineRule="exact"/>
        <w:ind w:firstLine="570"/>
        <w:rPr>
          <w:rFonts w:ascii="宋体" w:hAnsi="宋体" w:cs="宋体"/>
        </w:rPr>
      </w:pPr>
    </w:p>
    <w:p w14:paraId="1798D36F">
      <w:pPr>
        <w:tabs>
          <w:tab w:val="left" w:pos="6300"/>
        </w:tabs>
        <w:snapToGrid w:val="0"/>
        <w:spacing w:line="500" w:lineRule="exact"/>
        <w:ind w:firstLine="570"/>
        <w:rPr>
          <w:rFonts w:ascii="宋体" w:hAnsi="宋体" w:cs="宋体"/>
        </w:rPr>
      </w:pPr>
    </w:p>
    <w:p w14:paraId="7BA79F9A">
      <w:pPr>
        <w:tabs>
          <w:tab w:val="left" w:pos="6300"/>
        </w:tabs>
        <w:snapToGrid w:val="0"/>
        <w:spacing w:line="500" w:lineRule="exact"/>
        <w:ind w:firstLine="570"/>
        <w:rPr>
          <w:rFonts w:ascii="宋体" w:hAnsi="宋体" w:cs="宋体"/>
        </w:rPr>
      </w:pPr>
    </w:p>
    <w:p w14:paraId="1268AB8A">
      <w:pPr>
        <w:tabs>
          <w:tab w:val="left" w:pos="6300"/>
        </w:tabs>
        <w:snapToGrid w:val="0"/>
        <w:spacing w:line="500" w:lineRule="exact"/>
        <w:ind w:firstLine="570"/>
        <w:rPr>
          <w:rFonts w:ascii="宋体" w:hAnsi="宋体" w:cs="宋体"/>
        </w:rPr>
      </w:pPr>
    </w:p>
    <w:p w14:paraId="110C4B0C">
      <w:pPr>
        <w:snapToGrid w:val="0"/>
        <w:spacing w:line="400" w:lineRule="exact"/>
        <w:ind w:firstLine="560" w:firstLineChars="200"/>
        <w:rPr>
          <w:rFonts w:ascii="宋体" w:hAnsi="宋体" w:cs="宋体"/>
          <w:sz w:val="24"/>
          <w:szCs w:val="24"/>
        </w:rPr>
      </w:pPr>
      <w:r>
        <w:rPr>
          <w:rFonts w:hint="eastAsia" w:ascii="宋体" w:hAnsi="宋体" w:cs="宋体"/>
        </w:rPr>
        <w:br w:type="page"/>
      </w:r>
      <w:r>
        <w:rPr>
          <w:rFonts w:hint="eastAsia" w:ascii="宋体" w:hAnsi="宋体" w:cs="宋体"/>
          <w:sz w:val="24"/>
          <w:szCs w:val="24"/>
        </w:rPr>
        <w:t>（二）法定代表人身份证明书（格式）</w:t>
      </w:r>
    </w:p>
    <w:p w14:paraId="7F72B19F">
      <w:pPr>
        <w:tabs>
          <w:tab w:val="left" w:pos="6300"/>
        </w:tabs>
        <w:snapToGrid w:val="0"/>
        <w:spacing w:line="500" w:lineRule="exact"/>
        <w:ind w:firstLine="570"/>
        <w:rPr>
          <w:rFonts w:ascii="宋体" w:hAnsi="宋体" w:cs="宋体"/>
          <w:sz w:val="24"/>
        </w:rPr>
      </w:pPr>
    </w:p>
    <w:p w14:paraId="51B472FC">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磋商项目名称：</w:t>
      </w:r>
      <w:r>
        <w:rPr>
          <w:rFonts w:hint="eastAsia" w:ascii="宋体" w:hAnsi="宋体" w:cs="宋体"/>
          <w:color w:val="auto"/>
          <w:sz w:val="24"/>
          <w:highlight w:val="none"/>
          <w:u w:val="single"/>
        </w:rPr>
        <w:t xml:space="preserve">                                                </w:t>
      </w:r>
    </w:p>
    <w:p w14:paraId="4273E736">
      <w:pPr>
        <w:tabs>
          <w:tab w:val="left" w:pos="6300"/>
        </w:tabs>
        <w:snapToGrid w:val="0"/>
        <w:spacing w:line="500" w:lineRule="exact"/>
        <w:ind w:firstLine="570"/>
        <w:rPr>
          <w:rFonts w:hint="eastAsia" w:ascii="宋体" w:hAnsi="宋体" w:cs="宋体"/>
          <w:color w:val="auto"/>
          <w:sz w:val="24"/>
          <w:highlight w:val="none"/>
        </w:rPr>
      </w:pPr>
    </w:p>
    <w:p w14:paraId="77F57FDF">
      <w:pPr>
        <w:tabs>
          <w:tab w:val="left" w:pos="6300"/>
        </w:tabs>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（采购代理机构名称）：</w:t>
      </w:r>
    </w:p>
    <w:p w14:paraId="728BD936">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（法定代表人姓名）在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（供应商名称）任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（职务名称）职务，是（供应商名称）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的法定代表人。</w:t>
      </w:r>
    </w:p>
    <w:p w14:paraId="57435E7E">
      <w:pPr>
        <w:tabs>
          <w:tab w:val="left" w:pos="6300"/>
        </w:tabs>
        <w:snapToGrid w:val="0"/>
        <w:spacing w:line="500" w:lineRule="exact"/>
        <w:ind w:firstLine="570"/>
        <w:rPr>
          <w:rFonts w:hint="eastAsia" w:ascii="宋体" w:hAnsi="宋体" w:cs="宋体"/>
          <w:color w:val="auto"/>
          <w:sz w:val="24"/>
          <w:highlight w:val="none"/>
        </w:rPr>
      </w:pPr>
    </w:p>
    <w:p w14:paraId="2201F0A1">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特此证明。</w:t>
      </w:r>
    </w:p>
    <w:p w14:paraId="50C198E9">
      <w:pPr>
        <w:tabs>
          <w:tab w:val="left" w:pos="6300"/>
        </w:tabs>
        <w:snapToGrid w:val="0"/>
        <w:spacing w:line="500" w:lineRule="exact"/>
        <w:ind w:firstLine="570"/>
        <w:rPr>
          <w:rFonts w:hint="eastAsia" w:ascii="宋体" w:hAnsi="宋体" w:cs="宋体"/>
          <w:color w:val="auto"/>
          <w:sz w:val="24"/>
          <w:highlight w:val="none"/>
        </w:rPr>
      </w:pPr>
    </w:p>
    <w:p w14:paraId="028C4233">
      <w:pPr>
        <w:tabs>
          <w:tab w:val="left" w:pos="6300"/>
        </w:tabs>
        <w:snapToGrid w:val="0"/>
        <w:spacing w:line="500" w:lineRule="exact"/>
        <w:ind w:firstLine="570"/>
        <w:rPr>
          <w:rFonts w:hint="eastAsia" w:ascii="宋体" w:hAnsi="宋体" w:cs="宋体"/>
          <w:color w:val="auto"/>
          <w:sz w:val="24"/>
          <w:highlight w:val="none"/>
        </w:rPr>
      </w:pPr>
    </w:p>
    <w:p w14:paraId="4548812D">
      <w:pPr>
        <w:tabs>
          <w:tab w:val="left" w:pos="6300"/>
        </w:tabs>
        <w:snapToGrid w:val="0"/>
        <w:spacing w:line="500" w:lineRule="exact"/>
        <w:ind w:firstLine="570"/>
        <w:rPr>
          <w:rFonts w:hint="eastAsia" w:ascii="宋体" w:hAnsi="宋体" w:cs="宋体"/>
          <w:color w:val="auto"/>
          <w:sz w:val="24"/>
          <w:highlight w:val="none"/>
        </w:rPr>
      </w:pPr>
    </w:p>
    <w:p w14:paraId="03D47730">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 xml:space="preserve">                                             （供应商公章）</w:t>
      </w:r>
    </w:p>
    <w:p w14:paraId="78AB80B4">
      <w:pPr>
        <w:tabs>
          <w:tab w:val="left" w:pos="6300"/>
        </w:tabs>
        <w:snapToGrid w:val="0"/>
        <w:spacing w:line="500" w:lineRule="exact"/>
        <w:ind w:firstLine="570"/>
        <w:rPr>
          <w:rFonts w:hint="eastAsia" w:ascii="宋体" w:hAnsi="宋体" w:cs="宋体"/>
          <w:color w:val="auto"/>
          <w:sz w:val="24"/>
          <w:highlight w:val="none"/>
        </w:rPr>
      </w:pPr>
    </w:p>
    <w:p w14:paraId="7D92CA02">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 xml:space="preserve">                                             年   月   日</w:t>
      </w:r>
    </w:p>
    <w:p w14:paraId="6DCDD399">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法定代表人电话：XXXXXXX      电子邮箱：XXXXXX@XXXXX（若授权他人办理并签署响应文件的可不填写）</w:t>
      </w:r>
    </w:p>
    <w:p w14:paraId="0A31FA64">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（附：法定代表人身份证正反面复印件）</w:t>
      </w:r>
    </w:p>
    <w:p w14:paraId="1CB0C5AC">
      <w:pPr>
        <w:tabs>
          <w:tab w:val="left" w:pos="6300"/>
        </w:tabs>
        <w:snapToGrid w:val="0"/>
        <w:spacing w:line="500" w:lineRule="exact"/>
        <w:ind w:firstLine="570"/>
        <w:rPr>
          <w:rFonts w:ascii="宋体" w:hAnsi="宋体" w:cs="宋体"/>
          <w:sz w:val="24"/>
        </w:rPr>
      </w:pPr>
    </w:p>
    <w:p w14:paraId="35503149">
      <w:pPr>
        <w:tabs>
          <w:tab w:val="left" w:pos="6300"/>
        </w:tabs>
        <w:snapToGrid w:val="0"/>
        <w:spacing w:line="500" w:lineRule="exact"/>
        <w:ind w:firstLine="570"/>
        <w:rPr>
          <w:rFonts w:ascii="宋体" w:hAnsi="宋体" w:cs="宋体"/>
          <w:sz w:val="24"/>
        </w:rPr>
      </w:pPr>
    </w:p>
    <w:p w14:paraId="42690B87">
      <w:pPr>
        <w:tabs>
          <w:tab w:val="left" w:pos="6300"/>
        </w:tabs>
        <w:snapToGrid w:val="0"/>
        <w:spacing w:line="500" w:lineRule="exact"/>
        <w:ind w:firstLine="570"/>
        <w:rPr>
          <w:rFonts w:ascii="宋体" w:hAnsi="宋体" w:cs="宋体"/>
          <w:sz w:val="24"/>
        </w:rPr>
      </w:pPr>
    </w:p>
    <w:p w14:paraId="2D174717">
      <w:pPr>
        <w:tabs>
          <w:tab w:val="left" w:pos="6300"/>
        </w:tabs>
        <w:snapToGrid w:val="0"/>
        <w:spacing w:line="500" w:lineRule="exact"/>
        <w:ind w:firstLine="570"/>
        <w:rPr>
          <w:rFonts w:ascii="宋体" w:hAnsi="宋体" w:cs="宋体"/>
          <w:sz w:val="24"/>
        </w:rPr>
      </w:pPr>
    </w:p>
    <w:p w14:paraId="7C569942">
      <w:pPr>
        <w:tabs>
          <w:tab w:val="left" w:pos="6300"/>
        </w:tabs>
        <w:snapToGrid w:val="0"/>
        <w:spacing w:line="500" w:lineRule="exact"/>
        <w:ind w:firstLine="570"/>
        <w:rPr>
          <w:rFonts w:ascii="宋体" w:hAnsi="宋体" w:cs="宋体"/>
          <w:sz w:val="24"/>
        </w:rPr>
      </w:pPr>
    </w:p>
    <w:p w14:paraId="1245A668">
      <w:pPr>
        <w:tabs>
          <w:tab w:val="left" w:pos="6300"/>
        </w:tabs>
        <w:snapToGrid w:val="0"/>
        <w:spacing w:line="500" w:lineRule="exact"/>
        <w:ind w:firstLine="570"/>
        <w:rPr>
          <w:rFonts w:ascii="宋体" w:hAnsi="宋体" w:cs="宋体"/>
          <w:sz w:val="24"/>
        </w:rPr>
      </w:pPr>
    </w:p>
    <w:p w14:paraId="6C49759F">
      <w:pPr>
        <w:snapToGrid w:val="0"/>
        <w:spacing w:line="400" w:lineRule="exact"/>
        <w:ind w:firstLine="560" w:firstLineChars="200"/>
        <w:rPr>
          <w:rFonts w:ascii="宋体" w:hAnsi="宋体" w:cs="宋体"/>
          <w:sz w:val="24"/>
          <w:szCs w:val="24"/>
        </w:rPr>
      </w:pPr>
      <w:r>
        <w:rPr>
          <w:rFonts w:hint="eastAsia" w:ascii="宋体" w:hAnsi="宋体" w:cs="宋体"/>
        </w:rPr>
        <w:br w:type="column"/>
      </w:r>
      <w:r>
        <w:rPr>
          <w:rFonts w:hint="eastAsia" w:ascii="宋体" w:hAnsi="宋体" w:cs="宋体"/>
          <w:sz w:val="24"/>
          <w:szCs w:val="24"/>
        </w:rPr>
        <w:t>（三）法定代表人授权委托书（格式）</w:t>
      </w:r>
    </w:p>
    <w:p w14:paraId="779753DD">
      <w:pPr>
        <w:tabs>
          <w:tab w:val="left" w:pos="6300"/>
        </w:tabs>
        <w:snapToGrid w:val="0"/>
        <w:spacing w:line="500" w:lineRule="exact"/>
        <w:ind w:firstLine="570"/>
        <w:rPr>
          <w:rFonts w:ascii="宋体" w:hAnsi="宋体" w:cs="宋体"/>
          <w:sz w:val="24"/>
        </w:rPr>
      </w:pPr>
    </w:p>
    <w:p w14:paraId="6DA0C7A5">
      <w:pPr>
        <w:tabs>
          <w:tab w:val="left" w:pos="6300"/>
        </w:tabs>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szCs w:val="28"/>
          <w:highlight w:val="none"/>
        </w:rPr>
        <w:t>磋商项目名称</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p>
    <w:p w14:paraId="7DFB679E">
      <w:pPr>
        <w:tabs>
          <w:tab w:val="left" w:pos="6300"/>
        </w:tabs>
        <w:snapToGrid w:val="0"/>
        <w:spacing w:line="500" w:lineRule="exact"/>
        <w:ind w:firstLine="570"/>
        <w:rPr>
          <w:rFonts w:hint="eastAsia" w:ascii="宋体" w:hAnsi="宋体" w:cs="宋体"/>
          <w:color w:val="auto"/>
          <w:sz w:val="24"/>
          <w:highlight w:val="none"/>
        </w:rPr>
      </w:pPr>
    </w:p>
    <w:p w14:paraId="1B112B02">
      <w:pPr>
        <w:tabs>
          <w:tab w:val="left" w:pos="6300"/>
        </w:tabs>
        <w:snapToGrid w:val="0"/>
        <w:spacing w:line="500" w:lineRule="exact"/>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（采购代理机构名称）：</w:t>
      </w:r>
    </w:p>
    <w:p w14:paraId="103F7050">
      <w:pPr>
        <w:tabs>
          <w:tab w:val="left" w:pos="6300"/>
        </w:tabs>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（供应商法定代表人名称）是</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（供应商名称）的法定代表人，特授权</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（被授权人姓名及身份证代码）代表我单位全权办理上述项目的磋商、签约等具体工作，并签署全部有关文件、协议及合同。</w:t>
      </w:r>
    </w:p>
    <w:p w14:paraId="79FFC14C">
      <w:pPr>
        <w:tabs>
          <w:tab w:val="left" w:pos="6300"/>
        </w:tabs>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我单位对被授权人的</w:t>
      </w:r>
      <w:r>
        <w:rPr>
          <w:rFonts w:hint="eastAsia" w:ascii="宋体" w:hAnsi="宋体" w:cs="宋体"/>
          <w:color w:val="auto"/>
          <w:sz w:val="24"/>
          <w:szCs w:val="28"/>
          <w:highlight w:val="none"/>
        </w:rPr>
        <w:t>签署</w:t>
      </w:r>
      <w:r>
        <w:rPr>
          <w:rFonts w:hint="eastAsia" w:ascii="宋体" w:hAnsi="宋体" w:cs="宋体"/>
          <w:color w:val="auto"/>
          <w:sz w:val="24"/>
          <w:highlight w:val="none"/>
        </w:rPr>
        <w:t>负全部责任。</w:t>
      </w:r>
    </w:p>
    <w:p w14:paraId="412089A4">
      <w:pPr>
        <w:tabs>
          <w:tab w:val="left" w:pos="6300"/>
        </w:tabs>
        <w:snapToGrid w:val="0"/>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在撤销授权的书面通知以前，本授权书一直有效。被授权人在授权书有效期内签署的所有文件不因授权的撤销而失效。</w:t>
      </w:r>
    </w:p>
    <w:p w14:paraId="45DDC51D">
      <w:pPr>
        <w:tabs>
          <w:tab w:val="left" w:pos="6300"/>
        </w:tabs>
        <w:snapToGrid w:val="0"/>
        <w:spacing w:line="500" w:lineRule="exact"/>
        <w:ind w:firstLine="570"/>
        <w:rPr>
          <w:rFonts w:hint="eastAsia" w:ascii="宋体" w:hAnsi="宋体" w:cs="宋体"/>
          <w:color w:val="auto"/>
          <w:sz w:val="24"/>
          <w:highlight w:val="none"/>
        </w:rPr>
      </w:pPr>
    </w:p>
    <w:p w14:paraId="64594DE3">
      <w:pPr>
        <w:tabs>
          <w:tab w:val="left" w:pos="6300"/>
        </w:tabs>
        <w:snapToGrid w:val="0"/>
        <w:spacing w:line="500" w:lineRule="exact"/>
        <w:ind w:firstLine="570"/>
        <w:rPr>
          <w:rFonts w:hint="eastAsia" w:ascii="宋体" w:hAnsi="宋体" w:cs="宋体"/>
          <w:color w:val="auto"/>
          <w:sz w:val="24"/>
          <w:highlight w:val="none"/>
        </w:rPr>
      </w:pPr>
    </w:p>
    <w:p w14:paraId="1FDE6111">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被授权人：                                 供应商法定代表人：</w:t>
      </w:r>
    </w:p>
    <w:p w14:paraId="40EBB447">
      <w:pPr>
        <w:tabs>
          <w:tab w:val="left" w:pos="6300"/>
        </w:tabs>
        <w:snapToGrid w:val="0"/>
        <w:spacing w:line="500" w:lineRule="exact"/>
        <w:ind w:firstLine="570"/>
        <w:rPr>
          <w:rFonts w:hint="eastAsia" w:ascii="宋体" w:hAnsi="宋体" w:cs="宋体"/>
          <w:color w:val="auto"/>
          <w:sz w:val="24"/>
          <w:szCs w:val="28"/>
          <w:highlight w:val="none"/>
        </w:rPr>
      </w:pPr>
      <w:r>
        <w:rPr>
          <w:rFonts w:hint="eastAsia" w:ascii="宋体" w:hAnsi="宋体" w:cs="宋体"/>
          <w:color w:val="auto"/>
          <w:sz w:val="24"/>
          <w:szCs w:val="28"/>
          <w:highlight w:val="none"/>
        </w:rPr>
        <w:t>（签署或盖章）                                （签署或盖章）</w:t>
      </w:r>
    </w:p>
    <w:p w14:paraId="15F0A58E">
      <w:pPr>
        <w:tabs>
          <w:tab w:val="left" w:pos="6300"/>
        </w:tabs>
        <w:snapToGrid w:val="0"/>
        <w:spacing w:line="500" w:lineRule="exact"/>
        <w:ind w:firstLine="570"/>
        <w:rPr>
          <w:rFonts w:hint="eastAsia" w:ascii="宋体" w:hAnsi="宋体" w:cs="宋体"/>
          <w:color w:val="auto"/>
          <w:sz w:val="24"/>
          <w:szCs w:val="28"/>
          <w:highlight w:val="none"/>
        </w:rPr>
      </w:pPr>
    </w:p>
    <w:p w14:paraId="5818F96A">
      <w:pPr>
        <w:tabs>
          <w:tab w:val="left" w:pos="6300"/>
        </w:tabs>
        <w:snapToGrid w:val="0"/>
        <w:spacing w:line="500" w:lineRule="exact"/>
        <w:ind w:firstLine="570"/>
        <w:rPr>
          <w:rFonts w:hint="eastAsia" w:ascii="宋体" w:hAnsi="宋体" w:cs="宋体"/>
          <w:color w:val="auto"/>
          <w:sz w:val="24"/>
          <w:highlight w:val="none"/>
        </w:rPr>
      </w:pPr>
    </w:p>
    <w:p w14:paraId="4246C802">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（附：被授权人身份证正反面复印件）</w:t>
      </w:r>
    </w:p>
    <w:p w14:paraId="6C0AFADF">
      <w:pPr>
        <w:tabs>
          <w:tab w:val="left" w:pos="6300"/>
        </w:tabs>
        <w:snapToGrid w:val="0"/>
        <w:spacing w:line="500" w:lineRule="exact"/>
        <w:ind w:firstLine="570"/>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7513EE4E">
      <w:pPr>
        <w:tabs>
          <w:tab w:val="left" w:pos="6300"/>
        </w:tabs>
        <w:snapToGrid w:val="0"/>
        <w:spacing w:line="500" w:lineRule="exact"/>
        <w:ind w:firstLine="570"/>
        <w:rPr>
          <w:rFonts w:hint="eastAsia" w:ascii="宋体" w:hAnsi="宋体" w:cs="宋体"/>
          <w:color w:val="auto"/>
          <w:sz w:val="24"/>
          <w:highlight w:val="none"/>
        </w:rPr>
      </w:pPr>
    </w:p>
    <w:p w14:paraId="03148764">
      <w:pPr>
        <w:tabs>
          <w:tab w:val="left" w:pos="6300"/>
        </w:tabs>
        <w:snapToGrid w:val="0"/>
        <w:spacing w:line="500" w:lineRule="exact"/>
        <w:ind w:firstLine="570"/>
        <w:rPr>
          <w:rFonts w:hint="eastAsia" w:ascii="宋体" w:hAnsi="宋体" w:cs="宋体"/>
          <w:color w:val="auto"/>
          <w:sz w:val="24"/>
          <w:highlight w:val="none"/>
        </w:rPr>
      </w:pPr>
    </w:p>
    <w:p w14:paraId="62FD104E">
      <w:pPr>
        <w:tabs>
          <w:tab w:val="left" w:pos="6300"/>
        </w:tabs>
        <w:snapToGrid w:val="0"/>
        <w:spacing w:line="500" w:lineRule="exact"/>
        <w:ind w:right="480" w:firstLine="570"/>
        <w:jc w:val="right"/>
        <w:rPr>
          <w:rFonts w:hint="eastAsia" w:ascii="宋体" w:hAnsi="宋体" w:cs="宋体"/>
          <w:color w:val="auto"/>
          <w:sz w:val="24"/>
          <w:highlight w:val="none"/>
        </w:rPr>
      </w:pPr>
      <w:r>
        <w:rPr>
          <w:rFonts w:hint="eastAsia" w:ascii="宋体" w:hAnsi="宋体" w:cs="宋体"/>
          <w:color w:val="auto"/>
          <w:sz w:val="24"/>
          <w:highlight w:val="none"/>
        </w:rPr>
        <w:t>（供应商公章）</w:t>
      </w:r>
    </w:p>
    <w:p w14:paraId="4E3DA86D">
      <w:pPr>
        <w:tabs>
          <w:tab w:val="left" w:pos="6300"/>
        </w:tabs>
        <w:snapToGrid w:val="0"/>
        <w:spacing w:line="500" w:lineRule="exact"/>
        <w:ind w:right="480" w:firstLine="570"/>
        <w:jc w:val="right"/>
        <w:rPr>
          <w:rFonts w:hint="eastAsia" w:ascii="宋体" w:hAnsi="宋体" w:cs="宋体"/>
          <w:color w:val="auto"/>
          <w:sz w:val="24"/>
          <w:highlight w:val="none"/>
        </w:rPr>
      </w:pPr>
      <w:r>
        <w:rPr>
          <w:rFonts w:hint="eastAsia" w:ascii="宋体" w:hAnsi="宋体" w:cs="宋体"/>
          <w:color w:val="auto"/>
          <w:sz w:val="24"/>
          <w:highlight w:val="none"/>
        </w:rPr>
        <w:t>年   月   日</w:t>
      </w:r>
    </w:p>
    <w:p w14:paraId="33EE2F25">
      <w:pPr>
        <w:tabs>
          <w:tab w:val="left" w:pos="6300"/>
        </w:tabs>
        <w:snapToGrid w:val="0"/>
        <w:spacing w:line="500" w:lineRule="exact"/>
        <w:ind w:right="480" w:firstLine="570"/>
        <w:jc w:val="left"/>
        <w:rPr>
          <w:rFonts w:hint="eastAsia" w:ascii="宋体" w:hAnsi="宋体" w:cs="宋体"/>
          <w:color w:val="auto"/>
          <w:sz w:val="24"/>
          <w:highlight w:val="none"/>
        </w:rPr>
      </w:pPr>
      <w:r>
        <w:rPr>
          <w:rFonts w:hint="eastAsia" w:ascii="宋体" w:hAnsi="宋体" w:cs="宋体"/>
          <w:color w:val="auto"/>
          <w:sz w:val="24"/>
          <w:highlight w:val="none"/>
        </w:rPr>
        <w:t>被授权人电话：XXXXXXX     电子邮箱：XXXXXX@XXXXX（若法定代表人办理并签署响应文件的可不填写）</w:t>
      </w:r>
    </w:p>
    <w:p w14:paraId="2F821992">
      <w:pPr>
        <w:tabs>
          <w:tab w:val="left" w:pos="6300"/>
        </w:tabs>
        <w:snapToGrid w:val="0"/>
        <w:spacing w:line="500" w:lineRule="exact"/>
        <w:ind w:right="480" w:firstLine="570"/>
        <w:jc w:val="left"/>
        <w:rPr>
          <w:rFonts w:hint="eastAsia" w:ascii="宋体" w:hAnsi="宋体" w:cs="宋体"/>
          <w:color w:val="auto"/>
          <w:sz w:val="24"/>
          <w:highlight w:val="none"/>
        </w:rPr>
      </w:pPr>
      <w:r>
        <w:rPr>
          <w:rFonts w:hint="eastAsia" w:ascii="宋体" w:hAnsi="宋体" w:cs="宋体"/>
          <w:color w:val="auto"/>
          <w:sz w:val="24"/>
          <w:highlight w:val="none"/>
        </w:rPr>
        <w:t>注：</w:t>
      </w:r>
    </w:p>
    <w:p w14:paraId="703EB697">
      <w:pPr>
        <w:tabs>
          <w:tab w:val="left" w:pos="6300"/>
        </w:tabs>
        <w:snapToGrid w:val="0"/>
        <w:spacing w:line="500" w:lineRule="exact"/>
        <w:ind w:right="480" w:firstLine="570"/>
        <w:jc w:val="left"/>
        <w:rPr>
          <w:rFonts w:hint="eastAsia" w:ascii="宋体" w:hAnsi="宋体" w:cs="宋体"/>
          <w:color w:val="auto"/>
          <w:sz w:val="24"/>
          <w:highlight w:val="none"/>
        </w:rPr>
      </w:pPr>
      <w:r>
        <w:rPr>
          <w:rFonts w:hint="eastAsia" w:ascii="宋体" w:hAnsi="宋体" w:cs="宋体"/>
          <w:color w:val="auto"/>
          <w:sz w:val="24"/>
          <w:highlight w:val="none"/>
        </w:rPr>
        <w:t>若为法定代表人办理并签署响应文件的，不提供此文件。</w:t>
      </w:r>
    </w:p>
    <w:p w14:paraId="444D6440">
      <w:pPr>
        <w:tabs>
          <w:tab w:val="left" w:pos="6300"/>
        </w:tabs>
        <w:snapToGrid w:val="0"/>
        <w:spacing w:line="500" w:lineRule="exact"/>
        <w:ind w:right="480" w:firstLine="570"/>
        <w:jc w:val="left"/>
        <w:rPr>
          <w:rFonts w:ascii="宋体" w:hAnsi="宋体" w:cs="宋体"/>
          <w:sz w:val="24"/>
        </w:rPr>
      </w:pPr>
    </w:p>
    <w:p w14:paraId="6B30D522">
      <w:pPr>
        <w:tabs>
          <w:tab w:val="left" w:pos="6300"/>
        </w:tabs>
        <w:snapToGrid w:val="0"/>
        <w:spacing w:line="500" w:lineRule="exact"/>
        <w:ind w:firstLine="570"/>
        <w:rPr>
          <w:rFonts w:ascii="宋体" w:hAnsi="宋体" w:cs="宋体"/>
          <w:sz w:val="24"/>
          <w:szCs w:val="24"/>
        </w:rPr>
      </w:pPr>
      <w:r>
        <w:rPr>
          <w:rFonts w:hint="eastAsia" w:ascii="宋体" w:hAnsi="宋体" w:cs="宋体"/>
        </w:rPr>
        <w:br w:type="column"/>
      </w:r>
      <w:r>
        <w:rPr>
          <w:rFonts w:hint="eastAsia" w:ascii="宋体" w:hAnsi="宋体" w:cs="宋体"/>
          <w:sz w:val="24"/>
          <w:szCs w:val="24"/>
        </w:rPr>
        <w:t>（四）基本资格条件承诺函（格式）</w:t>
      </w:r>
    </w:p>
    <w:p w14:paraId="591F046F">
      <w:pPr>
        <w:tabs>
          <w:tab w:val="left" w:pos="6300"/>
        </w:tabs>
        <w:snapToGrid w:val="0"/>
        <w:spacing w:line="500" w:lineRule="exact"/>
        <w:ind w:firstLine="570"/>
        <w:jc w:val="center"/>
        <w:rPr>
          <w:rFonts w:ascii="宋体" w:hAnsi="宋体" w:cs="宋体"/>
          <w:b/>
          <w:bCs/>
          <w:sz w:val="30"/>
          <w:szCs w:val="30"/>
        </w:rPr>
      </w:pPr>
      <w:r>
        <w:rPr>
          <w:rFonts w:hint="eastAsia" w:ascii="宋体" w:hAnsi="宋体" w:cs="宋体"/>
          <w:b/>
          <w:bCs/>
          <w:sz w:val="30"/>
          <w:szCs w:val="30"/>
        </w:rPr>
        <w:t>基本资格条件承诺函</w:t>
      </w:r>
    </w:p>
    <w:p w14:paraId="1FE269A4">
      <w:pPr>
        <w:tabs>
          <w:tab w:val="left" w:pos="6300"/>
        </w:tabs>
        <w:snapToGrid w:val="0"/>
        <w:spacing w:line="530" w:lineRule="exact"/>
        <w:rPr>
          <w:sz w:val="24"/>
        </w:rPr>
      </w:pPr>
    </w:p>
    <w:p w14:paraId="6AF71EDB">
      <w:pPr>
        <w:tabs>
          <w:tab w:val="left" w:pos="6300"/>
        </w:tabs>
        <w:snapToGrid w:val="0"/>
        <w:spacing w:line="53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（采购代理机构名称）：</w:t>
      </w:r>
    </w:p>
    <w:p w14:paraId="4102AA64">
      <w:pPr>
        <w:tabs>
          <w:tab w:val="left" w:pos="6300"/>
        </w:tabs>
        <w:snapToGrid w:val="0"/>
        <w:spacing w:line="5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（供应商名称）郑重承诺：</w:t>
      </w:r>
    </w:p>
    <w:p w14:paraId="6B9D77E4">
      <w:pPr>
        <w:spacing w:line="5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1.我方具有良好的商业信誉和健全的财务会计制度，具有履行合同所必需的设备和专业技术能力，具</w:t>
      </w:r>
      <w:r>
        <w:rPr>
          <w:rFonts w:hint="eastAsia" w:ascii="宋体" w:hAnsi="宋体" w:cs="宋体"/>
          <w:color w:val="auto"/>
          <w:sz w:val="24"/>
          <w:szCs w:val="24"/>
          <w:highlight w:val="none"/>
          <w:lang w:val="zh-CN"/>
        </w:rPr>
        <w:t>有依法缴纳税收和社会保障金的良好记录</w:t>
      </w:r>
      <w:r>
        <w:rPr>
          <w:rFonts w:hint="eastAsia" w:ascii="宋体" w:hAnsi="宋体" w:cs="宋体"/>
          <w:color w:val="auto"/>
          <w:sz w:val="24"/>
          <w:szCs w:val="24"/>
          <w:highlight w:val="none"/>
        </w:rPr>
        <w:t>，参加本项目采购活动前三年内无重大违法活动记录。</w:t>
      </w:r>
    </w:p>
    <w:p w14:paraId="767C8C48">
      <w:pPr>
        <w:spacing w:line="5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2.我方未列入在信用中国网站（www.creditchina.gov.cn）“失信被执行人”、“重大税收违法案件当事人名单”中，也未列入中国政府采购网（www.ccgp.gov.cn）“政府采购严重违法失信行为记录名单”中。</w:t>
      </w:r>
    </w:p>
    <w:p w14:paraId="3755F84B">
      <w:pPr>
        <w:spacing w:line="5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3.我方在采购项目评审（评标）环节结束后，随时接受采购人、采购代理机构的检查验证，配合提供相关证明材料，证明符合《中华人民共和国政府采购法》规定的供应商基本资格条件。</w:t>
      </w:r>
    </w:p>
    <w:p w14:paraId="7E3875AE">
      <w:pPr>
        <w:tabs>
          <w:tab w:val="left" w:pos="6300"/>
        </w:tabs>
        <w:snapToGrid w:val="0"/>
        <w:spacing w:line="5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我方对以上承诺负全部法律责任。</w:t>
      </w:r>
    </w:p>
    <w:p w14:paraId="117FBC0F">
      <w:pPr>
        <w:tabs>
          <w:tab w:val="left" w:pos="6300"/>
        </w:tabs>
        <w:snapToGrid w:val="0"/>
        <w:spacing w:line="53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特此承诺。</w:t>
      </w:r>
    </w:p>
    <w:p w14:paraId="61DA79AF">
      <w:pPr>
        <w:tabs>
          <w:tab w:val="left" w:pos="6300"/>
        </w:tabs>
        <w:snapToGrid w:val="0"/>
        <w:spacing w:line="530" w:lineRule="exact"/>
        <w:rPr>
          <w:rFonts w:hint="eastAsia" w:ascii="宋体" w:hAnsi="宋体" w:cs="宋体"/>
          <w:color w:val="auto"/>
          <w:sz w:val="24"/>
          <w:szCs w:val="24"/>
          <w:highlight w:val="none"/>
        </w:rPr>
      </w:pPr>
    </w:p>
    <w:p w14:paraId="6CEEACD7">
      <w:pPr>
        <w:tabs>
          <w:tab w:val="left" w:pos="6300"/>
        </w:tabs>
        <w:snapToGrid w:val="0"/>
        <w:spacing w:line="530" w:lineRule="exact"/>
        <w:ind w:right="424" w:firstLine="570"/>
        <w:jc w:val="right"/>
        <w:rPr>
          <w:rFonts w:hint="eastAsia" w:ascii="宋体" w:hAnsi="宋体" w:cs="宋体"/>
          <w:color w:val="auto"/>
          <w:sz w:val="24"/>
          <w:szCs w:val="24"/>
          <w:highlight w:val="none"/>
        </w:rPr>
      </w:pPr>
      <w:r>
        <w:rPr>
          <w:rFonts w:hint="eastAsia" w:ascii="宋体" w:hAnsi="宋体" w:cs="宋体"/>
          <w:color w:val="auto"/>
          <w:sz w:val="24"/>
          <w:szCs w:val="24"/>
          <w:highlight w:val="none"/>
        </w:rPr>
        <w:t>（供应商公章）</w:t>
      </w:r>
    </w:p>
    <w:p w14:paraId="1C421B3F">
      <w:pPr>
        <w:tabs>
          <w:tab w:val="left" w:pos="6300"/>
        </w:tabs>
        <w:snapToGrid w:val="0"/>
        <w:spacing w:line="500" w:lineRule="exact"/>
        <w:ind w:firstLine="7442" w:firstLineChars="3101"/>
        <w:rPr>
          <w:rFonts w:ascii="宋体" w:hAnsi="宋体" w:cs="宋体"/>
          <w:sz w:val="24"/>
          <w:szCs w:val="24"/>
        </w:rPr>
      </w:pPr>
      <w:r>
        <w:rPr>
          <w:rFonts w:hint="eastAsia" w:ascii="宋体" w:hAnsi="宋体" w:cs="宋体"/>
          <w:color w:val="auto"/>
          <w:sz w:val="24"/>
          <w:szCs w:val="24"/>
          <w:highlight w:val="none"/>
        </w:rPr>
        <w:t>年   月   日</w:t>
      </w:r>
    </w:p>
    <w:p w14:paraId="08DAD160">
      <w:pPr>
        <w:snapToGrid w:val="0"/>
        <w:spacing w:line="400" w:lineRule="exact"/>
        <w:ind w:firstLine="560" w:firstLineChars="200"/>
        <w:rPr>
          <w:rFonts w:ascii="宋体" w:hAnsi="宋体" w:cs="宋体"/>
          <w:sz w:val="24"/>
          <w:szCs w:val="24"/>
        </w:rPr>
      </w:pPr>
      <w:r>
        <w:rPr>
          <w:rFonts w:hint="eastAsia" w:ascii="宋体" w:hAnsi="宋体" w:cs="宋体"/>
        </w:rPr>
        <w:br w:type="page"/>
      </w:r>
      <w:r>
        <w:rPr>
          <w:rFonts w:hint="eastAsia" w:ascii="宋体" w:hAnsi="宋体" w:cs="宋体"/>
          <w:sz w:val="24"/>
          <w:szCs w:val="24"/>
        </w:rPr>
        <w:t>（五）特定资格条件证书或证明文件</w:t>
      </w:r>
    </w:p>
    <w:p w14:paraId="02FCBAB1">
      <w:pPr>
        <w:pStyle w:val="3"/>
        <w:adjustRightInd w:val="0"/>
        <w:snapToGrid w:val="0"/>
        <w:spacing w:line="400" w:lineRule="exact"/>
        <w:ind w:firstLine="560" w:firstLineChars="200"/>
        <w:rPr>
          <w:rFonts w:ascii="宋体" w:hAnsi="宋体" w:eastAsia="宋体" w:cs="宋体"/>
          <w:sz w:val="24"/>
        </w:rPr>
      </w:pPr>
      <w:bookmarkStart w:id="677" w:name="_Toc14422"/>
      <w:r>
        <w:rPr>
          <w:rFonts w:hint="eastAsia" w:ascii="宋体" w:hAnsi="宋体" w:eastAsia="宋体" w:cs="宋体"/>
          <w:b w:val="0"/>
          <w:sz w:val="28"/>
        </w:rPr>
        <w:br w:type="page"/>
      </w:r>
      <w:bookmarkStart w:id="678" w:name="_Toc12029"/>
      <w:bookmarkStart w:id="679" w:name="_Toc76462354"/>
      <w:bookmarkStart w:id="680" w:name="_Toc3994"/>
      <w:bookmarkStart w:id="681" w:name="_Toc6349"/>
      <w:bookmarkStart w:id="682" w:name="_Toc19623"/>
      <w:bookmarkStart w:id="683" w:name="_Toc29174"/>
      <w:bookmarkStart w:id="684" w:name="_Toc4342"/>
      <w:bookmarkStart w:id="685" w:name="_Toc20899"/>
      <w:bookmarkStart w:id="686" w:name="_Toc16255"/>
      <w:bookmarkStart w:id="687" w:name="_Toc15507"/>
      <w:bookmarkStart w:id="688" w:name="_Toc20080"/>
      <w:bookmarkStart w:id="689" w:name="_Toc6831"/>
      <w:bookmarkStart w:id="690" w:name="_Toc211850973"/>
      <w:bookmarkStart w:id="691" w:name="_Toc2044"/>
      <w:bookmarkStart w:id="692" w:name="_Toc7266"/>
      <w:bookmarkStart w:id="693" w:name="_Toc5287"/>
      <w:bookmarkStart w:id="694" w:name="_Toc3613"/>
      <w:bookmarkStart w:id="695" w:name="_Toc20423"/>
      <w:r>
        <w:rPr>
          <w:rFonts w:hint="eastAsia" w:ascii="宋体" w:hAnsi="宋体" w:eastAsia="宋体" w:cs="宋体"/>
          <w:sz w:val="24"/>
        </w:rPr>
        <w:t>五、其他资料</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14:paraId="50F506E5">
      <w:pPr>
        <w:tabs>
          <w:tab w:val="left" w:pos="6300"/>
        </w:tabs>
        <w:snapToGrid w:val="0"/>
        <w:spacing w:line="400" w:lineRule="exact"/>
        <w:ind w:firstLine="480" w:firstLineChars="200"/>
        <w:rPr>
          <w:rFonts w:ascii="宋体" w:hAnsi="宋体" w:cs="宋体"/>
          <w:sz w:val="24"/>
          <w:szCs w:val="24"/>
        </w:rPr>
      </w:pPr>
      <w:r>
        <w:rPr>
          <w:rFonts w:hint="eastAsia" w:ascii="宋体" w:hAnsi="宋体" w:cs="宋体"/>
          <w:sz w:val="24"/>
          <w:szCs w:val="24"/>
        </w:rPr>
        <w:t>（一）中小企业声明函、监狱企业证明文件、残疾人福利性单位声明函</w:t>
      </w:r>
    </w:p>
    <w:p w14:paraId="2DA17DC1">
      <w:pPr>
        <w:tabs>
          <w:tab w:val="left" w:pos="6300"/>
        </w:tabs>
        <w:snapToGrid w:val="0"/>
        <w:spacing w:line="500" w:lineRule="exact"/>
        <w:ind w:firstLine="560" w:firstLineChars="200"/>
        <w:jc w:val="center"/>
        <w:rPr>
          <w:rFonts w:ascii="宋体" w:hAnsi="宋体" w:cs="宋体"/>
        </w:rPr>
      </w:pPr>
      <w:r>
        <w:rPr>
          <w:rFonts w:hint="eastAsia" w:ascii="宋体" w:hAnsi="宋体" w:cs="宋体"/>
        </w:rPr>
        <w:t>中小企业声明函</w:t>
      </w:r>
    </w:p>
    <w:p w14:paraId="6187A24B">
      <w:pPr>
        <w:spacing w:line="500" w:lineRule="exact"/>
        <w:outlineLvl w:val="0"/>
        <w:rPr>
          <w:rFonts w:ascii="宋体" w:hAnsi="宋体" w:cs="宋体"/>
          <w:sz w:val="24"/>
          <w:szCs w:val="28"/>
        </w:rPr>
      </w:pPr>
      <w:r>
        <w:rPr>
          <w:rFonts w:hint="eastAsia" w:ascii="宋体" w:hAnsi="宋体" w:cs="宋体"/>
          <w:sz w:val="24"/>
          <w:szCs w:val="28"/>
        </w:rPr>
        <w:t>本公司郑重声明，根据《政府采购促进中小企业发展管理办法》（</w:t>
      </w:r>
      <w:r>
        <w:rPr>
          <w:rFonts w:hint="eastAsia" w:ascii="宋体" w:hAnsi="宋体" w:cs="宋体"/>
          <w:sz w:val="24"/>
          <w:szCs w:val="24"/>
        </w:rPr>
        <w:t>财库〔2020〕46号</w:t>
      </w:r>
      <w:r>
        <w:rPr>
          <w:rFonts w:hint="eastAsia" w:ascii="宋体" w:hAnsi="宋体" w:cs="宋体"/>
          <w:sz w:val="24"/>
          <w:szCs w:val="28"/>
        </w:rPr>
        <w:t>）的规定，本公司参加</w:t>
      </w:r>
      <w:r>
        <w:rPr>
          <w:rFonts w:hint="eastAsia" w:ascii="宋体" w:hAnsi="宋体" w:cs="宋体"/>
          <w:i/>
          <w:sz w:val="24"/>
          <w:szCs w:val="28"/>
          <w:u w:val="single"/>
        </w:rPr>
        <w:t>（重庆</w:t>
      </w:r>
      <w:r>
        <w:rPr>
          <w:rFonts w:hint="eastAsia" w:ascii="宋体" w:hAnsi="宋体" w:cs="宋体"/>
          <w:i/>
          <w:sz w:val="24"/>
          <w:szCs w:val="28"/>
          <w:u w:val="single"/>
          <w:lang w:eastAsia="zh-CN"/>
        </w:rPr>
        <w:t>市</w:t>
      </w:r>
      <w:r>
        <w:rPr>
          <w:rFonts w:hint="eastAsia" w:ascii="宋体" w:hAnsi="宋体" w:cs="宋体"/>
          <w:i/>
          <w:sz w:val="24"/>
          <w:szCs w:val="28"/>
          <w:u w:val="single"/>
        </w:rPr>
        <w:t>璧山区消防救援支队）</w:t>
      </w:r>
      <w:r>
        <w:rPr>
          <w:rFonts w:hint="eastAsia" w:ascii="宋体" w:hAnsi="宋体" w:cs="宋体"/>
          <w:sz w:val="24"/>
          <w:szCs w:val="28"/>
        </w:rPr>
        <w:t>的</w:t>
      </w:r>
      <w:r>
        <w:rPr>
          <w:rFonts w:hint="eastAsia" w:ascii="宋体" w:hAnsi="宋体" w:cs="宋体"/>
          <w:i/>
          <w:sz w:val="24"/>
          <w:szCs w:val="28"/>
          <w:u w:val="single"/>
        </w:rPr>
        <w:t>（</w:t>
      </w:r>
      <w:r>
        <w:rPr>
          <w:rFonts w:hint="eastAsia" w:ascii="宋体" w:hAnsi="宋体" w:cs="宋体"/>
          <w:sz w:val="21"/>
          <w:szCs w:val="21"/>
          <w:lang w:eastAsia="zh-CN"/>
        </w:rPr>
        <w:t>重庆市璧山区消防救援支队</w:t>
      </w:r>
      <w:r>
        <w:rPr>
          <w:rFonts w:hint="eastAsia" w:ascii="宋体" w:hAnsi="宋体" w:cs="宋体"/>
          <w:sz w:val="21"/>
          <w:szCs w:val="21"/>
        </w:rPr>
        <w:t>（队史馆）项目</w:t>
      </w:r>
      <w:r>
        <w:rPr>
          <w:rFonts w:hint="eastAsia" w:ascii="宋体" w:hAnsi="宋体" w:cs="宋体"/>
          <w:i/>
          <w:sz w:val="24"/>
          <w:szCs w:val="28"/>
          <w:u w:val="single"/>
        </w:rPr>
        <w:t>）</w:t>
      </w:r>
      <w:r>
        <w:rPr>
          <w:rFonts w:hint="eastAsia" w:ascii="宋体" w:hAnsi="宋体" w:cs="宋体"/>
          <w:sz w:val="24"/>
          <w:szCs w:val="28"/>
        </w:rPr>
        <w:t>采购活动，工程的施工单位全部为符合政策要求的中小企业。相关企业的具体情况如下：</w:t>
      </w:r>
    </w:p>
    <w:p w14:paraId="6B99505E">
      <w:pPr>
        <w:tabs>
          <w:tab w:val="left" w:pos="6300"/>
        </w:tabs>
        <w:snapToGrid w:val="0"/>
        <w:spacing w:line="500" w:lineRule="exact"/>
        <w:ind w:firstLine="480" w:firstLineChars="200"/>
        <w:rPr>
          <w:rFonts w:ascii="宋体" w:hAnsi="宋体" w:cs="宋体"/>
          <w:sz w:val="24"/>
          <w:szCs w:val="28"/>
        </w:rPr>
      </w:pPr>
      <w:r>
        <w:rPr>
          <w:rFonts w:hint="eastAsia" w:ascii="宋体" w:hAnsi="宋体" w:cs="宋体"/>
          <w:sz w:val="24"/>
          <w:szCs w:val="28"/>
        </w:rPr>
        <w:t>1.</w:t>
      </w:r>
      <w:r>
        <w:rPr>
          <w:rFonts w:hint="eastAsia" w:ascii="宋体" w:hAnsi="宋体" w:cs="宋体"/>
          <w:i/>
          <w:sz w:val="24"/>
          <w:szCs w:val="28"/>
          <w:u w:val="single"/>
        </w:rPr>
        <w:t>（</w:t>
      </w:r>
      <w:r>
        <w:rPr>
          <w:rFonts w:hint="eastAsia" w:ascii="宋体" w:hAnsi="宋体" w:cs="宋体"/>
          <w:sz w:val="21"/>
          <w:szCs w:val="21"/>
          <w:lang w:eastAsia="zh-CN"/>
        </w:rPr>
        <w:t>重庆市璧山区消防救援支队</w:t>
      </w:r>
      <w:r>
        <w:rPr>
          <w:rFonts w:hint="eastAsia" w:ascii="宋体" w:hAnsi="宋体" w:cs="宋体"/>
          <w:sz w:val="21"/>
          <w:szCs w:val="21"/>
        </w:rPr>
        <w:t>（队史馆）项目</w:t>
      </w:r>
      <w:r>
        <w:rPr>
          <w:rFonts w:hint="eastAsia" w:ascii="宋体" w:hAnsi="宋体" w:cs="宋体"/>
          <w:i/>
          <w:sz w:val="24"/>
          <w:szCs w:val="28"/>
          <w:u w:val="single"/>
        </w:rPr>
        <w:t>）</w:t>
      </w:r>
      <w:r>
        <w:rPr>
          <w:rFonts w:hint="eastAsia" w:ascii="宋体" w:hAnsi="宋体" w:cs="宋体"/>
          <w:sz w:val="24"/>
          <w:szCs w:val="28"/>
        </w:rPr>
        <w:t>，属于</w:t>
      </w:r>
      <w:r>
        <w:rPr>
          <w:rFonts w:hint="eastAsia" w:ascii="宋体" w:hAnsi="宋体" w:cs="宋体"/>
          <w:i/>
          <w:sz w:val="24"/>
          <w:szCs w:val="28"/>
          <w:u w:val="single"/>
        </w:rPr>
        <w:t>建筑业</w:t>
      </w:r>
      <w:r>
        <w:rPr>
          <w:rFonts w:hint="eastAsia" w:ascii="宋体" w:hAnsi="宋体" w:cs="宋体"/>
          <w:sz w:val="24"/>
          <w:szCs w:val="28"/>
        </w:rPr>
        <w:t>；承建企业为</w:t>
      </w:r>
      <w:r>
        <w:rPr>
          <w:rFonts w:hint="eastAsia" w:ascii="宋体" w:hAnsi="宋体" w:cs="宋体"/>
          <w:i/>
          <w:sz w:val="24"/>
          <w:szCs w:val="28"/>
          <w:u w:val="single"/>
        </w:rPr>
        <w:t>（企业名称）</w:t>
      </w:r>
      <w:r>
        <w:rPr>
          <w:rFonts w:hint="eastAsia" w:ascii="宋体" w:hAnsi="宋体" w:cs="宋体"/>
          <w:sz w:val="24"/>
          <w:szCs w:val="28"/>
        </w:rPr>
        <w:t>，从业人员</w:t>
      </w:r>
      <w:r>
        <w:rPr>
          <w:rFonts w:hint="eastAsia" w:ascii="宋体" w:hAnsi="宋体" w:cs="宋体"/>
          <w:sz w:val="24"/>
          <w:szCs w:val="28"/>
          <w:u w:val="single"/>
          <w:lang w:val="en-US" w:eastAsia="zh-CN"/>
        </w:rPr>
        <w:t xml:space="preserve">  </w:t>
      </w:r>
      <w:r>
        <w:rPr>
          <w:rFonts w:hint="eastAsia" w:ascii="宋体" w:hAnsi="宋体" w:cs="宋体"/>
          <w:sz w:val="24"/>
          <w:szCs w:val="28"/>
        </w:rPr>
        <w:t>人，营业收入</w:t>
      </w:r>
      <w:r>
        <w:rPr>
          <w:rFonts w:hint="eastAsia" w:ascii="宋体" w:hAnsi="宋体" w:cs="宋体"/>
          <w:sz w:val="24"/>
          <w:szCs w:val="28"/>
          <w:u w:val="single"/>
        </w:rPr>
        <w:t>为</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万</w:t>
      </w:r>
      <w:r>
        <w:rPr>
          <w:rFonts w:hint="eastAsia" w:ascii="宋体" w:hAnsi="宋体" w:cs="宋体"/>
          <w:sz w:val="24"/>
          <w:szCs w:val="28"/>
        </w:rPr>
        <w:t>元，资产总额</w:t>
      </w:r>
      <w:r>
        <w:rPr>
          <w:rFonts w:hint="eastAsia" w:ascii="宋体" w:hAnsi="宋体" w:cs="宋体"/>
          <w:sz w:val="24"/>
          <w:szCs w:val="28"/>
          <w:u w:val="single"/>
        </w:rPr>
        <w:t>为</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万</w:t>
      </w:r>
      <w:r>
        <w:rPr>
          <w:rFonts w:hint="eastAsia" w:ascii="宋体" w:hAnsi="宋体" w:cs="宋体"/>
          <w:sz w:val="24"/>
          <w:szCs w:val="28"/>
        </w:rPr>
        <w:t>元，属于</w:t>
      </w:r>
      <w:r>
        <w:rPr>
          <w:rFonts w:hint="eastAsia" w:ascii="宋体" w:hAnsi="宋体" w:cs="宋体"/>
          <w:i/>
          <w:sz w:val="24"/>
          <w:szCs w:val="28"/>
          <w:u w:val="single"/>
        </w:rPr>
        <w:t>（中型企业、小型企业、微型企业）</w:t>
      </w:r>
      <w:r>
        <w:rPr>
          <w:rFonts w:hint="eastAsia" w:ascii="宋体" w:hAnsi="宋体" w:cs="宋体"/>
          <w:sz w:val="24"/>
          <w:szCs w:val="28"/>
        </w:rPr>
        <w:t>；</w:t>
      </w:r>
    </w:p>
    <w:p w14:paraId="0E20134F">
      <w:pPr>
        <w:tabs>
          <w:tab w:val="left" w:pos="6300"/>
        </w:tabs>
        <w:snapToGrid w:val="0"/>
        <w:spacing w:line="500" w:lineRule="exact"/>
        <w:ind w:firstLine="480" w:firstLineChars="200"/>
        <w:rPr>
          <w:rFonts w:ascii="宋体" w:hAnsi="宋体" w:cs="宋体"/>
          <w:sz w:val="24"/>
          <w:szCs w:val="28"/>
        </w:rPr>
      </w:pPr>
      <w:r>
        <w:rPr>
          <w:rFonts w:hint="eastAsia" w:ascii="宋体" w:hAnsi="宋体" w:cs="宋体"/>
          <w:sz w:val="24"/>
          <w:szCs w:val="28"/>
        </w:rPr>
        <w:t>2.</w:t>
      </w:r>
      <w:r>
        <w:rPr>
          <w:rFonts w:hint="eastAsia" w:ascii="宋体" w:hAnsi="宋体" w:cs="宋体"/>
          <w:i/>
          <w:sz w:val="24"/>
          <w:szCs w:val="28"/>
          <w:u w:val="single"/>
        </w:rPr>
        <w:t xml:space="preserve"> （</w:t>
      </w:r>
      <w:r>
        <w:rPr>
          <w:rFonts w:hint="eastAsia" w:ascii="宋体" w:hAnsi="宋体" w:cs="宋体"/>
          <w:sz w:val="21"/>
          <w:szCs w:val="21"/>
          <w:lang w:eastAsia="zh-CN"/>
        </w:rPr>
        <w:t>重庆市璧山区消防救援支队</w:t>
      </w:r>
      <w:r>
        <w:rPr>
          <w:rFonts w:hint="eastAsia" w:ascii="宋体" w:hAnsi="宋体" w:cs="宋体"/>
          <w:sz w:val="21"/>
          <w:szCs w:val="21"/>
        </w:rPr>
        <w:t>（队史馆）项目</w:t>
      </w:r>
      <w:r>
        <w:rPr>
          <w:rFonts w:hint="eastAsia" w:ascii="宋体" w:hAnsi="宋体" w:cs="宋体"/>
          <w:i/>
          <w:sz w:val="24"/>
          <w:szCs w:val="28"/>
          <w:u w:val="single"/>
        </w:rPr>
        <w:t>）</w:t>
      </w:r>
      <w:r>
        <w:rPr>
          <w:rFonts w:hint="eastAsia" w:ascii="宋体" w:hAnsi="宋体" w:cs="宋体"/>
          <w:sz w:val="24"/>
          <w:szCs w:val="28"/>
        </w:rPr>
        <w:t>，属于</w:t>
      </w:r>
      <w:r>
        <w:rPr>
          <w:rFonts w:hint="eastAsia" w:ascii="宋体" w:hAnsi="宋体" w:cs="宋体"/>
          <w:i/>
          <w:sz w:val="24"/>
          <w:szCs w:val="28"/>
          <w:u w:val="single"/>
        </w:rPr>
        <w:t>建筑业</w:t>
      </w:r>
      <w:r>
        <w:rPr>
          <w:rFonts w:hint="eastAsia" w:ascii="宋体" w:hAnsi="宋体" w:cs="宋体"/>
          <w:sz w:val="24"/>
          <w:szCs w:val="28"/>
        </w:rPr>
        <w:t>；承建企业为</w:t>
      </w:r>
      <w:r>
        <w:rPr>
          <w:rFonts w:hint="eastAsia" w:ascii="宋体" w:hAnsi="宋体" w:cs="宋体"/>
          <w:i/>
          <w:sz w:val="24"/>
          <w:szCs w:val="28"/>
          <w:u w:val="single"/>
        </w:rPr>
        <w:t>（企业名称）</w:t>
      </w:r>
      <w:r>
        <w:rPr>
          <w:rFonts w:hint="eastAsia" w:ascii="宋体" w:hAnsi="宋体" w:cs="宋体"/>
          <w:sz w:val="24"/>
          <w:szCs w:val="28"/>
        </w:rPr>
        <w:t>，从业人员</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人</w:t>
      </w:r>
      <w:r>
        <w:rPr>
          <w:rFonts w:hint="eastAsia" w:ascii="宋体" w:hAnsi="宋体" w:cs="宋体"/>
          <w:sz w:val="24"/>
          <w:szCs w:val="28"/>
        </w:rPr>
        <w:t>，营业收入</w:t>
      </w:r>
      <w:r>
        <w:rPr>
          <w:rFonts w:hint="eastAsia" w:ascii="宋体" w:hAnsi="宋体" w:cs="宋体"/>
          <w:sz w:val="24"/>
          <w:szCs w:val="28"/>
          <w:u w:val="single"/>
        </w:rPr>
        <w:t>为</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万</w:t>
      </w:r>
      <w:r>
        <w:rPr>
          <w:rFonts w:hint="eastAsia" w:ascii="宋体" w:hAnsi="宋体" w:cs="宋体"/>
          <w:sz w:val="24"/>
          <w:szCs w:val="28"/>
        </w:rPr>
        <w:t>元，资产总额</w:t>
      </w:r>
      <w:r>
        <w:rPr>
          <w:rFonts w:hint="eastAsia" w:ascii="宋体" w:hAnsi="宋体" w:cs="宋体"/>
          <w:sz w:val="24"/>
          <w:szCs w:val="28"/>
          <w:u w:val="single"/>
        </w:rPr>
        <w:t>为</w:t>
      </w:r>
      <w:r>
        <w:rPr>
          <w:rFonts w:hint="eastAsia" w:ascii="宋体" w:hAnsi="宋体" w:cs="宋体"/>
          <w:sz w:val="24"/>
          <w:szCs w:val="28"/>
          <w:u w:val="single"/>
          <w:lang w:val="en-US" w:eastAsia="zh-CN"/>
        </w:rPr>
        <w:t xml:space="preserve">  </w:t>
      </w:r>
      <w:r>
        <w:rPr>
          <w:rFonts w:hint="eastAsia" w:ascii="宋体" w:hAnsi="宋体" w:cs="宋体"/>
          <w:sz w:val="24"/>
          <w:szCs w:val="28"/>
          <w:u w:val="single"/>
        </w:rPr>
        <w:t>万</w:t>
      </w:r>
      <w:r>
        <w:rPr>
          <w:rFonts w:hint="eastAsia" w:ascii="宋体" w:hAnsi="宋体" w:cs="宋体"/>
          <w:sz w:val="24"/>
          <w:szCs w:val="28"/>
        </w:rPr>
        <w:t>元，属于</w:t>
      </w:r>
      <w:r>
        <w:rPr>
          <w:rFonts w:hint="eastAsia" w:ascii="宋体" w:hAnsi="宋体" w:cs="宋体"/>
          <w:i/>
          <w:sz w:val="24"/>
          <w:szCs w:val="28"/>
          <w:u w:val="single"/>
        </w:rPr>
        <w:t>（中型企业、小型企业、微型企业）</w:t>
      </w:r>
      <w:r>
        <w:rPr>
          <w:rFonts w:hint="eastAsia" w:ascii="宋体" w:hAnsi="宋体" w:cs="宋体"/>
          <w:sz w:val="24"/>
          <w:szCs w:val="28"/>
        </w:rPr>
        <w:t>；</w:t>
      </w:r>
    </w:p>
    <w:p w14:paraId="62882186">
      <w:pPr>
        <w:tabs>
          <w:tab w:val="left" w:pos="6300"/>
        </w:tabs>
        <w:snapToGrid w:val="0"/>
        <w:spacing w:line="500" w:lineRule="exact"/>
        <w:ind w:firstLine="480" w:firstLineChars="200"/>
        <w:rPr>
          <w:rFonts w:ascii="宋体" w:hAnsi="宋体" w:cs="宋体"/>
          <w:sz w:val="24"/>
          <w:szCs w:val="28"/>
        </w:rPr>
      </w:pPr>
      <w:r>
        <w:rPr>
          <w:rFonts w:hint="eastAsia" w:ascii="宋体" w:hAnsi="宋体" w:cs="宋体"/>
          <w:sz w:val="24"/>
          <w:szCs w:val="28"/>
        </w:rPr>
        <w:t>……</w:t>
      </w:r>
    </w:p>
    <w:p w14:paraId="63ADE30C">
      <w:pPr>
        <w:tabs>
          <w:tab w:val="left" w:pos="6300"/>
        </w:tabs>
        <w:snapToGrid w:val="0"/>
        <w:spacing w:line="500" w:lineRule="exact"/>
        <w:ind w:firstLine="480" w:firstLineChars="200"/>
        <w:rPr>
          <w:rFonts w:ascii="宋体" w:hAnsi="宋体" w:cs="宋体"/>
          <w:sz w:val="24"/>
          <w:szCs w:val="28"/>
        </w:rPr>
      </w:pPr>
      <w:r>
        <w:rPr>
          <w:rFonts w:hint="eastAsia" w:ascii="宋体" w:hAnsi="宋体" w:cs="宋体"/>
          <w:sz w:val="24"/>
          <w:szCs w:val="28"/>
        </w:rPr>
        <w:t>以上企业，不属于大企业的分支机构，不存在控股股东为大企业的情形，也不存在与大企业的负责人为同一人的情形。</w:t>
      </w:r>
    </w:p>
    <w:p w14:paraId="6A47846D">
      <w:pPr>
        <w:tabs>
          <w:tab w:val="left" w:pos="6300"/>
        </w:tabs>
        <w:snapToGrid w:val="0"/>
        <w:spacing w:line="500" w:lineRule="exact"/>
        <w:ind w:firstLine="480" w:firstLineChars="200"/>
        <w:rPr>
          <w:rFonts w:ascii="宋体" w:hAnsi="宋体" w:cs="宋体"/>
          <w:sz w:val="24"/>
          <w:szCs w:val="28"/>
        </w:rPr>
      </w:pPr>
      <w:r>
        <w:rPr>
          <w:rFonts w:hint="eastAsia" w:ascii="宋体" w:hAnsi="宋体" w:cs="宋体"/>
          <w:sz w:val="24"/>
          <w:szCs w:val="28"/>
        </w:rPr>
        <w:t>本企业对上述声明内容的真实性负责。如有虚假，将依法承担相应责任。</w:t>
      </w:r>
    </w:p>
    <w:p w14:paraId="790144C3">
      <w:pPr>
        <w:tabs>
          <w:tab w:val="left" w:pos="6300"/>
        </w:tabs>
        <w:snapToGrid w:val="0"/>
        <w:spacing w:line="500" w:lineRule="exact"/>
        <w:ind w:firstLine="480" w:firstLineChars="200"/>
        <w:rPr>
          <w:rFonts w:ascii="宋体" w:hAnsi="宋体" w:cs="宋体"/>
          <w:sz w:val="24"/>
          <w:szCs w:val="28"/>
        </w:rPr>
      </w:pPr>
    </w:p>
    <w:p w14:paraId="51D2D6E0">
      <w:pPr>
        <w:tabs>
          <w:tab w:val="left" w:pos="6300"/>
        </w:tabs>
        <w:snapToGrid w:val="0"/>
        <w:spacing w:line="500" w:lineRule="exact"/>
        <w:ind w:firstLine="6120" w:firstLineChars="2550"/>
        <w:rPr>
          <w:rFonts w:ascii="宋体" w:hAnsi="宋体" w:cs="宋体"/>
          <w:sz w:val="24"/>
          <w:szCs w:val="28"/>
        </w:rPr>
      </w:pPr>
      <w:r>
        <w:rPr>
          <w:rFonts w:hint="eastAsia" w:ascii="宋体" w:hAnsi="宋体" w:cs="宋体"/>
          <w:sz w:val="24"/>
          <w:szCs w:val="28"/>
        </w:rPr>
        <w:t xml:space="preserve">企业名称（盖章）： </w:t>
      </w:r>
    </w:p>
    <w:p w14:paraId="0EE43B8D">
      <w:pPr>
        <w:tabs>
          <w:tab w:val="left" w:pos="6300"/>
        </w:tabs>
        <w:snapToGrid w:val="0"/>
        <w:spacing w:line="500" w:lineRule="exact"/>
        <w:ind w:right="784" w:firstLine="6120" w:firstLineChars="2550"/>
        <w:rPr>
          <w:rFonts w:ascii="宋体" w:hAnsi="宋体" w:cs="宋体"/>
          <w:sz w:val="24"/>
        </w:rPr>
      </w:pPr>
      <w:r>
        <w:rPr>
          <w:rFonts w:hint="eastAsia" w:ascii="宋体" w:hAnsi="宋体" w:cs="宋体"/>
          <w:sz w:val="24"/>
          <w:szCs w:val="28"/>
        </w:rPr>
        <w:t>日期：</w:t>
      </w:r>
    </w:p>
    <w:p w14:paraId="59079582">
      <w:pPr>
        <w:tabs>
          <w:tab w:val="left" w:pos="6300"/>
        </w:tabs>
        <w:snapToGrid w:val="0"/>
        <w:rPr>
          <w:rFonts w:ascii="宋体" w:hAnsi="宋体" w:cs="宋体"/>
          <w:kern w:val="0"/>
          <w:sz w:val="21"/>
          <w:szCs w:val="21"/>
        </w:rPr>
      </w:pPr>
      <w:r>
        <w:rPr>
          <w:rFonts w:hint="eastAsia" w:ascii="宋体" w:hAnsi="宋体" w:cs="宋体"/>
          <w:kern w:val="0"/>
          <w:sz w:val="21"/>
          <w:szCs w:val="21"/>
        </w:rPr>
        <w:t>填写时应注意以下事项：</w:t>
      </w:r>
    </w:p>
    <w:p w14:paraId="569E180C">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1.从业人员、营业收入、资产总额填报上一年度数据，无上一年度数据的新成立企业可不填报。</w:t>
      </w:r>
    </w:p>
    <w:p w14:paraId="0A432FCE">
      <w:pPr>
        <w:tabs>
          <w:tab w:val="left" w:pos="6300"/>
        </w:tabs>
        <w:snapToGrid w:val="0"/>
        <w:ind w:firstLine="422" w:firstLineChars="200"/>
        <w:rPr>
          <w:rFonts w:ascii="宋体" w:hAnsi="宋体" w:cs="宋体"/>
          <w:b/>
          <w:kern w:val="0"/>
          <w:sz w:val="21"/>
          <w:szCs w:val="21"/>
        </w:rPr>
      </w:pPr>
      <w:r>
        <w:rPr>
          <w:rFonts w:hint="eastAsia" w:ascii="宋体" w:hAnsi="宋体" w:cs="宋体"/>
          <w:b/>
          <w:kern w:val="0"/>
          <w:sz w:val="21"/>
          <w:szCs w:val="21"/>
        </w:rPr>
        <w:t>2.中小企业应当按照《中小企业划型标准规定》（工信部联企业〔2011〕300号），如实填写并提交《中小企业声明函》。</w:t>
      </w:r>
    </w:p>
    <w:p w14:paraId="03D4F37E">
      <w:pPr>
        <w:tabs>
          <w:tab w:val="left" w:pos="6300"/>
        </w:tabs>
        <w:snapToGrid w:val="0"/>
        <w:ind w:firstLine="422" w:firstLineChars="200"/>
        <w:rPr>
          <w:rFonts w:ascii="宋体" w:hAnsi="宋体" w:cs="宋体"/>
          <w:b/>
          <w:kern w:val="0"/>
          <w:sz w:val="21"/>
          <w:szCs w:val="21"/>
        </w:rPr>
      </w:pPr>
      <w:r>
        <w:rPr>
          <w:rFonts w:hint="eastAsia" w:ascii="宋体" w:hAnsi="宋体" w:cs="宋体"/>
          <w:b/>
          <w:kern w:val="0"/>
          <w:sz w:val="21"/>
          <w:szCs w:val="21"/>
        </w:rPr>
        <w:t>3.供应商填写《中小企业声明函》中所属行业时，应与采购文件第一篇“采购标的对应的中小企业划分标准所属行业”中填写的所属行业一致。</w:t>
      </w:r>
    </w:p>
    <w:p w14:paraId="4F30630F">
      <w:pPr>
        <w:tabs>
          <w:tab w:val="left" w:pos="6300"/>
        </w:tabs>
        <w:snapToGrid w:val="0"/>
        <w:ind w:firstLine="422" w:firstLineChars="200"/>
        <w:rPr>
          <w:rFonts w:ascii="宋体" w:hAnsi="宋体" w:cs="宋体"/>
          <w:b/>
          <w:kern w:val="0"/>
          <w:sz w:val="21"/>
          <w:szCs w:val="21"/>
        </w:rPr>
      </w:pPr>
      <w:r>
        <w:rPr>
          <w:rFonts w:hint="eastAsia" w:ascii="宋体" w:hAnsi="宋体" w:cs="宋体"/>
          <w:b/>
          <w:kern w:val="0"/>
          <w:sz w:val="21"/>
          <w:szCs w:val="21"/>
        </w:rPr>
        <w:t>4.</w:t>
      </w:r>
      <w:r>
        <w:rPr>
          <w:rFonts w:hint="eastAsia" w:ascii="宋体" w:hAnsi="宋体" w:cs="宋体"/>
          <w:b/>
          <w:kern w:val="0"/>
          <w:sz w:val="21"/>
          <w:szCs w:val="21"/>
          <w:u w:val="single"/>
        </w:rPr>
        <w:t>本声明函“企业名称（盖章）”处为参加磋商的供应商盖章。</w:t>
      </w:r>
    </w:p>
    <w:p w14:paraId="3E7A50F3">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注：各行业划型标准：</w:t>
      </w:r>
    </w:p>
    <w:p w14:paraId="08FF3985">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（一）农、林、牧、渔业。营业收入20000万元以下的为中小微型企业。其中，营业收入500万元及以上的为中型企业，营业收入50万元及以上的为小型企业，营业收入50万元以下的为微型企业。</w:t>
      </w:r>
    </w:p>
    <w:p w14:paraId="0A716324">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8B6BDE">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C1CC938">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418D883">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2C5499C">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BEBE8BF">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0665ADD">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DD68780">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4FE1084">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FC1CC25">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7FA55F5">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F6F7011">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B4DBD2">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2514E65">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2D840D0">
      <w:pPr>
        <w:tabs>
          <w:tab w:val="left" w:pos="6300"/>
        </w:tabs>
        <w:snapToGrid w:val="0"/>
        <w:ind w:firstLine="420" w:firstLineChars="200"/>
        <w:rPr>
          <w:rFonts w:ascii="宋体" w:hAnsi="宋体" w:cs="宋体"/>
          <w:kern w:val="0"/>
          <w:sz w:val="21"/>
          <w:szCs w:val="21"/>
        </w:rPr>
      </w:pPr>
      <w:r>
        <w:rPr>
          <w:rFonts w:hint="eastAsia" w:ascii="宋体" w:hAnsi="宋体" w:cs="宋体"/>
          <w:kern w:val="0"/>
          <w:sz w:val="21"/>
          <w:szCs w:val="21"/>
        </w:rPr>
        <w:t>（十六）其他未列明行业。从业人员300人以下的为中小微型企业。其中，从业人员100人及以上的为中型企业；从业人员10人及以上的为小型企业；从业人员10人以下的为微型企业。</w:t>
      </w:r>
    </w:p>
    <w:p w14:paraId="65D4A98B">
      <w:pPr>
        <w:tabs>
          <w:tab w:val="left" w:pos="6300"/>
        </w:tabs>
        <w:snapToGrid w:val="0"/>
        <w:spacing w:line="500" w:lineRule="exact"/>
        <w:ind w:firstLine="480" w:firstLineChars="200"/>
        <w:jc w:val="center"/>
        <w:rPr>
          <w:rFonts w:ascii="宋体" w:hAnsi="宋体" w:cs="宋体"/>
        </w:rPr>
      </w:pPr>
      <w:r>
        <w:rPr>
          <w:rFonts w:hint="eastAsia" w:ascii="宋体" w:hAnsi="宋体" w:cs="宋体"/>
          <w:sz w:val="24"/>
          <w:szCs w:val="24"/>
        </w:rPr>
        <w:br w:type="page"/>
      </w:r>
      <w:r>
        <w:rPr>
          <w:rFonts w:hint="eastAsia" w:ascii="宋体" w:hAnsi="宋体" w:cs="宋体"/>
        </w:rPr>
        <w:t>监狱企业证明文件</w:t>
      </w:r>
    </w:p>
    <w:p w14:paraId="74A6E0DD">
      <w:pPr>
        <w:tabs>
          <w:tab w:val="left" w:pos="6300"/>
        </w:tabs>
        <w:snapToGrid w:val="0"/>
        <w:spacing w:line="400" w:lineRule="exact"/>
        <w:ind w:firstLine="480" w:firstLineChars="200"/>
        <w:rPr>
          <w:rFonts w:ascii="宋体" w:hAnsi="宋体" w:cs="宋体"/>
          <w:sz w:val="24"/>
        </w:rPr>
      </w:pPr>
      <w:r>
        <w:rPr>
          <w:rFonts w:hint="eastAsia" w:ascii="宋体" w:hAnsi="宋体" w:cs="宋体"/>
          <w:sz w:val="24"/>
        </w:rPr>
        <w:t>以省级以上监狱管理局、戒毒管理局（含新疆生产建设兵团）出具的属于监狱企业的证明文件为准。</w:t>
      </w:r>
    </w:p>
    <w:p w14:paraId="3043CD2A">
      <w:pPr>
        <w:tabs>
          <w:tab w:val="left" w:pos="6300"/>
        </w:tabs>
        <w:snapToGrid w:val="0"/>
        <w:spacing w:line="500" w:lineRule="exact"/>
        <w:ind w:firstLine="480" w:firstLineChars="200"/>
        <w:jc w:val="center"/>
        <w:rPr>
          <w:rFonts w:ascii="宋体" w:hAnsi="宋体" w:cs="宋体"/>
        </w:rPr>
      </w:pPr>
      <w:r>
        <w:rPr>
          <w:rFonts w:hint="eastAsia" w:ascii="宋体" w:hAnsi="宋体" w:cs="宋体"/>
          <w:sz w:val="24"/>
        </w:rPr>
        <w:br w:type="page"/>
      </w:r>
      <w:r>
        <w:rPr>
          <w:rFonts w:hint="eastAsia" w:ascii="宋体" w:hAnsi="宋体" w:cs="宋体"/>
        </w:rPr>
        <w:t>残疾人福利性单位声明函</w:t>
      </w:r>
    </w:p>
    <w:p w14:paraId="16BF7BA5">
      <w:pPr>
        <w:tabs>
          <w:tab w:val="left" w:pos="6300"/>
        </w:tabs>
        <w:snapToGrid w:val="0"/>
        <w:spacing w:line="500" w:lineRule="exact"/>
        <w:ind w:firstLine="480" w:firstLineChars="200"/>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244E1F7">
      <w:pPr>
        <w:tabs>
          <w:tab w:val="left" w:pos="6300"/>
        </w:tabs>
        <w:snapToGrid w:val="0"/>
        <w:spacing w:line="500" w:lineRule="exact"/>
        <w:ind w:firstLine="480" w:firstLineChars="200"/>
        <w:rPr>
          <w:rFonts w:ascii="宋体" w:hAnsi="宋体" w:cs="宋体"/>
          <w:sz w:val="24"/>
        </w:rPr>
      </w:pPr>
      <w:r>
        <w:rPr>
          <w:rFonts w:hint="eastAsia" w:ascii="宋体" w:hAnsi="宋体" w:cs="宋体"/>
          <w:sz w:val="24"/>
        </w:rPr>
        <w:t>本单位对上述声明的真实性负责。如有虚假，将依法承担相应责任。</w:t>
      </w:r>
    </w:p>
    <w:p w14:paraId="02F4CD2E">
      <w:pPr>
        <w:tabs>
          <w:tab w:val="left" w:pos="6300"/>
        </w:tabs>
        <w:snapToGrid w:val="0"/>
        <w:spacing w:line="500" w:lineRule="exact"/>
        <w:ind w:firstLine="480" w:firstLineChars="200"/>
        <w:rPr>
          <w:rFonts w:ascii="宋体" w:hAnsi="宋体" w:cs="宋体"/>
          <w:sz w:val="24"/>
        </w:rPr>
      </w:pPr>
    </w:p>
    <w:p w14:paraId="2E794A02">
      <w:pPr>
        <w:tabs>
          <w:tab w:val="left" w:pos="6300"/>
        </w:tabs>
        <w:snapToGrid w:val="0"/>
        <w:spacing w:line="500" w:lineRule="exact"/>
        <w:ind w:firstLine="480" w:firstLineChars="200"/>
        <w:rPr>
          <w:rFonts w:ascii="宋体" w:hAnsi="宋体" w:cs="宋体"/>
          <w:sz w:val="24"/>
        </w:rPr>
      </w:pPr>
    </w:p>
    <w:p w14:paraId="5F5386CC">
      <w:pPr>
        <w:tabs>
          <w:tab w:val="left" w:pos="6300"/>
        </w:tabs>
        <w:snapToGrid w:val="0"/>
        <w:spacing w:line="500" w:lineRule="exact"/>
        <w:ind w:firstLine="480" w:firstLineChars="200"/>
        <w:rPr>
          <w:rFonts w:ascii="宋体" w:hAnsi="宋体" w:cs="宋体"/>
          <w:sz w:val="24"/>
        </w:rPr>
      </w:pPr>
      <w:r>
        <w:rPr>
          <w:rFonts w:hint="eastAsia" w:ascii="宋体" w:hAnsi="宋体" w:cs="宋体"/>
          <w:sz w:val="24"/>
        </w:rPr>
        <w:t xml:space="preserve">                                                 供应商名称（盖章）：</w:t>
      </w:r>
    </w:p>
    <w:p w14:paraId="7FEDD33B">
      <w:pPr>
        <w:snapToGrid w:val="0"/>
        <w:spacing w:line="440" w:lineRule="exact"/>
        <w:ind w:firstLine="480" w:firstLineChars="200"/>
        <w:rPr>
          <w:rFonts w:ascii="宋体" w:hAnsi="宋体" w:cs="宋体"/>
          <w:sz w:val="24"/>
        </w:rPr>
      </w:pPr>
      <w:r>
        <w:rPr>
          <w:rFonts w:hint="eastAsia" w:ascii="宋体" w:hAnsi="宋体" w:cs="宋体"/>
          <w:sz w:val="24"/>
        </w:rPr>
        <w:t xml:space="preserve">                                                  日  期：</w:t>
      </w:r>
    </w:p>
    <w:p w14:paraId="5665EBD6">
      <w:pPr>
        <w:snapToGrid w:val="0"/>
        <w:spacing w:line="440" w:lineRule="exact"/>
        <w:ind w:firstLine="480" w:firstLineChars="200"/>
        <w:rPr>
          <w:rFonts w:ascii="宋体" w:hAnsi="宋体" w:cs="宋体"/>
          <w:sz w:val="24"/>
        </w:rPr>
      </w:pPr>
    </w:p>
    <w:p w14:paraId="032B7405">
      <w:pPr>
        <w:snapToGrid w:val="0"/>
        <w:spacing w:line="440" w:lineRule="exact"/>
        <w:ind w:firstLine="480" w:firstLineChars="200"/>
        <w:rPr>
          <w:rFonts w:ascii="宋体" w:hAnsi="宋体" w:cs="宋体"/>
          <w:sz w:val="24"/>
        </w:rPr>
      </w:pPr>
    </w:p>
    <w:p w14:paraId="6ACAF3D2">
      <w:pPr>
        <w:snapToGrid w:val="0"/>
        <w:spacing w:line="440" w:lineRule="exact"/>
        <w:ind w:firstLine="480" w:firstLineChars="200"/>
        <w:rPr>
          <w:rFonts w:ascii="宋体" w:hAnsi="宋体" w:cs="宋体"/>
          <w:sz w:val="24"/>
        </w:rPr>
      </w:pPr>
    </w:p>
    <w:p w14:paraId="39B6376B">
      <w:pPr>
        <w:snapToGrid w:val="0"/>
        <w:spacing w:line="440" w:lineRule="exact"/>
        <w:ind w:firstLine="480" w:firstLineChars="200"/>
        <w:rPr>
          <w:rFonts w:ascii="宋体" w:hAnsi="宋体" w:cs="宋体"/>
          <w:sz w:val="24"/>
        </w:rPr>
      </w:pPr>
    </w:p>
    <w:p w14:paraId="1C56C5E6">
      <w:pPr>
        <w:snapToGrid w:val="0"/>
        <w:spacing w:line="440" w:lineRule="exact"/>
        <w:ind w:firstLine="480" w:firstLineChars="200"/>
        <w:rPr>
          <w:rFonts w:ascii="宋体" w:hAnsi="宋体" w:cs="宋体"/>
          <w:sz w:val="24"/>
        </w:rPr>
      </w:pPr>
    </w:p>
    <w:p w14:paraId="0D00D74B">
      <w:pPr>
        <w:snapToGrid w:val="0"/>
        <w:spacing w:line="440" w:lineRule="exact"/>
        <w:ind w:firstLine="480" w:firstLineChars="200"/>
        <w:rPr>
          <w:rFonts w:ascii="宋体" w:hAnsi="宋体" w:cs="宋体"/>
          <w:sz w:val="24"/>
        </w:rPr>
      </w:pPr>
    </w:p>
    <w:p w14:paraId="27E9112C">
      <w:pPr>
        <w:snapToGrid w:val="0"/>
        <w:spacing w:line="440" w:lineRule="exact"/>
        <w:ind w:firstLine="480" w:firstLineChars="200"/>
        <w:rPr>
          <w:rFonts w:ascii="宋体" w:hAnsi="宋体" w:cs="宋体"/>
          <w:sz w:val="24"/>
        </w:rPr>
      </w:pPr>
    </w:p>
    <w:p w14:paraId="76AA7717">
      <w:pPr>
        <w:snapToGrid w:val="0"/>
        <w:spacing w:line="440" w:lineRule="exact"/>
        <w:ind w:firstLine="480" w:firstLineChars="200"/>
        <w:rPr>
          <w:rFonts w:ascii="宋体" w:hAnsi="宋体" w:cs="宋体"/>
          <w:sz w:val="24"/>
        </w:rPr>
      </w:pPr>
    </w:p>
    <w:p w14:paraId="55F85ECB">
      <w:pPr>
        <w:snapToGrid w:val="0"/>
        <w:spacing w:line="440" w:lineRule="exact"/>
        <w:ind w:firstLine="480" w:firstLineChars="200"/>
        <w:rPr>
          <w:rFonts w:ascii="宋体" w:hAnsi="宋体" w:cs="宋体"/>
          <w:sz w:val="24"/>
        </w:rPr>
      </w:pPr>
    </w:p>
    <w:p w14:paraId="4189C8AA">
      <w:pPr>
        <w:snapToGrid w:val="0"/>
        <w:spacing w:line="440" w:lineRule="exact"/>
        <w:ind w:firstLine="480" w:firstLineChars="200"/>
        <w:rPr>
          <w:rFonts w:ascii="宋体" w:hAnsi="宋体" w:cs="宋体"/>
          <w:sz w:val="24"/>
        </w:rPr>
      </w:pPr>
    </w:p>
    <w:p w14:paraId="2B25D5F8">
      <w:pPr>
        <w:snapToGrid w:val="0"/>
        <w:spacing w:line="440" w:lineRule="exact"/>
        <w:ind w:firstLine="480" w:firstLineChars="200"/>
        <w:rPr>
          <w:rFonts w:ascii="宋体" w:hAnsi="宋体" w:cs="宋体"/>
          <w:sz w:val="24"/>
        </w:rPr>
      </w:pPr>
    </w:p>
    <w:p w14:paraId="69D0E82A">
      <w:pPr>
        <w:snapToGrid w:val="0"/>
        <w:spacing w:line="440" w:lineRule="exact"/>
        <w:ind w:firstLine="480" w:firstLineChars="200"/>
        <w:rPr>
          <w:rFonts w:ascii="宋体" w:hAnsi="宋体" w:cs="宋体"/>
          <w:sz w:val="24"/>
        </w:rPr>
      </w:pPr>
    </w:p>
    <w:p w14:paraId="2800F1F6">
      <w:pPr>
        <w:snapToGrid w:val="0"/>
        <w:spacing w:line="440" w:lineRule="exact"/>
        <w:ind w:firstLine="480" w:firstLineChars="200"/>
        <w:rPr>
          <w:rFonts w:ascii="宋体" w:hAnsi="宋体" w:cs="宋体"/>
          <w:sz w:val="24"/>
        </w:rPr>
      </w:pPr>
      <w:r>
        <w:rPr>
          <w:rFonts w:hint="eastAsia" w:ascii="宋体" w:hAnsi="宋体" w:cs="宋体"/>
          <w:kern w:val="0"/>
          <w:sz w:val="24"/>
        </w:rPr>
        <w:t>若成交供应商为残疾人福利性单位的，将在结果公告时公告其《残疾人福利性单位声明函》。</w:t>
      </w:r>
    </w:p>
    <w:p w14:paraId="436FEC51">
      <w:pPr>
        <w:snapToGrid w:val="0"/>
        <w:spacing w:line="440" w:lineRule="exact"/>
        <w:ind w:firstLine="480" w:firstLineChars="200"/>
        <w:rPr>
          <w:rFonts w:ascii="宋体" w:hAnsi="宋体" w:cs="宋体"/>
          <w:sz w:val="24"/>
        </w:rPr>
      </w:pPr>
    </w:p>
    <w:p w14:paraId="3F1EB748">
      <w:pPr>
        <w:snapToGrid w:val="0"/>
        <w:spacing w:line="400" w:lineRule="exact"/>
        <w:ind w:firstLine="480" w:firstLineChars="200"/>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（二）其他与项目有关的资料</w:t>
      </w:r>
    </w:p>
    <w:p w14:paraId="3826F195">
      <w:pPr>
        <w:spacing w:line="400" w:lineRule="exact"/>
        <w:ind w:firstLine="480" w:firstLineChars="200"/>
        <w:rPr>
          <w:rFonts w:ascii="宋体" w:hAnsi="宋体" w:cs="宋体"/>
          <w:sz w:val="24"/>
          <w:szCs w:val="24"/>
        </w:rPr>
      </w:pPr>
      <w:r>
        <w:rPr>
          <w:rFonts w:hint="eastAsia" w:ascii="宋体" w:hAnsi="宋体" w:cs="宋体"/>
          <w:sz w:val="24"/>
          <w:szCs w:val="24"/>
        </w:rPr>
        <w:t>其他与项目有关的资料（自附）：供应商总体情况介绍、其他与本项目有关的资料等。</w:t>
      </w:r>
    </w:p>
    <w:p w14:paraId="4A0B186D">
      <w:pPr>
        <w:spacing w:line="360" w:lineRule="auto"/>
        <w:ind w:firstLine="480" w:firstLineChars="200"/>
        <w:rPr>
          <w:rFonts w:ascii="宋体" w:hAnsi="宋体" w:cs="宋体"/>
          <w:sz w:val="24"/>
          <w:szCs w:val="24"/>
        </w:rPr>
      </w:pPr>
    </w:p>
    <w:p w14:paraId="0AD6F75C">
      <w:pPr>
        <w:spacing w:line="360" w:lineRule="auto"/>
        <w:ind w:firstLine="480" w:firstLineChars="200"/>
        <w:jc w:val="center"/>
        <w:rPr>
          <w:rFonts w:ascii="宋体" w:hAnsi="宋体" w:cs="宋体"/>
          <w:sz w:val="24"/>
          <w:szCs w:val="24"/>
        </w:rPr>
      </w:pPr>
    </w:p>
    <w:p w14:paraId="5BBC050D">
      <w:pPr>
        <w:spacing w:line="360" w:lineRule="auto"/>
        <w:ind w:firstLine="480" w:firstLineChars="200"/>
        <w:jc w:val="center"/>
        <w:rPr>
          <w:rFonts w:ascii="宋体" w:hAnsi="宋体" w:cs="宋体"/>
          <w:sz w:val="24"/>
          <w:szCs w:val="24"/>
        </w:rPr>
      </w:pPr>
    </w:p>
    <w:p w14:paraId="18D9C7C0">
      <w:pPr>
        <w:spacing w:line="360" w:lineRule="auto"/>
        <w:ind w:firstLine="480" w:firstLineChars="200"/>
        <w:jc w:val="center"/>
        <w:rPr>
          <w:rFonts w:ascii="宋体" w:hAnsi="宋体" w:cs="宋体"/>
          <w:sz w:val="24"/>
          <w:szCs w:val="24"/>
        </w:rPr>
      </w:pPr>
    </w:p>
    <w:p w14:paraId="6079A856">
      <w:pPr>
        <w:spacing w:line="360" w:lineRule="auto"/>
        <w:ind w:firstLine="480" w:firstLineChars="200"/>
        <w:jc w:val="center"/>
        <w:rPr>
          <w:rFonts w:ascii="宋体" w:hAnsi="宋体" w:cs="宋体"/>
          <w:sz w:val="24"/>
          <w:szCs w:val="24"/>
        </w:rPr>
      </w:pPr>
    </w:p>
    <w:p w14:paraId="466F1DC0">
      <w:pPr>
        <w:spacing w:line="360" w:lineRule="auto"/>
        <w:ind w:firstLine="480" w:firstLineChars="200"/>
        <w:jc w:val="center"/>
        <w:rPr>
          <w:rFonts w:ascii="宋体" w:hAnsi="宋体" w:cs="宋体"/>
          <w:sz w:val="24"/>
          <w:szCs w:val="24"/>
        </w:rPr>
      </w:pPr>
    </w:p>
    <w:p w14:paraId="464DE0D6">
      <w:pPr>
        <w:spacing w:line="360" w:lineRule="auto"/>
        <w:ind w:firstLine="480" w:firstLineChars="200"/>
        <w:jc w:val="center"/>
        <w:rPr>
          <w:rFonts w:ascii="宋体" w:hAnsi="宋体" w:cs="宋体"/>
          <w:sz w:val="24"/>
          <w:szCs w:val="24"/>
        </w:rPr>
      </w:pPr>
    </w:p>
    <w:p w14:paraId="01F2CBB1">
      <w:pPr>
        <w:spacing w:line="360" w:lineRule="auto"/>
        <w:ind w:firstLine="480" w:firstLineChars="200"/>
        <w:jc w:val="center"/>
        <w:rPr>
          <w:rFonts w:ascii="宋体" w:hAnsi="宋体" w:cs="宋体"/>
          <w:sz w:val="24"/>
          <w:szCs w:val="24"/>
        </w:rPr>
      </w:pPr>
    </w:p>
    <w:p w14:paraId="20C646E6">
      <w:pPr>
        <w:spacing w:line="360" w:lineRule="auto"/>
        <w:ind w:firstLine="480" w:firstLineChars="200"/>
        <w:jc w:val="center"/>
        <w:rPr>
          <w:rFonts w:ascii="宋体" w:hAnsi="宋体" w:cs="宋体"/>
          <w:sz w:val="24"/>
          <w:szCs w:val="24"/>
        </w:rPr>
      </w:pPr>
    </w:p>
    <w:p w14:paraId="3419535C">
      <w:pPr>
        <w:spacing w:line="360" w:lineRule="auto"/>
        <w:ind w:firstLine="480" w:firstLineChars="200"/>
        <w:jc w:val="center"/>
        <w:rPr>
          <w:rFonts w:ascii="宋体" w:hAnsi="宋体" w:cs="宋体"/>
          <w:sz w:val="24"/>
          <w:szCs w:val="24"/>
        </w:rPr>
      </w:pPr>
    </w:p>
    <w:p w14:paraId="7FB4B5DD">
      <w:pPr>
        <w:spacing w:line="360" w:lineRule="auto"/>
        <w:ind w:firstLine="480" w:firstLineChars="200"/>
        <w:jc w:val="center"/>
        <w:rPr>
          <w:rFonts w:ascii="宋体" w:hAnsi="宋体" w:cs="宋体"/>
          <w:sz w:val="24"/>
          <w:szCs w:val="24"/>
        </w:rPr>
      </w:pPr>
    </w:p>
    <w:p w14:paraId="2044EA5D">
      <w:pPr>
        <w:spacing w:line="360" w:lineRule="auto"/>
        <w:ind w:firstLine="480" w:firstLineChars="200"/>
        <w:jc w:val="center"/>
        <w:rPr>
          <w:rFonts w:ascii="宋体" w:hAnsi="宋体" w:cs="宋体"/>
          <w:sz w:val="24"/>
          <w:szCs w:val="24"/>
        </w:rPr>
      </w:pPr>
    </w:p>
    <w:p w14:paraId="1C062A93">
      <w:pPr>
        <w:spacing w:line="360" w:lineRule="auto"/>
        <w:ind w:firstLine="480" w:firstLineChars="200"/>
        <w:jc w:val="center"/>
        <w:rPr>
          <w:rFonts w:ascii="宋体" w:hAnsi="宋体" w:cs="宋体"/>
          <w:sz w:val="24"/>
          <w:szCs w:val="24"/>
        </w:rPr>
      </w:pPr>
    </w:p>
    <w:p w14:paraId="03D7DE14">
      <w:pPr>
        <w:spacing w:line="360" w:lineRule="auto"/>
        <w:ind w:firstLine="480" w:firstLineChars="200"/>
        <w:jc w:val="center"/>
        <w:rPr>
          <w:rFonts w:ascii="宋体" w:hAnsi="宋体" w:cs="宋体"/>
          <w:sz w:val="24"/>
          <w:szCs w:val="24"/>
        </w:rPr>
      </w:pPr>
    </w:p>
    <w:p w14:paraId="5B98FDF7">
      <w:pPr>
        <w:spacing w:line="360" w:lineRule="auto"/>
        <w:ind w:firstLine="480" w:firstLineChars="200"/>
        <w:jc w:val="center"/>
        <w:rPr>
          <w:rFonts w:ascii="宋体" w:hAnsi="宋体" w:cs="宋体"/>
          <w:sz w:val="24"/>
          <w:szCs w:val="24"/>
        </w:rPr>
      </w:pPr>
    </w:p>
    <w:p w14:paraId="309A8B5B">
      <w:pPr>
        <w:spacing w:line="360" w:lineRule="auto"/>
        <w:ind w:firstLine="480" w:firstLineChars="200"/>
        <w:jc w:val="center"/>
        <w:rPr>
          <w:rFonts w:ascii="宋体" w:hAnsi="宋体" w:cs="宋体"/>
          <w:sz w:val="24"/>
          <w:szCs w:val="24"/>
        </w:rPr>
      </w:pPr>
    </w:p>
    <w:p w14:paraId="3E43C020">
      <w:pPr>
        <w:spacing w:line="360" w:lineRule="auto"/>
        <w:ind w:firstLine="480" w:firstLineChars="200"/>
        <w:jc w:val="center"/>
        <w:outlineLvl w:val="0"/>
        <w:rPr>
          <w:rFonts w:ascii="宋体" w:hAnsi="宋体" w:cs="宋体"/>
        </w:rPr>
      </w:pPr>
      <w:r>
        <w:rPr>
          <w:rFonts w:hint="eastAsia" w:ascii="宋体" w:hAnsi="宋体" w:cs="宋体"/>
          <w:sz w:val="24"/>
          <w:szCs w:val="24"/>
        </w:rPr>
        <w:t>（结束）</w:t>
      </w:r>
    </w:p>
    <w:p w14:paraId="5262FF50"/>
    <w:sectPr>
      <w:headerReference r:id="rId13"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仿宋_GB2312">
    <w:altName w:val="方正仿宋_GBK"/>
    <w:panose1 w:val="02010609030101010101"/>
    <w:charset w:val="86"/>
    <w:family w:val="modern"/>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等线">
    <w:altName w:val="华文仿宋"/>
    <w:panose1 w:val="02010600030101010101"/>
    <w:charset w:val="86"/>
    <w:family w:val="auto"/>
    <w:pitch w:val="default"/>
    <w:sig w:usb0="00000000" w:usb1="00000000" w:usb2="00000016" w:usb3="00000000" w:csb0="0004000F" w:csb1="00000000"/>
  </w:font>
  <w:font w:name="华文仿宋">
    <w:panose1 w:val="02010600040101010101"/>
    <w:charset w:val="86"/>
    <w:family w:val="auto"/>
    <w:pitch w:val="default"/>
    <w:sig w:usb0="00000287" w:usb1="080F0000" w:usb2="00000000" w:usb3="00000000" w:csb0="0004009F" w:csb1="DFD70000"/>
  </w:font>
  <w:font w:name="微软雅黑">
    <w:altName w:val="方正黑体_GBK"/>
    <w:panose1 w:val="00000000000000000000"/>
    <w:charset w:val="00"/>
    <w:family w:val="auto"/>
    <w:pitch w:val="default"/>
    <w:sig w:usb0="00000000" w:usb1="00000000" w:usb2="00000000" w:usb3="00000000" w:csb0="00000000" w:csb1="00000000"/>
  </w:font>
  <w:font w:name="Tahoma">
    <w:altName w:val="noto sans thai"/>
    <w:panose1 w:val="00000000000000000000"/>
    <w:charset w:val="00"/>
    <w:family w:val="auto"/>
    <w:pitch w:val="default"/>
    <w:sig w:usb0="00000000" w:usb1="00000000" w:usb2="00000000" w:usb3="00000000" w:csb0="00000000" w:csb1="00000000"/>
  </w:font>
  <w:font w:name="noto sans thai">
    <w:panose1 w:val="020B0502040504020204"/>
    <w:charset w:val="00"/>
    <w:family w:val="auto"/>
    <w:pitch w:val="default"/>
    <w:sig w:usb0="81000063" w:usb1="00002000" w:usb2="00000000" w:usb3="00000000" w:csb0="00010000"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CF2AB">
    <w:pPr>
      <w:pStyle w:val="9"/>
      <w:framePr w:wrap="around" w:vAnchor="text" w:hAnchor="margin" w:xAlign="center" w:y="1"/>
      <w:jc w:val="center"/>
      <w:rPr>
        <w:rStyle w:val="15"/>
        <w:rFonts w:ascii="宋体"/>
        <w:sz w:val="21"/>
        <w:szCs w:val="21"/>
      </w:rPr>
    </w:pPr>
    <w:r>
      <w:rPr>
        <w:rFonts w:ascii="宋体"/>
        <w:sz w:val="21"/>
        <w:szCs w:val="21"/>
      </w:rPr>
      <w:fldChar w:fldCharType="begin"/>
    </w:r>
    <w:r>
      <w:rPr>
        <w:rStyle w:val="15"/>
        <w:rFonts w:ascii="宋体"/>
        <w:sz w:val="21"/>
        <w:szCs w:val="21"/>
      </w:rPr>
      <w:instrText xml:space="preserve">PAGE  </w:instrText>
    </w:r>
    <w:r>
      <w:rPr>
        <w:rFonts w:ascii="宋体"/>
        <w:sz w:val="21"/>
        <w:szCs w:val="21"/>
      </w:rPr>
      <w:fldChar w:fldCharType="separate"/>
    </w:r>
    <w:r>
      <w:rPr>
        <w:rStyle w:val="15"/>
        <w:rFonts w:ascii="宋体"/>
        <w:sz w:val="21"/>
        <w:szCs w:val="21"/>
      </w:rPr>
      <w:t>- 5 -</w:t>
    </w:r>
    <w:r>
      <w:rPr>
        <w:rFonts w:ascii="宋体"/>
        <w:sz w:val="21"/>
        <w:szCs w:val="21"/>
      </w:rPr>
      <w:fldChar w:fldCharType="end"/>
    </w:r>
  </w:p>
  <w:p w14:paraId="0A2D3D0D">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7A429">
    <w:pPr>
      <w:pStyle w:val="9"/>
      <w:framePr w:wrap="around" w:vAnchor="text" w:hAnchor="margin" w:xAlign="center" w:y="1"/>
      <w:rPr>
        <w:rStyle w:val="15"/>
      </w:rPr>
    </w:pPr>
    <w:r>
      <w:fldChar w:fldCharType="begin"/>
    </w:r>
    <w:r>
      <w:rPr>
        <w:rStyle w:val="15"/>
      </w:rPr>
      <w:instrText xml:space="preserve">PAGE  </w:instrText>
    </w:r>
    <w:r>
      <w:fldChar w:fldCharType="end"/>
    </w:r>
  </w:p>
  <w:p w14:paraId="536C92A2">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D8AAF">
    <w:pPr>
      <w:pStyle w:val="9"/>
      <w:framePr w:wrap="around" w:vAnchor="text" w:hAnchor="margin" w:xAlign="center" w:y="1"/>
      <w:rPr>
        <w:rStyle w:val="15"/>
      </w:rPr>
    </w:pPr>
  </w:p>
  <w:p w14:paraId="15B9F513">
    <w:pPr>
      <w:pStyle w:val="9"/>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EFC28">
    <w:pPr>
      <w:pStyle w:val="9"/>
      <w:jc w:val="center"/>
      <w:rPr>
        <w:rFonts w:ascii="宋体" w:hAnsi="宋体"/>
        <w:sz w:val="21"/>
        <w:szCs w:val="21"/>
      </w:rPr>
    </w:pPr>
    <w:r>
      <w:rPr>
        <w:rFonts w:ascii="宋体" w:hAnsi="宋体"/>
        <w:sz w:val="21"/>
        <w:szCs w:val="21"/>
      </w:rPr>
      <w:fldChar w:fldCharType="begin"/>
    </w:r>
    <w:r>
      <w:rPr>
        <w:rStyle w:val="15"/>
        <w:rFonts w:ascii="宋体" w:hAnsi="宋体"/>
        <w:sz w:val="21"/>
        <w:szCs w:val="21"/>
      </w:rPr>
      <w:instrText xml:space="preserve"> PAGE </w:instrText>
    </w:r>
    <w:r>
      <w:rPr>
        <w:rFonts w:ascii="宋体" w:hAnsi="宋体"/>
        <w:sz w:val="21"/>
        <w:szCs w:val="21"/>
      </w:rPr>
      <w:fldChar w:fldCharType="separate"/>
    </w:r>
    <w:r>
      <w:rPr>
        <w:rStyle w:val="15"/>
        <w:rFonts w:ascii="宋体" w:hAnsi="宋体"/>
        <w:sz w:val="21"/>
        <w:szCs w:val="21"/>
      </w:rPr>
      <w:t>- 8 -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6CEB7">
    <w:pPr>
      <w:pStyle w:val="9"/>
      <w:framePr w:wrap="around" w:vAnchor="text" w:hAnchor="margin" w:xAlign="center" w:y="1"/>
      <w:rPr>
        <w:rStyle w:val="15"/>
      </w:rPr>
    </w:pPr>
    <w:r>
      <w:fldChar w:fldCharType="begin"/>
    </w:r>
    <w:r>
      <w:rPr>
        <w:rStyle w:val="15"/>
      </w:rPr>
      <w:instrText xml:space="preserve">PAGE  </w:instrText>
    </w:r>
    <w:r>
      <w:fldChar w:fldCharType="end"/>
    </w:r>
  </w:p>
  <w:p w14:paraId="355A2358">
    <w:pPr>
      <w:pStyle w:val="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E0D0E8">
    <w:pPr>
      <w:pStyle w:val="9"/>
      <w:jc w:val="center"/>
      <w:rPr>
        <w:rFonts w:ascii="宋体" w:hAnsi="宋体"/>
        <w:sz w:val="21"/>
        <w:szCs w:val="21"/>
      </w:rPr>
    </w:pPr>
    <w:r>
      <w:rPr>
        <w:rFonts w:ascii="宋体" w:hAnsi="宋体"/>
        <w:sz w:val="21"/>
        <w:szCs w:val="21"/>
      </w:rPr>
      <w:fldChar w:fldCharType="begin"/>
    </w:r>
    <w:r>
      <w:rPr>
        <w:rStyle w:val="15"/>
        <w:rFonts w:ascii="宋体" w:hAnsi="宋体"/>
        <w:sz w:val="21"/>
        <w:szCs w:val="21"/>
      </w:rPr>
      <w:instrText xml:space="preserve"> PAGE </w:instrText>
    </w:r>
    <w:r>
      <w:rPr>
        <w:rFonts w:ascii="宋体" w:hAnsi="宋体"/>
        <w:sz w:val="21"/>
        <w:szCs w:val="21"/>
      </w:rPr>
      <w:fldChar w:fldCharType="separate"/>
    </w:r>
    <w:r>
      <w:rPr>
        <w:rStyle w:val="15"/>
        <w:rFonts w:ascii="宋体" w:hAnsi="宋体"/>
        <w:sz w:val="21"/>
        <w:szCs w:val="21"/>
      </w:rPr>
      <w:t>- 13 -</w:t>
    </w:r>
    <w:r>
      <w:rPr>
        <w:rFonts w:ascii="宋体" w:hAnsi="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0E5625">
    <w:pPr>
      <w:pStyle w:val="10"/>
      <w:jc w:val="both"/>
      <w:rPr>
        <w:rFonts w:ascii="方正仿宋_GBK" w:eastAsia="方正仿宋_GBK"/>
        <w:sz w:val="21"/>
        <w:szCs w:val="21"/>
      </w:rPr>
    </w:pPr>
    <w:r>
      <w:rPr>
        <w:rFonts w:hint="eastAsia" w:ascii="方正仿宋_GBK" w:eastAsia="方正仿宋_GBK"/>
        <w:sz w:val="21"/>
        <w:szCs w:val="24"/>
      </w:rPr>
      <w:t xml:space="preserve">  重庆市政府采购中心</w:t>
    </w:r>
    <w:r>
      <w:rPr>
        <w:rFonts w:hint="eastAsia" w:ascii="方正仿宋_GBK" w:eastAsia="方正仿宋_GBK"/>
        <w:sz w:val="21"/>
        <w:szCs w:val="21"/>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B358F">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051A6">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B11C8">
    <w:pPr>
      <w:pStyle w:val="10"/>
      <w:jc w:val="both"/>
      <w:rPr>
        <w:rFonts w:ascii="方正仿宋_GBK" w:eastAsia="方正仿宋_GBK"/>
        <w:sz w:val="21"/>
        <w:szCs w:val="21"/>
      </w:rPr>
    </w:pPr>
    <w:r>
      <w:rPr>
        <w:rFonts w:hint="eastAsia" w:ascii="方正仿宋_GBK" w:eastAsia="方正仿宋_GBK"/>
        <w:sz w:val="21"/>
        <w:szCs w:val="21"/>
      </w:rPr>
      <w:t>重庆市政府采购中心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4F708">
    <w:pPr>
      <w:pStyle w:val="10"/>
      <w:jc w:val="both"/>
      <w:rPr>
        <w:rFonts w:ascii="方正仿宋_GBK" w:eastAsia="方正仿宋_GBK"/>
        <w:sz w:val="21"/>
        <w:szCs w:val="21"/>
      </w:rPr>
    </w:pPr>
    <w:r>
      <w:rPr>
        <w:rFonts w:hint="eastAsia" w:ascii="方正仿宋_GBK" w:eastAsia="方正仿宋_GBK"/>
        <w:sz w:val="21"/>
        <w:szCs w:val="21"/>
      </w:rPr>
      <w:t>重庆市政府采购中心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BD9F8A"/>
    <w:multiLevelType w:val="singleLevel"/>
    <w:tmpl w:val="CDBD9F8A"/>
    <w:lvl w:ilvl="0" w:tentative="0">
      <w:start w:val="1"/>
      <w:numFmt w:val="decimal"/>
      <w:lvlText w:val="%1."/>
      <w:lvlJc w:val="left"/>
      <w:pPr>
        <w:tabs>
          <w:tab w:val="left" w:pos="312"/>
        </w:tabs>
      </w:pPr>
    </w:lvl>
  </w:abstractNum>
  <w:abstractNum w:abstractNumId="1">
    <w:nsid w:val="F97A283F"/>
    <w:multiLevelType w:val="singleLevel"/>
    <w:tmpl w:val="F97A283F"/>
    <w:lvl w:ilvl="0" w:tentative="0">
      <w:start w:val="4"/>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xZThlYThjZTVkNTE5NWZmNzRlZjcxYWQ4YmI1OGYifQ=="/>
  </w:docVars>
  <w:rsids>
    <w:rsidRoot w:val="7B383928"/>
    <w:rsid w:val="001A0009"/>
    <w:rsid w:val="004976DB"/>
    <w:rsid w:val="007112EB"/>
    <w:rsid w:val="00790A2A"/>
    <w:rsid w:val="0081094B"/>
    <w:rsid w:val="008A76FF"/>
    <w:rsid w:val="009442F4"/>
    <w:rsid w:val="00C80CE1"/>
    <w:rsid w:val="00CE138B"/>
    <w:rsid w:val="00F14DB5"/>
    <w:rsid w:val="0F5C7A3F"/>
    <w:rsid w:val="13965805"/>
    <w:rsid w:val="16E84A28"/>
    <w:rsid w:val="18A16F02"/>
    <w:rsid w:val="1FFDD647"/>
    <w:rsid w:val="21863F04"/>
    <w:rsid w:val="2EA414CB"/>
    <w:rsid w:val="35EF9820"/>
    <w:rsid w:val="39903414"/>
    <w:rsid w:val="39F52ECF"/>
    <w:rsid w:val="3EF06527"/>
    <w:rsid w:val="3FFF1D6B"/>
    <w:rsid w:val="49C270BC"/>
    <w:rsid w:val="4DDF4313"/>
    <w:rsid w:val="50D34D65"/>
    <w:rsid w:val="562E7748"/>
    <w:rsid w:val="57FB5468"/>
    <w:rsid w:val="5D616E80"/>
    <w:rsid w:val="5EFF05FB"/>
    <w:rsid w:val="5FB39CB1"/>
    <w:rsid w:val="5FDF3C98"/>
    <w:rsid w:val="67F1C455"/>
    <w:rsid w:val="6BFFC888"/>
    <w:rsid w:val="6FBEDAAB"/>
    <w:rsid w:val="6FDC74A3"/>
    <w:rsid w:val="712D1D7B"/>
    <w:rsid w:val="71FD64F5"/>
    <w:rsid w:val="742D67D1"/>
    <w:rsid w:val="753FC1ED"/>
    <w:rsid w:val="777D8F12"/>
    <w:rsid w:val="7B383928"/>
    <w:rsid w:val="7BF6D29A"/>
    <w:rsid w:val="7D8B96AC"/>
    <w:rsid w:val="7DAC7B06"/>
    <w:rsid w:val="7DF40480"/>
    <w:rsid w:val="7E17FD59"/>
    <w:rsid w:val="7EF409AB"/>
    <w:rsid w:val="7F3FBEAA"/>
    <w:rsid w:val="7F63A83A"/>
    <w:rsid w:val="7FB13A5F"/>
    <w:rsid w:val="7FDF9CB6"/>
    <w:rsid w:val="9B7F7EFB"/>
    <w:rsid w:val="BBCD069D"/>
    <w:rsid w:val="BEEE8388"/>
    <w:rsid w:val="EFFD2833"/>
    <w:rsid w:val="F7FBCD8E"/>
    <w:rsid w:val="FDFCECF8"/>
    <w:rsid w:val="FFF397C5"/>
    <w:rsid w:val="FFFFD10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snapToGrid w:val="0"/>
      <w:spacing w:line="360" w:lineRule="atLeast"/>
      <w:jc w:val="center"/>
      <w:outlineLvl w:val="0"/>
    </w:pPr>
    <w:rPr>
      <w:rFonts w:ascii="宋体" w:hAnsi="宋体"/>
      <w:b/>
      <w:sz w:val="36"/>
    </w:rPr>
  </w:style>
  <w:style w:type="paragraph" w:styleId="3">
    <w:name w:val="heading 2"/>
    <w:basedOn w:val="1"/>
    <w:next w:val="1"/>
    <w:qFormat/>
    <w:uiPriority w:val="0"/>
    <w:pPr>
      <w:keepNext/>
      <w:keepLines/>
      <w:spacing w:line="413" w:lineRule="auto"/>
      <w:jc w:val="center"/>
      <w:outlineLvl w:val="1"/>
    </w:pPr>
    <w:rPr>
      <w:rFonts w:ascii="Arial" w:hAnsi="Arial" w:eastAsia="黑体"/>
      <w:b/>
      <w:sz w:val="32"/>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Plain Text"/>
    <w:basedOn w:val="1"/>
    <w:next w:val="6"/>
    <w:qFormat/>
    <w:uiPriority w:val="0"/>
    <w:rPr>
      <w:rFonts w:ascii="宋体" w:hAnsi="Courier New"/>
      <w:sz w:val="21"/>
    </w:rPr>
  </w:style>
  <w:style w:type="paragraph" w:customStyle="1" w:styleId="6">
    <w:name w:val="p0"/>
    <w:basedOn w:val="1"/>
    <w:qFormat/>
    <w:uiPriority w:val="99"/>
    <w:pPr>
      <w:widowControl/>
    </w:pPr>
    <w:rPr>
      <w:rFonts w:ascii="Calibri" w:hAnsi="Calibri"/>
      <w:kern w:val="0"/>
      <w:sz w:val="21"/>
      <w:szCs w:val="21"/>
      <w:lang w:val="zh-CN"/>
    </w:rPr>
  </w:style>
  <w:style w:type="paragraph" w:styleId="7">
    <w:name w:val="Date"/>
    <w:basedOn w:val="1"/>
    <w:next w:val="1"/>
    <w:qFormat/>
    <w:uiPriority w:val="0"/>
  </w:style>
  <w:style w:type="paragraph" w:styleId="8">
    <w:name w:val="Balloon Text"/>
    <w:basedOn w:val="1"/>
    <w:link w:val="21"/>
    <w:qFormat/>
    <w:uiPriority w:val="0"/>
    <w:rPr>
      <w:sz w:val="18"/>
      <w:szCs w:val="18"/>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rPr>
  </w:style>
  <w:style w:type="paragraph" w:styleId="11">
    <w:name w:val="toc 1"/>
    <w:basedOn w:val="1"/>
    <w:next w:val="1"/>
    <w:qFormat/>
    <w:uiPriority w:val="39"/>
    <w:pPr>
      <w:spacing w:line="360" w:lineRule="auto"/>
      <w:jc w:val="left"/>
    </w:pPr>
    <w:rPr>
      <w:b/>
      <w:kern w:val="0"/>
      <w:sz w:val="24"/>
    </w:rPr>
  </w:style>
  <w:style w:type="paragraph" w:styleId="12">
    <w:name w:val="toc 2"/>
    <w:basedOn w:val="1"/>
    <w:next w:val="1"/>
    <w:qFormat/>
    <w:uiPriority w:val="39"/>
    <w:pPr>
      <w:spacing w:line="360" w:lineRule="auto"/>
      <w:ind w:left="560" w:leftChars="200"/>
      <w:jc w:val="left"/>
    </w:pPr>
    <w:rPr>
      <w:sz w:val="24"/>
    </w:rPr>
  </w:style>
  <w:style w:type="character" w:styleId="15">
    <w:name w:val="page number"/>
    <w:qFormat/>
    <w:uiPriority w:val="0"/>
  </w:style>
  <w:style w:type="character" w:styleId="16">
    <w:name w:val="Hyperlink"/>
    <w:qFormat/>
    <w:uiPriority w:val="99"/>
    <w:rPr>
      <w:color w:val="333333"/>
      <w:u w:val="none"/>
    </w:rPr>
  </w:style>
  <w:style w:type="character" w:styleId="17">
    <w:name w:val="annotation reference"/>
    <w:basedOn w:val="14"/>
    <w:qFormat/>
    <w:uiPriority w:val="0"/>
    <w:rPr>
      <w:sz w:val="21"/>
      <w:szCs w:val="21"/>
    </w:rPr>
  </w:style>
  <w:style w:type="paragraph" w:customStyle="1" w:styleId="18">
    <w:name w:val="1"/>
    <w:basedOn w:val="1"/>
    <w:next w:val="5"/>
    <w:qFormat/>
    <w:uiPriority w:val="0"/>
    <w:rPr>
      <w:rFonts w:ascii="宋体" w:hAnsi="Courier New"/>
      <w:sz w:val="21"/>
    </w:rPr>
  </w:style>
  <w:style w:type="paragraph" w:customStyle="1" w:styleId="19">
    <w:name w:val="xl40"/>
    <w:basedOn w:val="1"/>
    <w:qFormat/>
    <w:uiPriority w:val="0"/>
    <w:pPr>
      <w:widowControl/>
      <w:pBdr>
        <w:left w:val="single" w:color="auto" w:sz="4" w:space="0"/>
        <w:right w:val="single" w:color="auto" w:sz="4" w:space="0"/>
      </w:pBdr>
      <w:spacing w:beforeAutospacing="1" w:afterAutospacing="1"/>
      <w:jc w:val="center"/>
    </w:pPr>
    <w:rPr>
      <w:rFonts w:ascii="宋体" w:hAnsi="宋体"/>
      <w:kern w:val="0"/>
      <w:sz w:val="24"/>
    </w:rPr>
  </w:style>
  <w:style w:type="paragraph" w:customStyle="1" w:styleId="20">
    <w:name w:val="Default"/>
    <w:basedOn w:val="5"/>
    <w:next w:val="1"/>
    <w:qFormat/>
    <w:uiPriority w:val="0"/>
    <w:pPr>
      <w:autoSpaceDE w:val="0"/>
      <w:autoSpaceDN w:val="0"/>
      <w:adjustRightInd w:val="0"/>
    </w:pPr>
    <w:rPr>
      <w:color w:val="000000"/>
      <w:sz w:val="24"/>
    </w:rPr>
  </w:style>
  <w:style w:type="character" w:customStyle="1" w:styleId="21">
    <w:name w:val="批注框文本 Char"/>
    <w:basedOn w:val="14"/>
    <w:link w:val="8"/>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47</Pages>
  <Words>28759</Words>
  <Characters>30521</Characters>
  <Lines>245</Lines>
  <Paragraphs>69</Paragraphs>
  <TotalTime>15</TotalTime>
  <ScaleCrop>false</ScaleCrop>
  <LinksUpToDate>false</LinksUpToDate>
  <CharactersWithSpaces>31401</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2026-09-26T09:12:00Z</dcterms:created>
  <dc:creator>如来如去</dc:creator>
  <cp:lastModifiedBy>绿色森林</cp:lastModifiedBy>
  <dcterms:modified xsi:type="dcterms:W3CDTF">2026-10-09T12:07:09Z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0A2590C0932449139DCBE043616E545E_13</vt:lpwstr>
  </property>
  <property fmtid="{D5CDD505-2E9C-101B-9397-08002B2CF9AE}" pid="4" name="KSOTemplateDocerSaveRecord">
    <vt:lpwstr>eyJoZGlkIjoiOTc3M2Y5NzIzMDFlZjAyY2Q4Njk5ODkyYjFjNzBiNTQiLCJ1c2VySWQiOiIzMDYyMTc3ODEifQ==</vt:lpwstr>
  </property>
</Properties>
</file>