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64D97A">
      <w:pPr>
        <w:pStyle w:val="4"/>
        <w:numPr>
          <w:ilvl w:val="0"/>
          <w:numId w:val="0"/>
        </w:numPr>
        <w:spacing w:before="120" w:after="120"/>
        <w:ind w:left="0" w:leftChars="0" w:firstLine="0" w:firstLineChars="0"/>
        <w:jc w:val="center"/>
        <w:rPr>
          <w:rFonts w:hint="eastAsia" w:ascii="仿宋" w:hAnsi="仿宋" w:eastAsia="仿宋" w:cs="仿宋"/>
          <w:color w:val="auto"/>
          <w:highlight w:val="none"/>
        </w:rPr>
      </w:pPr>
      <w:bookmarkStart w:id="0" w:name="_Toc14530"/>
      <w:bookmarkStart w:id="1" w:name="_Toc29636"/>
      <w:bookmarkStart w:id="2" w:name="_Toc7341"/>
      <w:bookmarkStart w:id="3" w:name="_Toc5955"/>
      <w:r>
        <w:rPr>
          <w:rFonts w:hint="eastAsia" w:ascii="仿宋" w:hAnsi="仿宋" w:eastAsia="仿宋" w:cs="仿宋"/>
          <w:color w:val="auto"/>
          <w:highlight w:val="none"/>
        </w:rPr>
        <w:t>招标项目技术、服务、政府采购合同内容条款及其他商务要求</w:t>
      </w:r>
      <w:bookmarkEnd w:id="0"/>
      <w:bookmarkEnd w:id="1"/>
      <w:bookmarkEnd w:id="2"/>
      <w:bookmarkEnd w:id="3"/>
    </w:p>
    <w:p w14:paraId="0EEB1497">
      <w:pPr>
        <w:pStyle w:val="6"/>
        <w:keepNext w:val="0"/>
        <w:keepLines w:val="0"/>
        <w:pageBreakBefore w:val="0"/>
        <w:widowControl w:val="0"/>
        <w:numPr>
          <w:ilvl w:val="1"/>
          <w:numId w:val="0"/>
        </w:numPr>
        <w:kinsoku/>
        <w:wordWrap w:val="0"/>
        <w:overflowPunct/>
        <w:topLinePunct/>
        <w:autoSpaceDE/>
        <w:autoSpaceDN/>
        <w:bidi w:val="0"/>
        <w:adjustRightInd w:val="0"/>
        <w:snapToGrid w:val="0"/>
        <w:spacing w:line="500" w:lineRule="exact"/>
        <w:ind w:left="0" w:leftChars="0" w:firstLine="482" w:firstLineChars="200"/>
        <w:jc w:val="both"/>
        <w:textAlignment w:val="auto"/>
        <w:rPr>
          <w:rFonts w:hint="eastAsia" w:ascii="仿宋" w:hAnsi="仿宋" w:eastAsia="仿宋" w:cs="仿宋"/>
          <w:color w:val="auto"/>
          <w:highlight w:val="none"/>
        </w:rPr>
      </w:pPr>
      <w:bookmarkStart w:id="4" w:name="_Toc21231"/>
      <w:bookmarkStart w:id="5" w:name="_Toc22653"/>
      <w:r>
        <w:rPr>
          <w:rFonts w:hint="eastAsia" w:ascii="仿宋" w:hAnsi="仿宋" w:eastAsia="仿宋" w:cs="仿宋"/>
          <w:b/>
          <w:color w:val="auto"/>
          <w:kern w:val="2"/>
          <w:sz w:val="24"/>
          <w:szCs w:val="24"/>
          <w:highlight w:val="none"/>
          <w:lang w:val="en-US" w:eastAsia="zh-CN" w:bidi="ar-SA"/>
        </w:rPr>
        <w:t>一、</w:t>
      </w:r>
      <w:r>
        <w:rPr>
          <w:rFonts w:hint="eastAsia" w:ascii="仿宋" w:hAnsi="仿宋" w:eastAsia="仿宋" w:cs="仿宋"/>
          <w:color w:val="auto"/>
          <w:highlight w:val="none"/>
        </w:rPr>
        <w:t>项目概况</w:t>
      </w:r>
      <w:bookmarkEnd w:id="4"/>
      <w:bookmarkEnd w:id="5"/>
    </w:p>
    <w:p w14:paraId="222C8B03">
      <w:pPr>
        <w:pStyle w:val="5"/>
        <w:keepNext w:val="0"/>
        <w:keepLines w:val="0"/>
        <w:pageBreakBefore w:val="0"/>
        <w:widowControl w:val="0"/>
        <w:kinsoku/>
        <w:wordWrap w:val="0"/>
        <w:overflowPunct/>
        <w:topLinePunct/>
        <w:autoSpaceDE/>
        <w:autoSpaceDN/>
        <w:bidi w:val="0"/>
        <w:adjustRightInd w:val="0"/>
        <w:snapToGrid w:val="0"/>
        <w:spacing w:line="500" w:lineRule="exact"/>
        <w:ind w:firstLine="480" w:firstLineChars="200"/>
        <w:jc w:val="both"/>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为进一步优化税收营商环境，更好地服务广大纳税人、缴费人，国家税务总局成都市金牛区税务局拟通过公开招标的方式采购服务单位，提供非执法类涉税辅助性服务，为纳税人缴费人办税缴费提速减负，提升税费服务质效。</w:t>
      </w:r>
      <w:bookmarkStart w:id="6" w:name="_Toc3877"/>
    </w:p>
    <w:p w14:paraId="5DA28940">
      <w:pPr>
        <w:pStyle w:val="5"/>
        <w:keepNext w:val="0"/>
        <w:keepLines w:val="0"/>
        <w:pageBreakBefore w:val="0"/>
        <w:widowControl w:val="0"/>
        <w:kinsoku/>
        <w:wordWrap w:val="0"/>
        <w:overflowPunct/>
        <w:topLinePunct/>
        <w:autoSpaceDE/>
        <w:autoSpaceDN/>
        <w:bidi w:val="0"/>
        <w:adjustRightInd w:val="0"/>
        <w:snapToGrid w:val="0"/>
        <w:spacing w:line="500" w:lineRule="exact"/>
        <w:ind w:firstLine="480" w:firstLineChars="200"/>
        <w:jc w:val="both"/>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服务体量估算：平均每日线上征纳互动辅助服务不少于800件、每日文印服务不少于300人次、每月配合开展税收宣传活动不少于1次。</w:t>
      </w:r>
    </w:p>
    <w:bookmarkEnd w:id="6"/>
    <w:p w14:paraId="7A917937">
      <w:pPr>
        <w:pStyle w:val="6"/>
        <w:keepNext w:val="0"/>
        <w:keepLines w:val="0"/>
        <w:pageBreakBefore w:val="0"/>
        <w:widowControl w:val="0"/>
        <w:numPr>
          <w:ilvl w:val="1"/>
          <w:numId w:val="0"/>
        </w:numPr>
        <w:kinsoku/>
        <w:wordWrap w:val="0"/>
        <w:overflowPunct/>
        <w:topLinePunct/>
        <w:autoSpaceDE/>
        <w:autoSpaceDN/>
        <w:bidi w:val="0"/>
        <w:adjustRightInd w:val="0"/>
        <w:snapToGrid w:val="0"/>
        <w:spacing w:line="500" w:lineRule="exact"/>
        <w:ind w:firstLine="482" w:firstLineChars="200"/>
        <w:jc w:val="both"/>
        <w:textAlignment w:val="auto"/>
        <w:rPr>
          <w:rFonts w:hint="eastAsia" w:ascii="仿宋" w:hAnsi="仿宋" w:eastAsia="仿宋" w:cs="仿宋"/>
          <w:color w:val="auto"/>
          <w:highlight w:val="none"/>
        </w:rPr>
      </w:pPr>
      <w:bookmarkStart w:id="7" w:name="_Toc771"/>
      <w:r>
        <w:rPr>
          <w:rFonts w:hint="eastAsia" w:ascii="仿宋" w:hAnsi="仿宋" w:eastAsia="仿宋" w:cs="仿宋"/>
          <w:b/>
          <w:color w:val="auto"/>
          <w:kern w:val="2"/>
          <w:sz w:val="24"/>
          <w:szCs w:val="24"/>
          <w:highlight w:val="none"/>
          <w:lang w:val="en-US" w:eastAsia="zh-CN" w:bidi="ar-SA"/>
        </w:rPr>
        <w:t>二、</w:t>
      </w:r>
      <w:r>
        <w:rPr>
          <w:rFonts w:hint="eastAsia" w:ascii="仿宋" w:hAnsi="仿宋" w:eastAsia="仿宋" w:cs="仿宋"/>
          <w:color w:val="auto"/>
          <w:highlight w:val="none"/>
        </w:rPr>
        <w:t>★服务内容及要求</w:t>
      </w:r>
      <w:bookmarkEnd w:id="7"/>
    </w:p>
    <w:p w14:paraId="52C134C2">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0" w:firstLineChars="200"/>
        <w:jc w:val="both"/>
        <w:textAlignment w:val="auto"/>
        <w:outlineLvl w:val="1"/>
        <w:rPr>
          <w:rFonts w:hint="default" w:ascii="仿宋" w:hAnsi="仿宋" w:eastAsia="仿宋" w:cs="仿宋"/>
          <w:b/>
          <w:bCs/>
          <w:color w:val="auto"/>
          <w:highlight w:val="none"/>
          <w:lang w:val="en-US" w:eastAsia="zh-CN"/>
        </w:rPr>
      </w:pPr>
      <w:bookmarkStart w:id="8" w:name="_Toc14392"/>
      <w:r>
        <w:rPr>
          <w:rFonts w:hint="eastAsia" w:ascii="仿宋" w:hAnsi="仿宋" w:eastAsia="仿宋" w:cs="仿宋"/>
          <w:color w:val="auto"/>
          <w:highlight w:val="none"/>
          <w:lang w:eastAsia="zh-CN"/>
        </w:rPr>
        <w:t>（</w:t>
      </w:r>
      <w:r>
        <w:rPr>
          <w:rFonts w:hint="eastAsia" w:ascii="仿宋" w:hAnsi="仿宋" w:eastAsia="仿宋" w:cs="仿宋"/>
          <w:b/>
          <w:bCs/>
          <w:color w:val="auto"/>
          <w:highlight w:val="none"/>
          <w:lang w:val="en-US" w:eastAsia="zh-CN"/>
        </w:rPr>
        <w:t>一）总体要求</w:t>
      </w:r>
    </w:p>
    <w:p w14:paraId="4D295724">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0" w:firstLineChars="200"/>
        <w:jc w:val="both"/>
        <w:textAlignment w:val="auto"/>
        <w:rPr>
          <w:rFonts w:hint="eastAsia" w:ascii="仿宋" w:hAnsi="仿宋" w:eastAsia="仿宋" w:cs="仿宋"/>
          <w:color w:val="auto"/>
          <w:highlight w:val="none"/>
          <w:lang w:val="en-US" w:eastAsia="zh-CN"/>
        </w:rPr>
      </w:pPr>
      <w:bookmarkStart w:id="9" w:name="_Toc14475"/>
      <w:bookmarkStart w:id="10" w:name="_Toc15653"/>
      <w:bookmarkStart w:id="11" w:name="_Toc8832"/>
      <w:bookmarkStart w:id="12" w:name="_Toc18064"/>
      <w:r>
        <w:rPr>
          <w:rFonts w:hint="eastAsia" w:ascii="仿宋" w:hAnsi="仿宋" w:eastAsia="仿宋" w:cs="仿宋"/>
          <w:color w:val="auto"/>
          <w:highlight w:val="none"/>
          <w:lang w:val="en-US" w:eastAsia="zh-CN"/>
        </w:rPr>
        <w:t>1.本项目服务内容包括征纳互动辅助服务、税收宣传辅助服务、文印服务及采购人交办的服务事项。主要包括依托线上征纳互动平台等，为纳税人缴费人提供“问中办”“远程办”“辅助办”“协同办”咨询辅助服务；通过纳税人学堂、线下办税服务厅、政策宣讲活动等载体，配合辅助开展公益性税收宣传、政策普及、纳税人缴费人辅导工作；协助完成办税服务厅或纳税人缴费人文印辅助服务，以及采购人根据工作需要的应急服务事项。</w:t>
      </w:r>
    </w:p>
    <w:p w14:paraId="3A85BB05">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0" w:firstLineChars="200"/>
        <w:jc w:val="both"/>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2.采购人对投标人完成工作的质量、数量进行确认、监督和检查，投标人负责完成相关服务需求的工作目标，以及服务人员配备、日常管理、工作制度、安全生产等。</w:t>
      </w:r>
      <w:bookmarkEnd w:id="9"/>
      <w:bookmarkEnd w:id="10"/>
      <w:bookmarkEnd w:id="11"/>
      <w:bookmarkEnd w:id="12"/>
    </w:p>
    <w:p w14:paraId="65D7C688">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0" w:firstLineChars="200"/>
        <w:jc w:val="both"/>
        <w:textAlignment w:val="auto"/>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3.如因国家政策、上级部门工作要求变化、财政预算资金缩减等原因导致采购需求发生重大变化，采购人可以削减需求、服务人员配置数或提前终止合同，投标人不得据此要求采购人承担任何违约责任。</w:t>
      </w:r>
    </w:p>
    <w:p w14:paraId="0202AA9F">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2" w:firstLineChars="200"/>
        <w:jc w:val="both"/>
        <w:textAlignment w:val="auto"/>
        <w:rPr>
          <w:rFonts w:hint="eastAsia" w:ascii="仿宋" w:hAnsi="仿宋" w:eastAsia="仿宋" w:cs="仿宋"/>
          <w:b/>
          <w:bCs/>
          <w:color w:val="auto"/>
          <w:highlight w:val="none"/>
          <w:lang w:val="en-US" w:eastAsia="zh-CN"/>
        </w:rPr>
      </w:pPr>
      <w:bookmarkStart w:id="13" w:name="_Toc4085"/>
      <w:bookmarkStart w:id="14" w:name="_Toc9999"/>
      <w:bookmarkStart w:id="15" w:name="_Toc2910"/>
      <w:bookmarkStart w:id="16" w:name="_Toc13423"/>
      <w:r>
        <w:rPr>
          <w:rFonts w:hint="eastAsia" w:ascii="仿宋" w:hAnsi="仿宋" w:eastAsia="仿宋" w:cs="仿宋"/>
          <w:b/>
          <w:bCs/>
          <w:color w:val="auto"/>
          <w:highlight w:val="none"/>
          <w:lang w:val="en-US" w:eastAsia="zh-CN"/>
        </w:rPr>
        <w:t>（二）具体要求</w:t>
      </w:r>
    </w:p>
    <w:bookmarkEnd w:id="13"/>
    <w:bookmarkEnd w:id="14"/>
    <w:bookmarkEnd w:id="15"/>
    <w:bookmarkEnd w:id="16"/>
    <w:p w14:paraId="1123E030">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0" w:firstLineChars="200"/>
        <w:jc w:val="both"/>
        <w:textAlignment w:val="auto"/>
        <w:rPr>
          <w:rFonts w:hint="eastAsia" w:ascii="仿宋" w:hAnsi="仿宋" w:eastAsia="仿宋" w:cs="仿宋"/>
          <w:color w:val="auto"/>
          <w:highlight w:val="none"/>
          <w:lang w:val="en-US" w:eastAsia="zh-CN"/>
        </w:rPr>
      </w:pPr>
      <w:bookmarkStart w:id="17" w:name="_Toc14014"/>
      <w:bookmarkStart w:id="18" w:name="_Toc6005"/>
      <w:bookmarkStart w:id="19" w:name="_Toc23080"/>
      <w:bookmarkStart w:id="20" w:name="_Toc15902"/>
      <w:r>
        <w:rPr>
          <w:rFonts w:hint="eastAsia" w:ascii="仿宋" w:hAnsi="仿宋" w:eastAsia="仿宋" w:cs="仿宋"/>
          <w:color w:val="auto"/>
          <w:highlight w:val="none"/>
          <w:lang w:val="en-US" w:eastAsia="zh-CN"/>
        </w:rPr>
        <w:t>1.解答纳税人缴费人提出的各种税费政策和办税流程问题，涉及税（费）种包括但不限于增值税、企业所得税、个人所得税、房产税、城镇土地使用税、耕地占用税、印花税、契税、土地增值税、车船税、车辆购置税、消费税、环境保护税、城市维护建设税、教育费附加、地方教育附加、文化事业建设费等税种及属于税务机关征管的非税收入和社会保险费等。</w:t>
      </w:r>
    </w:p>
    <w:p w14:paraId="53FAA6F0">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0" w:firstLineChars="200"/>
        <w:jc w:val="both"/>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解答纳税人缴费人提出的各种涉税（费）软件技术问题，包括但不限于自然人电子税务局（含APP端、扣缴端和WEB端）、增值税申报客户端、增值税发票管理新系统开票系统、全国增值税发票查验平台、增值税电子发票公共服务平台、增值税发票综合服务平台、微信公众号、发票助手软件和四川省电子税务局等涉税软件和网络平台的操作指引咨询。</w:t>
      </w:r>
    </w:p>
    <w:p w14:paraId="5395D931">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0" w:firstLineChars="200"/>
        <w:jc w:val="both"/>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税收政策宣传服务，包括但不限于宣传资料分发、海报更新，面向纳税人宣讲普惠性政策、申报期限、优惠办理渠道，配合开展线上线下小型宣讲、政策培训会会务辅助，纳税人学堂、宣传产品制作等相关工作。</w:t>
      </w:r>
    </w:p>
    <w:p w14:paraId="01431E05">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0" w:firstLineChars="200"/>
        <w:jc w:val="both"/>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4.文印服务，协助完成办税服务厅或纳税人缴费人文印辅助服务，包括但不限于证件、合同、申报表、完税凭证等纸质材料扫描以及便民打印复印服务。</w:t>
      </w:r>
    </w:p>
    <w:p w14:paraId="5E213F27">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0" w:firstLineChars="200"/>
        <w:jc w:val="both"/>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5.应急服务事项。承担高峰期、征期、专项政策落地阶段性临时性非执法类涉税辅助工作，服从统一调度、做好服务兜底，包括但不限于征期高峰纳税人缴费人引导分流、资料流转整理、基础台账归集等工作。</w:t>
      </w:r>
      <w:bookmarkEnd w:id="17"/>
      <w:bookmarkEnd w:id="18"/>
      <w:bookmarkEnd w:id="19"/>
      <w:bookmarkEnd w:id="20"/>
    </w:p>
    <w:p w14:paraId="76DFABDE">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2" w:firstLineChars="200"/>
        <w:jc w:val="both"/>
        <w:textAlignment w:val="auto"/>
        <w:rPr>
          <w:rFonts w:hint="eastAsia" w:ascii="仿宋" w:hAnsi="仿宋" w:eastAsia="仿宋" w:cs="仿宋"/>
          <w:b/>
          <w:bCs/>
          <w:color w:val="auto"/>
          <w:highlight w:val="none"/>
          <w:lang w:val="en-US" w:eastAsia="zh-CN"/>
        </w:rPr>
      </w:pPr>
      <w:bookmarkStart w:id="21" w:name="_Toc31912"/>
      <w:bookmarkStart w:id="22" w:name="_Toc16467"/>
      <w:bookmarkStart w:id="23" w:name="_Toc31594"/>
      <w:bookmarkStart w:id="24" w:name="_Toc430"/>
      <w:r>
        <w:rPr>
          <w:rFonts w:hint="eastAsia" w:ascii="仿宋" w:hAnsi="仿宋" w:eastAsia="仿宋" w:cs="仿宋"/>
          <w:b/>
          <w:bCs/>
          <w:color w:val="auto"/>
          <w:highlight w:val="none"/>
          <w:lang w:val="en-US" w:eastAsia="zh-CN"/>
        </w:rPr>
        <w:t>（三）服务要求</w:t>
      </w:r>
    </w:p>
    <w:bookmarkEnd w:id="21"/>
    <w:bookmarkEnd w:id="22"/>
    <w:bookmarkEnd w:id="23"/>
    <w:bookmarkEnd w:id="24"/>
    <w:p w14:paraId="1E59CD0C">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0" w:firstLineChars="200"/>
        <w:jc w:val="both"/>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中标人应遵守采购人制度，并制定对项目人员的各项工作纪律、廉洁纪律、保密规定等相关管理办法及考核奖惩制度（包括业务服务能力、服务态度、满意度），中标人制定的相关管理办法、考核奖惩制度应提前报采购人备案后实施。</w:t>
      </w:r>
    </w:p>
    <w:p w14:paraId="27BD1C34">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0" w:firstLineChars="200"/>
        <w:jc w:val="both"/>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2.中标人负责服务人员的培训、教育、管理、考核等工作，保证其具备完成工作任务的基本素质和能力。中标人应将培训方案报采购人备案，确保服务人员每人每月培训不少于2次（每次不少于1个小时）。</w:t>
      </w:r>
    </w:p>
    <w:p w14:paraId="3FEF4569">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0" w:firstLineChars="200"/>
        <w:jc w:val="both"/>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3.中标人应采取有力措施确保项目服务顺利运转，确保服务质效达标。</w:t>
      </w:r>
    </w:p>
    <w:p w14:paraId="62CC0A1F">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0" w:firstLineChars="200"/>
        <w:jc w:val="both"/>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4.中标人应依据计划对服务人员的工作情况进行监督、记录、考核和通报，对于特殊问题或即发问题要随时向采购人汇报。</w:t>
      </w:r>
    </w:p>
    <w:p w14:paraId="4D1F45A3">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0" w:firstLineChars="200"/>
        <w:jc w:val="both"/>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5.中标人需加强对服务人员的日常管理和考核。</w:t>
      </w:r>
    </w:p>
    <w:p w14:paraId="7A71C3AE">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0" w:firstLineChars="200"/>
        <w:jc w:val="both"/>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6.投入的服务人员须身体健康、无口吃、听力正常；品行端正、遵纪守法、服务态度良好，经培训后能通过采购人对应服务要求的考核。</w:t>
      </w:r>
    </w:p>
    <w:p w14:paraId="6E52ADE3">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0" w:firstLineChars="200"/>
        <w:jc w:val="both"/>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7.服务人员按要求着装规范，注意仪容仪表、公众形象。</w:t>
      </w:r>
    </w:p>
    <w:p w14:paraId="75246165">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0" w:firstLineChars="200"/>
        <w:jc w:val="both"/>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8.服务人员应当自觉遵守国家法律、法规和税务机关的规定，严格保守且不得违规使用或泄露在提供服务过程中所知悉或获取的各类信息。</w:t>
      </w:r>
    </w:p>
    <w:p w14:paraId="5F62F81D">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0" w:firstLineChars="200"/>
        <w:jc w:val="both"/>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9.服务人员应遵守采购人各项规章制度，服从管理和安排，不得对服务对象闹情绪、耍态度，不得与其他相关人员发生冲突。</w:t>
      </w:r>
    </w:p>
    <w:p w14:paraId="7CBA230A">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0" w:firstLineChars="200"/>
        <w:jc w:val="both"/>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10.服务人员应坚持原则，按规章制度办事，不得以提供服务之便谋取私利，不得以任何形式向服务对象吃、拿、卡、要，不得作出损害税务机关信誉和形象的言行。</w:t>
      </w:r>
    </w:p>
    <w:p w14:paraId="63EB89DF">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2" w:firstLineChars="200"/>
        <w:jc w:val="both"/>
        <w:textAlignment w:val="auto"/>
        <w:outlineLvl w:val="1"/>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（四）运行保障要求</w:t>
      </w:r>
    </w:p>
    <w:p w14:paraId="05F62048">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0" w:firstLineChars="200"/>
        <w:jc w:val="both"/>
        <w:textAlignment w:val="auto"/>
        <w:outlineLvl w:val="1"/>
        <w:rPr>
          <w:rFonts w:hint="eastAsia" w:ascii="仿宋" w:hAnsi="仿宋" w:eastAsia="仿宋" w:cs="仿宋"/>
          <w:b w:val="0"/>
          <w:bCs w:val="0"/>
          <w:color w:val="auto"/>
          <w:highlight w:val="none"/>
          <w:lang w:val="en-US" w:eastAsia="zh-CN"/>
        </w:rPr>
      </w:pPr>
      <w:bookmarkStart w:id="25" w:name="_Toc27650"/>
      <w:bookmarkStart w:id="26" w:name="_Toc8993"/>
      <w:bookmarkStart w:id="27" w:name="_Toc23375"/>
      <w:r>
        <w:rPr>
          <w:rFonts w:hint="eastAsia" w:ascii="仿宋" w:hAnsi="仿宋" w:eastAsia="仿宋" w:cs="仿宋"/>
          <w:b w:val="0"/>
          <w:bCs w:val="0"/>
          <w:color w:val="auto"/>
          <w:highlight w:val="none"/>
          <w:lang w:val="en-US" w:eastAsia="zh-CN"/>
        </w:rPr>
        <w:t>1.本项目服务期内，如因国家政策、上级单位或采购人工作部署发生变化，中标人应及时按照采购人要求调整相关管理措施，确保各项工作达到采购人规定标准。</w:t>
      </w:r>
    </w:p>
    <w:p w14:paraId="2D7064DC">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0" w:firstLineChars="200"/>
        <w:jc w:val="both"/>
        <w:textAlignment w:val="auto"/>
        <w:outlineLvl w:val="1"/>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2.中标人应与采购人做好运行衔接、业务衔接、制度衔接、技术衔接，确保各类服务正常开展。</w:t>
      </w:r>
    </w:p>
    <w:p w14:paraId="037DDF7D">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0" w:firstLineChars="200"/>
        <w:jc w:val="both"/>
        <w:textAlignment w:val="auto"/>
        <w:outlineLvl w:val="1"/>
        <w:rPr>
          <w:rFonts w:hint="eastAsia" w:ascii="仿宋" w:hAnsi="仿宋" w:eastAsia="仿宋" w:cs="仿宋"/>
          <w:b/>
          <w:bCs/>
          <w:color w:val="auto"/>
          <w:highlight w:val="none"/>
          <w:lang w:val="en-US" w:eastAsia="zh-CN"/>
        </w:rPr>
      </w:pPr>
      <w:r>
        <w:rPr>
          <w:rFonts w:hint="eastAsia" w:ascii="仿宋" w:hAnsi="仿宋" w:eastAsia="仿宋" w:cs="仿宋"/>
          <w:b w:val="0"/>
          <w:bCs w:val="0"/>
          <w:color w:val="auto"/>
          <w:highlight w:val="none"/>
          <w:lang w:val="en-US" w:eastAsia="zh-CN"/>
        </w:rPr>
        <w:t>3.采购人对中标人在人员聘用、业务培训、绩效考核、服务质量等事项方面拥有监督和指导权利。</w:t>
      </w:r>
      <w:bookmarkEnd w:id="25"/>
      <w:bookmarkEnd w:id="26"/>
      <w:bookmarkEnd w:id="27"/>
    </w:p>
    <w:p w14:paraId="2856BE5E">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2" w:firstLineChars="200"/>
        <w:jc w:val="both"/>
        <w:textAlignment w:val="auto"/>
        <w:outlineLvl w:val="1"/>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三、</w:t>
      </w:r>
      <w:r>
        <w:rPr>
          <w:rFonts w:hint="eastAsia" w:ascii="仿宋" w:hAnsi="仿宋" w:eastAsia="仿宋" w:cs="仿宋"/>
          <w:color w:val="auto"/>
          <w:highlight w:val="none"/>
        </w:rPr>
        <w:t>★</w:t>
      </w:r>
      <w:r>
        <w:rPr>
          <w:rFonts w:hint="eastAsia" w:ascii="仿宋" w:hAnsi="仿宋" w:eastAsia="仿宋" w:cs="仿宋"/>
          <w:b/>
          <w:bCs/>
          <w:color w:val="auto"/>
          <w:highlight w:val="none"/>
          <w:lang w:val="en-US" w:eastAsia="zh-CN"/>
        </w:rPr>
        <w:t>人员要求</w:t>
      </w:r>
    </w:p>
    <w:p w14:paraId="0F1EA92E">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2" w:firstLineChars="200"/>
        <w:jc w:val="both"/>
        <w:textAlignment w:val="auto"/>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（一）人员数量</w:t>
      </w:r>
    </w:p>
    <w:p w14:paraId="140A31E5">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0" w:firstLineChars="200"/>
        <w:jc w:val="both"/>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应当根据采购人要求投入具备对应服务事项工作能力的服务人员，到采购人指定地点提供相关服务，根据服务工作量等因素测算，配备不少于30名服务人员（不包含项目负责人）。人员调配及各岗位人数根据采购人需求调整，当服务人员数量需求减少时，采购人将提前一个月通知中标人。服务人员的招聘与管理、业务实施与操作由中标人负责。本项目所有人员（不包含培训师资）为本项目专职使用，不得与其他业务共用。</w:t>
      </w:r>
    </w:p>
    <w:p w14:paraId="13A48ED9">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0" w:firstLineChars="200"/>
        <w:jc w:val="both"/>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2.如发生人员流失、离职等变动情况，中标人应及时报告，并立即补充服务人员。补充人员上岗前，中标人应对其进行不少于2个月的业务培训，并保证补充人员能通过岗位考核和工作的顺利交接。</w:t>
      </w:r>
    </w:p>
    <w:p w14:paraId="372FEDD3">
      <w:pPr>
        <w:pStyle w:val="7"/>
        <w:keepNext w:val="0"/>
        <w:keepLines w:val="0"/>
        <w:pageBreakBefore w:val="0"/>
        <w:numPr>
          <w:ilvl w:val="5"/>
          <w:numId w:val="0"/>
        </w:numPr>
        <w:tabs>
          <w:tab w:val="left" w:pos="1564"/>
        </w:tabs>
        <w:kinsoku/>
        <w:bidi w:val="0"/>
        <w:adjustRightInd w:val="0"/>
        <w:snapToGrid w:val="0"/>
        <w:spacing w:line="500" w:lineRule="exact"/>
        <w:ind w:firstLine="482" w:firstLineChars="200"/>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（二）人员素质要求</w:t>
      </w:r>
    </w:p>
    <w:p w14:paraId="67D31AD3">
      <w:pPr>
        <w:pStyle w:val="7"/>
        <w:keepNext w:val="0"/>
        <w:keepLines w:val="0"/>
        <w:pageBreakBefore w:val="0"/>
        <w:numPr>
          <w:ilvl w:val="5"/>
          <w:numId w:val="0"/>
        </w:numPr>
        <w:tabs>
          <w:tab w:val="left" w:pos="1564"/>
        </w:tabs>
        <w:kinsoku/>
        <w:bidi w:val="0"/>
        <w:adjustRightInd w:val="0"/>
        <w:snapToGrid w:val="0"/>
        <w:spacing w:line="500" w:lineRule="exact"/>
        <w:ind w:firstLine="480" w:firstLineChars="200"/>
        <w:rPr>
          <w:rFonts w:hint="eastAsia" w:ascii="仿宋" w:hAnsi="仿宋" w:eastAsia="仿宋" w:cs="仿宋"/>
          <w:color w:val="auto"/>
          <w:highlight w:val="none"/>
          <w:lang w:val="en-US" w:eastAsia="zh-CN"/>
        </w:rPr>
      </w:pPr>
      <w:bookmarkStart w:id="28" w:name="_Toc2143"/>
      <w:r>
        <w:rPr>
          <w:rFonts w:hint="eastAsia" w:ascii="仿宋" w:hAnsi="仿宋" w:eastAsia="仿宋" w:cs="仿宋"/>
          <w:color w:val="auto"/>
          <w:highlight w:val="none"/>
          <w:lang w:val="en-US" w:eastAsia="zh-CN"/>
        </w:rPr>
        <w:t>1.征纳互动辅助服务人员：思想素质好，能使用标准普通话进行沟通，有综合工作能力和结果运用能力，有沟通协同、情绪调节能力和风险识别及处理能力；能熟练运用电脑办公软件（至少包含WORD、EXCEL）。</w:t>
      </w:r>
    </w:p>
    <w:p w14:paraId="4A1E189A">
      <w:pPr>
        <w:pStyle w:val="7"/>
        <w:keepNext w:val="0"/>
        <w:keepLines w:val="0"/>
        <w:pageBreakBefore w:val="0"/>
        <w:numPr>
          <w:ilvl w:val="5"/>
          <w:numId w:val="0"/>
        </w:numPr>
        <w:tabs>
          <w:tab w:val="left" w:pos="1564"/>
        </w:tabs>
        <w:kinsoku/>
        <w:bidi w:val="0"/>
        <w:adjustRightInd w:val="0"/>
        <w:snapToGrid w:val="0"/>
        <w:spacing w:line="500" w:lineRule="exact"/>
        <w:ind w:firstLine="480"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培训宣传服务人员：思想素质好，能使用标准普通话进行沟通，有综合工作能力和结果运用能力，有沟通协同、情绪调节能力和风险识别及处理能力，熟悉基本税收业务；熟练掌握文件排版和会议文件编印工作；熟练掌握新闻摄影、摄像及视频素材剪辑技术；熟练使用视频处理软件；熟练掌握图库系统维护更新；熟悉无纸化会议系统的调试、维护以及视频会议系统远程联调；熟练操作局域网通讯软件、办公软件（至少包含WORD、EXCEL）。</w:t>
      </w:r>
    </w:p>
    <w:p w14:paraId="66C01913">
      <w:pPr>
        <w:pStyle w:val="7"/>
        <w:keepNext w:val="0"/>
        <w:keepLines w:val="0"/>
        <w:pageBreakBefore w:val="0"/>
        <w:numPr>
          <w:ilvl w:val="5"/>
          <w:numId w:val="0"/>
        </w:numPr>
        <w:tabs>
          <w:tab w:val="left" w:pos="1564"/>
        </w:tabs>
        <w:kinsoku/>
        <w:bidi w:val="0"/>
        <w:adjustRightInd w:val="0"/>
        <w:snapToGrid w:val="0"/>
        <w:spacing w:line="500" w:lineRule="exact"/>
        <w:ind w:firstLine="480"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3.文印辅助服务人员：思想素质好，工作认真细致，具有一定文字水平；能熟练操作复印件、打印机、扫描仪、一体式切割机、传真机，可排除上述设备的简单机器故障。</w:t>
      </w:r>
    </w:p>
    <w:p w14:paraId="2D5F82F8">
      <w:pPr>
        <w:pStyle w:val="7"/>
        <w:keepNext w:val="0"/>
        <w:keepLines w:val="0"/>
        <w:pageBreakBefore w:val="0"/>
        <w:numPr>
          <w:ilvl w:val="5"/>
          <w:numId w:val="0"/>
        </w:numPr>
        <w:tabs>
          <w:tab w:val="left" w:pos="1564"/>
        </w:tabs>
        <w:kinsoku/>
        <w:bidi w:val="0"/>
        <w:adjustRightInd w:val="0"/>
        <w:snapToGrid w:val="0"/>
        <w:spacing w:line="500" w:lineRule="exact"/>
        <w:ind w:firstLine="480" w:firstLineChars="200"/>
        <w:rPr>
          <w:rFonts w:hint="eastAsia" w:ascii="仿宋" w:hAnsi="仿宋" w:eastAsia="仿宋" w:cs="仿宋"/>
          <w:b/>
          <w:bCs/>
          <w:color w:val="auto"/>
          <w:highlight w:val="none"/>
          <w:lang w:val="en-US" w:eastAsia="zh-CN"/>
        </w:rPr>
      </w:pPr>
      <w:r>
        <w:rPr>
          <w:rFonts w:hint="eastAsia" w:ascii="仿宋" w:hAnsi="仿宋" w:eastAsia="仿宋" w:cs="仿宋"/>
          <w:color w:val="auto"/>
          <w:highlight w:val="none"/>
          <w:lang w:val="en-US" w:eastAsia="zh-CN"/>
        </w:rPr>
        <w:t>4.培训师资：投入本项目的培训师资，须具有税务师（或注册税务师）职业资格证书，或具有会计专业技术中级及以上资格证书。</w:t>
      </w:r>
      <w:r>
        <w:rPr>
          <w:rFonts w:hint="eastAsia" w:ascii="仿宋" w:hAnsi="仿宋" w:eastAsia="仿宋" w:cs="仿宋"/>
          <w:b/>
          <w:bCs/>
          <w:color w:val="auto"/>
          <w:highlight w:val="none"/>
          <w:lang w:val="en-US" w:eastAsia="zh-CN"/>
        </w:rPr>
        <w:t>（须提供承诺函，格式自拟；中标后培训前由采购人现场核查。）</w:t>
      </w:r>
    </w:p>
    <w:bookmarkEnd w:id="28"/>
    <w:p w14:paraId="2623670E">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2" w:firstLineChars="200"/>
        <w:textAlignment w:val="auto"/>
        <w:outlineLvl w:val="1"/>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四、</w:t>
      </w:r>
      <w:r>
        <w:rPr>
          <w:rFonts w:hint="eastAsia" w:ascii="仿宋" w:hAnsi="仿宋" w:eastAsia="仿宋" w:cs="仿宋"/>
          <w:color w:val="auto"/>
          <w:highlight w:val="none"/>
        </w:rPr>
        <w:t>★</w:t>
      </w:r>
      <w:r>
        <w:rPr>
          <w:rFonts w:hint="eastAsia" w:ascii="仿宋" w:hAnsi="仿宋" w:eastAsia="仿宋" w:cs="仿宋"/>
          <w:b/>
          <w:bCs/>
          <w:color w:val="auto"/>
          <w:highlight w:val="none"/>
          <w:lang w:val="en-US" w:eastAsia="zh-CN"/>
        </w:rPr>
        <w:t>管理实施要求</w:t>
      </w:r>
    </w:p>
    <w:p w14:paraId="77E22AB7">
      <w:pPr>
        <w:pStyle w:val="7"/>
        <w:keepNext w:val="0"/>
        <w:keepLines w:val="0"/>
        <w:pageBreakBefore w:val="0"/>
        <w:numPr>
          <w:ilvl w:val="5"/>
          <w:numId w:val="0"/>
        </w:numPr>
        <w:tabs>
          <w:tab w:val="left" w:pos="1564"/>
        </w:tabs>
        <w:kinsoku/>
        <w:bidi w:val="0"/>
        <w:adjustRightInd w:val="0"/>
        <w:snapToGrid w:val="0"/>
        <w:spacing w:line="500" w:lineRule="exact"/>
        <w:ind w:firstLine="482" w:firstLineChars="200"/>
        <w:rPr>
          <w:rFonts w:hint="eastAsia" w:ascii="仿宋" w:hAnsi="仿宋" w:eastAsia="仿宋" w:cs="仿宋"/>
          <w:b w:val="0"/>
          <w:bCs w:val="0"/>
          <w:color w:val="auto"/>
          <w:highlight w:val="none"/>
          <w:lang w:val="en-US" w:eastAsia="zh-CN"/>
        </w:rPr>
      </w:pPr>
      <w:r>
        <w:rPr>
          <w:rFonts w:hint="eastAsia" w:ascii="仿宋" w:hAnsi="仿宋" w:eastAsia="仿宋" w:cs="仿宋"/>
          <w:b/>
          <w:bCs/>
          <w:color w:val="auto"/>
          <w:highlight w:val="none"/>
          <w:lang w:val="en-US" w:eastAsia="zh-CN"/>
        </w:rPr>
        <w:t>（一）管理要求</w:t>
      </w:r>
    </w:p>
    <w:p w14:paraId="38E776C5">
      <w:pPr>
        <w:pStyle w:val="7"/>
        <w:keepNext w:val="0"/>
        <w:keepLines w:val="0"/>
        <w:pageBreakBefore w:val="0"/>
        <w:numPr>
          <w:ilvl w:val="5"/>
          <w:numId w:val="0"/>
        </w:numPr>
        <w:tabs>
          <w:tab w:val="left" w:pos="1564"/>
        </w:tabs>
        <w:kinsoku/>
        <w:bidi w:val="0"/>
        <w:adjustRightInd w:val="0"/>
        <w:snapToGrid w:val="0"/>
        <w:spacing w:line="500" w:lineRule="exact"/>
        <w:ind w:firstLine="480" w:firstLineChars="200"/>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1.</w:t>
      </w:r>
      <w:bookmarkStart w:id="29" w:name="_Toc6484"/>
      <w:bookmarkStart w:id="30" w:name="_Toc23021"/>
      <w:bookmarkStart w:id="31" w:name="_Toc15200"/>
      <w:bookmarkStart w:id="32" w:name="_Toc1671"/>
      <w:bookmarkStart w:id="33" w:name="_Toc31974"/>
      <w:bookmarkStart w:id="34" w:name="_Toc19669"/>
      <w:bookmarkStart w:id="35" w:name="_Toc15837"/>
      <w:bookmarkStart w:id="36" w:name="_Toc5035"/>
      <w:r>
        <w:rPr>
          <w:rFonts w:hint="eastAsia" w:ascii="仿宋" w:hAnsi="仿宋" w:eastAsia="仿宋" w:cs="仿宋"/>
          <w:b w:val="0"/>
          <w:bCs w:val="0"/>
          <w:color w:val="auto"/>
          <w:highlight w:val="none"/>
          <w:lang w:val="en-US" w:eastAsia="zh-CN"/>
        </w:rPr>
        <w:t>中标人须依据《中华人民共和国民法典》及相关法律法规的规定，对提供服务人员在采购人指定地点提供相关服务的事宜与采购人签订政府采购合同。</w:t>
      </w:r>
    </w:p>
    <w:p w14:paraId="1DFCE04D">
      <w:pPr>
        <w:pStyle w:val="7"/>
        <w:keepNext w:val="0"/>
        <w:keepLines w:val="0"/>
        <w:pageBreakBefore w:val="0"/>
        <w:numPr>
          <w:ilvl w:val="5"/>
          <w:numId w:val="0"/>
        </w:numPr>
        <w:tabs>
          <w:tab w:val="left" w:pos="1564"/>
        </w:tabs>
        <w:kinsoku/>
        <w:bidi w:val="0"/>
        <w:adjustRightInd w:val="0"/>
        <w:snapToGrid w:val="0"/>
        <w:spacing w:line="500" w:lineRule="exact"/>
        <w:ind w:firstLine="480" w:firstLineChars="200"/>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中标人须依据《中华人民共和国劳动法》《中华人民共和国劳动合同法》及相关法律法规的规定与投入本项目的服务人员签订《劳动合同》，并履行对劳动者的法定义务，不得将这些义务转嫁或变相转嫁于采购人。</w:t>
      </w:r>
    </w:p>
    <w:p w14:paraId="31B7F119">
      <w:pPr>
        <w:pStyle w:val="7"/>
        <w:keepNext w:val="0"/>
        <w:keepLines w:val="0"/>
        <w:pageBreakBefore w:val="0"/>
        <w:numPr>
          <w:ilvl w:val="5"/>
          <w:numId w:val="0"/>
        </w:numPr>
        <w:tabs>
          <w:tab w:val="left" w:pos="1564"/>
        </w:tabs>
        <w:kinsoku/>
        <w:bidi w:val="0"/>
        <w:adjustRightInd w:val="0"/>
        <w:snapToGrid w:val="0"/>
        <w:spacing w:line="500" w:lineRule="exact"/>
        <w:ind w:firstLine="480" w:firstLineChars="200"/>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3.中标人应提供所配置服务人员入职及每年度二甲及以上医院体检证明，所需费用包含在合同总价中，采购人不再另行支付费用。</w:t>
      </w:r>
    </w:p>
    <w:p w14:paraId="78472BAD">
      <w:pPr>
        <w:pStyle w:val="7"/>
        <w:keepNext w:val="0"/>
        <w:keepLines w:val="0"/>
        <w:pageBreakBefore w:val="0"/>
        <w:numPr>
          <w:ilvl w:val="5"/>
          <w:numId w:val="0"/>
        </w:numPr>
        <w:tabs>
          <w:tab w:val="left" w:pos="1564"/>
        </w:tabs>
        <w:kinsoku/>
        <w:bidi w:val="0"/>
        <w:adjustRightInd w:val="0"/>
        <w:snapToGrid w:val="0"/>
        <w:spacing w:line="500" w:lineRule="exact"/>
        <w:ind w:firstLine="480" w:firstLineChars="200"/>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4.服务人员根据工作所在地的政府服务中心及采购人安排，周末及节假日提供服务产生的费用包含在合同总价中，采购人不再另行支付费用。</w:t>
      </w:r>
    </w:p>
    <w:p w14:paraId="294D158F">
      <w:pPr>
        <w:pStyle w:val="7"/>
        <w:keepNext w:val="0"/>
        <w:keepLines w:val="0"/>
        <w:pageBreakBefore w:val="0"/>
        <w:numPr>
          <w:ilvl w:val="5"/>
          <w:numId w:val="0"/>
        </w:numPr>
        <w:tabs>
          <w:tab w:val="left" w:pos="1564"/>
        </w:tabs>
        <w:kinsoku/>
        <w:bidi w:val="0"/>
        <w:adjustRightInd w:val="0"/>
        <w:snapToGrid w:val="0"/>
        <w:spacing w:line="500" w:lineRule="exact"/>
        <w:ind w:firstLine="480" w:firstLineChars="200"/>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5.若服务人员与中标人发生劳动纠纷的（含工伤事故），所产生的所有法律责任由中标人承担，由此造成采购人损失或社会公信力遭受影响的，概由中标人承担赔偿责任及消除影响的责任。</w:t>
      </w:r>
    </w:p>
    <w:p w14:paraId="3F3F5780">
      <w:pPr>
        <w:pStyle w:val="7"/>
        <w:keepNext w:val="0"/>
        <w:keepLines w:val="0"/>
        <w:pageBreakBefore w:val="0"/>
        <w:numPr>
          <w:ilvl w:val="5"/>
          <w:numId w:val="0"/>
        </w:numPr>
        <w:tabs>
          <w:tab w:val="left" w:pos="1564"/>
        </w:tabs>
        <w:kinsoku/>
        <w:bidi w:val="0"/>
        <w:adjustRightInd w:val="0"/>
        <w:snapToGrid w:val="0"/>
        <w:spacing w:line="500" w:lineRule="exact"/>
        <w:ind w:firstLine="480" w:firstLineChars="200"/>
        <w:rPr>
          <w:rFonts w:hint="eastAsia" w:ascii="仿宋" w:hAnsi="仿宋" w:eastAsia="仿宋" w:cs="仿宋"/>
          <w:b w:val="0"/>
          <w:bCs w:val="0"/>
          <w:color w:val="auto"/>
          <w:highlight w:val="none"/>
          <w:lang w:val="en-US" w:eastAsia="zh-CN"/>
        </w:rPr>
      </w:pPr>
      <w:bookmarkStart w:id="37" w:name="_Toc20552"/>
      <w:bookmarkStart w:id="38" w:name="_Toc22400"/>
      <w:bookmarkStart w:id="39" w:name="_Toc30151"/>
      <w:bookmarkStart w:id="40" w:name="_Toc5761"/>
      <w:bookmarkStart w:id="41" w:name="_Toc22267"/>
      <w:r>
        <w:rPr>
          <w:rFonts w:hint="eastAsia" w:ascii="仿宋" w:hAnsi="仿宋" w:eastAsia="仿宋" w:cs="仿宋"/>
          <w:b w:val="0"/>
          <w:bCs w:val="0"/>
          <w:color w:val="auto"/>
          <w:highlight w:val="none"/>
          <w:lang w:val="en-US" w:eastAsia="zh-CN"/>
        </w:rPr>
        <w:t>6.中标人对投入使用的服务人员要严格审查，不得随意更换已投入服务的人员。如因服务人员履职不合格或其他原因，需要更换服务人员的，中标人应在一周内更换到位（不含培训和考核时间），所更换的人员应满足采购需求，人员更换不能影响工作正常开展。</w:t>
      </w:r>
      <w:bookmarkEnd w:id="37"/>
      <w:bookmarkEnd w:id="38"/>
      <w:bookmarkEnd w:id="39"/>
      <w:bookmarkEnd w:id="40"/>
      <w:bookmarkEnd w:id="41"/>
    </w:p>
    <w:p w14:paraId="387321A0">
      <w:pPr>
        <w:pStyle w:val="7"/>
        <w:keepNext w:val="0"/>
        <w:keepLines w:val="0"/>
        <w:pageBreakBefore w:val="0"/>
        <w:numPr>
          <w:ilvl w:val="5"/>
          <w:numId w:val="0"/>
        </w:numPr>
        <w:tabs>
          <w:tab w:val="left" w:pos="1564"/>
        </w:tabs>
        <w:kinsoku/>
        <w:bidi w:val="0"/>
        <w:adjustRightInd w:val="0"/>
        <w:snapToGrid w:val="0"/>
        <w:spacing w:line="500" w:lineRule="exact"/>
        <w:ind w:firstLine="480" w:firstLineChars="200"/>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7.中标人需安排双方合同约定的服务人员数量到采购人指定的场所提供服务工作，服务人员若因故请休假、无法胜任或其他原因调离造成人员缺失的，中标人需5个工作日内另行安排符合条件的服务人员。</w:t>
      </w:r>
    </w:p>
    <w:p w14:paraId="771FCB7A">
      <w:pPr>
        <w:pStyle w:val="7"/>
        <w:keepNext w:val="0"/>
        <w:keepLines w:val="0"/>
        <w:pageBreakBefore w:val="0"/>
        <w:numPr>
          <w:ilvl w:val="5"/>
          <w:numId w:val="0"/>
        </w:numPr>
        <w:tabs>
          <w:tab w:val="left" w:pos="1564"/>
        </w:tabs>
        <w:kinsoku/>
        <w:bidi w:val="0"/>
        <w:adjustRightInd w:val="0"/>
        <w:snapToGrid w:val="0"/>
        <w:spacing w:line="500" w:lineRule="exact"/>
        <w:ind w:firstLine="480" w:firstLineChars="200"/>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8.服务时间及休假时间根据国家有关规定和实际工作需要具体安排。</w:t>
      </w:r>
    </w:p>
    <w:p w14:paraId="27CAA02B">
      <w:pPr>
        <w:pStyle w:val="7"/>
        <w:keepNext w:val="0"/>
        <w:keepLines w:val="0"/>
        <w:pageBreakBefore w:val="0"/>
        <w:numPr>
          <w:ilvl w:val="5"/>
          <w:numId w:val="0"/>
        </w:numPr>
        <w:tabs>
          <w:tab w:val="left" w:pos="1564"/>
        </w:tabs>
        <w:kinsoku/>
        <w:bidi w:val="0"/>
        <w:adjustRightInd w:val="0"/>
        <w:snapToGrid w:val="0"/>
        <w:spacing w:line="500" w:lineRule="exact"/>
        <w:ind w:firstLine="480" w:firstLineChars="200"/>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9.中标人应贯彻落实采购人相关各类制度办法、文件要求。应按照采购人岗位职责要求，确定岗位人员并按照岗位职责开展工作。</w:t>
      </w:r>
    </w:p>
    <w:bookmarkEnd w:id="29"/>
    <w:bookmarkEnd w:id="30"/>
    <w:bookmarkEnd w:id="31"/>
    <w:bookmarkEnd w:id="32"/>
    <w:bookmarkEnd w:id="33"/>
    <w:bookmarkEnd w:id="34"/>
    <w:bookmarkEnd w:id="35"/>
    <w:bookmarkEnd w:id="36"/>
    <w:p w14:paraId="14A8348F">
      <w:pPr>
        <w:pStyle w:val="7"/>
        <w:keepNext w:val="0"/>
        <w:keepLines w:val="0"/>
        <w:pageBreakBefore w:val="0"/>
        <w:numPr>
          <w:ilvl w:val="5"/>
          <w:numId w:val="0"/>
        </w:numPr>
        <w:tabs>
          <w:tab w:val="left" w:pos="1564"/>
        </w:tabs>
        <w:kinsoku/>
        <w:bidi w:val="0"/>
        <w:adjustRightInd w:val="0"/>
        <w:snapToGrid w:val="0"/>
        <w:spacing w:line="500" w:lineRule="exact"/>
        <w:ind w:firstLine="482" w:firstLineChars="200"/>
        <w:rPr>
          <w:rFonts w:hint="eastAsia" w:ascii="仿宋" w:hAnsi="仿宋" w:eastAsia="仿宋" w:cs="仿宋"/>
          <w:b w:val="0"/>
          <w:bCs w:val="0"/>
          <w:color w:val="auto"/>
          <w:highlight w:val="none"/>
          <w:lang w:val="en-US" w:eastAsia="zh-CN"/>
        </w:rPr>
      </w:pPr>
      <w:r>
        <w:rPr>
          <w:rFonts w:hint="eastAsia" w:ascii="仿宋" w:hAnsi="仿宋" w:eastAsia="仿宋" w:cs="仿宋"/>
          <w:b/>
          <w:bCs/>
          <w:color w:val="auto"/>
          <w:highlight w:val="none"/>
          <w:lang w:val="en-US" w:eastAsia="zh-CN"/>
        </w:rPr>
        <w:t>（二）培训和人员考核要求</w:t>
      </w:r>
    </w:p>
    <w:p w14:paraId="6EED9D59">
      <w:pPr>
        <w:pStyle w:val="7"/>
        <w:keepNext w:val="0"/>
        <w:keepLines w:val="0"/>
        <w:pageBreakBefore w:val="0"/>
        <w:numPr>
          <w:ilvl w:val="5"/>
          <w:numId w:val="0"/>
        </w:numPr>
        <w:tabs>
          <w:tab w:val="left" w:pos="1564"/>
        </w:tabs>
        <w:kinsoku/>
        <w:bidi w:val="0"/>
        <w:adjustRightInd w:val="0"/>
        <w:snapToGrid w:val="0"/>
        <w:spacing w:line="500" w:lineRule="exact"/>
        <w:ind w:firstLine="480" w:firstLineChars="200"/>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1.服务内容培训</w:t>
      </w:r>
    </w:p>
    <w:p w14:paraId="09EB5BBD">
      <w:pPr>
        <w:pStyle w:val="7"/>
        <w:keepNext w:val="0"/>
        <w:keepLines w:val="0"/>
        <w:pageBreakBefore w:val="0"/>
        <w:numPr>
          <w:ilvl w:val="5"/>
          <w:numId w:val="0"/>
        </w:numPr>
        <w:tabs>
          <w:tab w:val="left" w:pos="1564"/>
        </w:tabs>
        <w:kinsoku/>
        <w:bidi w:val="0"/>
        <w:adjustRightInd w:val="0"/>
        <w:snapToGrid w:val="0"/>
        <w:spacing w:line="500" w:lineRule="exact"/>
        <w:ind w:firstLine="480" w:firstLineChars="200"/>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为了确保服务质量，人员服务之前，中标人应按照采购人要求组织人员进行培训，综合运用岗前集中封闭培训以及日常“晨会夕会”与“线上+线下”业务提升相结合的多元化方式培训，并对工作中发现的问题及时处理，不断创新服务举措和提升服务水平。人员培训的费用由中标人自行承担。</w:t>
      </w:r>
    </w:p>
    <w:p w14:paraId="5343056B">
      <w:pPr>
        <w:pStyle w:val="7"/>
        <w:keepNext w:val="0"/>
        <w:keepLines w:val="0"/>
        <w:pageBreakBefore w:val="0"/>
        <w:numPr>
          <w:ilvl w:val="5"/>
          <w:numId w:val="0"/>
        </w:numPr>
        <w:tabs>
          <w:tab w:val="left" w:pos="1564"/>
        </w:tabs>
        <w:kinsoku/>
        <w:bidi w:val="0"/>
        <w:adjustRightInd w:val="0"/>
        <w:snapToGrid w:val="0"/>
        <w:spacing w:line="500" w:lineRule="exact"/>
        <w:ind w:firstLine="480" w:firstLineChars="200"/>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2.人员考核</w:t>
      </w:r>
    </w:p>
    <w:p w14:paraId="3593C5E3">
      <w:pPr>
        <w:pStyle w:val="7"/>
        <w:keepNext w:val="0"/>
        <w:keepLines w:val="0"/>
        <w:pageBreakBefore w:val="0"/>
        <w:numPr>
          <w:ilvl w:val="5"/>
          <w:numId w:val="0"/>
        </w:numPr>
        <w:tabs>
          <w:tab w:val="left" w:pos="1564"/>
        </w:tabs>
        <w:kinsoku/>
        <w:bidi w:val="0"/>
        <w:adjustRightInd w:val="0"/>
        <w:snapToGrid w:val="0"/>
        <w:spacing w:line="500" w:lineRule="exact"/>
        <w:ind w:firstLine="480" w:firstLineChars="200"/>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采购人将对所有已完成培训的服务人员，针对其所服务的内容进行专项技术考核和服务考核，经考核合格后方可从事服务活动；同时，在项目执行过程中，采购人有权不定期组织专项技术考核和服务考核工作，针对考核不达标的服务人员，中标人应当开展专项培训工作，对其进行重新培训。经两次考核仍然不达标的服务人员视为不具备相关专业技术能力，中标人应当进行更换。</w:t>
      </w:r>
    </w:p>
    <w:p w14:paraId="7C687DD9">
      <w:pPr>
        <w:pStyle w:val="7"/>
        <w:keepNext w:val="0"/>
        <w:keepLines w:val="0"/>
        <w:pageBreakBefore w:val="0"/>
        <w:numPr>
          <w:ilvl w:val="5"/>
          <w:numId w:val="0"/>
        </w:numPr>
        <w:tabs>
          <w:tab w:val="left" w:pos="1564"/>
        </w:tabs>
        <w:kinsoku/>
        <w:bidi w:val="0"/>
        <w:adjustRightInd w:val="0"/>
        <w:snapToGrid w:val="0"/>
        <w:spacing w:line="500" w:lineRule="exact"/>
        <w:ind w:firstLine="480" w:firstLineChars="200"/>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3.培训时间要求</w:t>
      </w:r>
    </w:p>
    <w:p w14:paraId="2CF8A9B3">
      <w:pPr>
        <w:pStyle w:val="7"/>
        <w:keepNext w:val="0"/>
        <w:keepLines w:val="0"/>
        <w:pageBreakBefore w:val="0"/>
        <w:numPr>
          <w:ilvl w:val="5"/>
          <w:numId w:val="0"/>
        </w:numPr>
        <w:tabs>
          <w:tab w:val="left" w:pos="1564"/>
        </w:tabs>
        <w:kinsoku/>
        <w:bidi w:val="0"/>
        <w:adjustRightInd w:val="0"/>
        <w:snapToGrid w:val="0"/>
        <w:spacing w:line="500" w:lineRule="exact"/>
        <w:ind w:firstLine="480" w:firstLineChars="200"/>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为保障相关服务工作按时开展，中标人应当在签订政府采购合同后5个工作日内开展培训工作，并在30个工作日内完成全部培训工作。针对首次考核不合格的服务人员，中标人应当在5个工作日内完成专项培训工作并进行复考。为保障采购人工作按时开展，中标人投入的服务人员经培训后，专项技术考核和服务考核通过率不足60%的，视为中标人提供的服务无法实现合同目的，采购人有权解除采购合同并追回已向中标人支付的合同价款，同时追究中标人相关违约责任，若由此造成采购人损失的，由中标人负责进行赔偿。考核时间由采购人在中标人培训工作完成后统一组织。</w:t>
      </w:r>
    </w:p>
    <w:p w14:paraId="470A9835">
      <w:pPr>
        <w:pStyle w:val="7"/>
        <w:keepNext w:val="0"/>
        <w:keepLines w:val="0"/>
        <w:pageBreakBefore w:val="0"/>
        <w:numPr>
          <w:ilvl w:val="5"/>
          <w:numId w:val="0"/>
        </w:numPr>
        <w:tabs>
          <w:tab w:val="left" w:pos="1564"/>
        </w:tabs>
        <w:kinsoku/>
        <w:bidi w:val="0"/>
        <w:adjustRightInd w:val="0"/>
        <w:snapToGrid w:val="0"/>
        <w:spacing w:line="500" w:lineRule="exact"/>
        <w:ind w:firstLine="482" w:firstLineChars="200"/>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（三）考核方式</w:t>
      </w:r>
    </w:p>
    <w:p w14:paraId="1FAAE862">
      <w:pPr>
        <w:pStyle w:val="7"/>
        <w:keepNext w:val="0"/>
        <w:keepLines w:val="0"/>
        <w:pageBreakBefore w:val="0"/>
        <w:numPr>
          <w:ilvl w:val="5"/>
          <w:numId w:val="0"/>
        </w:numPr>
        <w:tabs>
          <w:tab w:val="left" w:pos="1564"/>
        </w:tabs>
        <w:kinsoku/>
        <w:bidi w:val="0"/>
        <w:adjustRightInd w:val="0"/>
        <w:snapToGrid w:val="0"/>
        <w:spacing w:line="500" w:lineRule="exact"/>
        <w:ind w:firstLine="480" w:firstLineChars="200"/>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服务考核采用按月考核方式执行，采购人相关部门在次月对中标人当月服务情况进行考核（结合日常监督情况），考核为百分制。考核得分≥85分，全额支付当月服务费用；84分≥考核得分≥80分，支付当月服务费用的95%；79分≥考核得分≥70分，支付当月服务费用的90%；69分≥考核得分≥60分的，支付当月服务费用的85%并自行整改；考核得分＜60分，按当月应付合同价款的80%结算，并暂停合同价款的支付，同时进入合同履行待定观察期，中标人应当成立专项整改小组，针对相关扣分项进行分析，在1月内总结出整改措施交采购人审查；采购人在此期间安排专人严格监督并记录中标人的整改情况，若中标人在此期间不予配合或经整改后次月考核成绩仍然＜60分或全年累计3个月＜60分，视为中标人根本违约，采购人有权单方面终止合同，拒绝支付自合同履行待定观察期以来的全部合同价款，同时根据中标人给采购人所造成的包括检查扣分、上级部门通报批评、舆情风险等情况追究中标人违约责任，中标人应当向采购人支付全部合同总价款20%的违约金。</w:t>
      </w:r>
    </w:p>
    <w:p w14:paraId="37955157">
      <w:pPr>
        <w:pStyle w:val="7"/>
        <w:keepNext w:val="0"/>
        <w:keepLines w:val="0"/>
        <w:pageBreakBefore w:val="0"/>
        <w:numPr>
          <w:ilvl w:val="5"/>
          <w:numId w:val="0"/>
        </w:numPr>
        <w:tabs>
          <w:tab w:val="left" w:pos="1564"/>
        </w:tabs>
        <w:kinsoku/>
        <w:bidi w:val="0"/>
        <w:adjustRightInd w:val="0"/>
        <w:snapToGrid w:val="0"/>
        <w:spacing w:line="500" w:lineRule="exact"/>
        <w:ind w:firstLine="560" w:firstLineChars="200"/>
        <w:jc w:val="center"/>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sz w:val="28"/>
          <w:szCs w:val="28"/>
          <w:highlight w:val="none"/>
          <w:lang w:val="en-US" w:eastAsia="zh-CN"/>
        </w:rPr>
        <w:t>《考核评分表》</w:t>
      </w:r>
    </w:p>
    <w:tbl>
      <w:tblPr>
        <w:tblStyle w:val="2"/>
        <w:tblW w:w="9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43"/>
        <w:gridCol w:w="6076"/>
        <w:gridCol w:w="881"/>
        <w:gridCol w:w="1190"/>
        <w:gridCol w:w="812"/>
      </w:tblGrid>
      <w:tr w14:paraId="0942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98" w:hRule="atLeast"/>
          <w:tblHeader/>
          <w:jc w:val="center"/>
        </w:trPr>
        <w:tc>
          <w:tcPr>
            <w:tcW w:w="743" w:type="dxa"/>
            <w:tcMar>
              <w:left w:w="108" w:type="dxa"/>
              <w:right w:w="108" w:type="dxa"/>
            </w:tcMar>
            <w:vAlign w:val="center"/>
          </w:tcPr>
          <w:p w14:paraId="44BFEA28">
            <w:pPr>
              <w:wordWrap w:val="0"/>
              <w:spacing w:line="360" w:lineRule="auto"/>
              <w:rPr>
                <w:rFonts w:hint="eastAsia" w:ascii="仿宋" w:hAnsi="仿宋" w:eastAsia="仿宋" w:cs="仿宋"/>
                <w:b/>
                <w:bCs/>
                <w:color w:val="auto"/>
                <w:szCs w:val="24"/>
                <w:highlight w:val="none"/>
                <w:lang w:bidi="lo-LA"/>
              </w:rPr>
            </w:pPr>
            <w:r>
              <w:rPr>
                <w:rFonts w:hint="eastAsia" w:ascii="仿宋" w:hAnsi="仿宋" w:eastAsia="仿宋" w:cs="仿宋"/>
                <w:b/>
                <w:bCs/>
                <w:color w:val="auto"/>
                <w:szCs w:val="24"/>
                <w:highlight w:val="none"/>
                <w:lang w:bidi="lo-LA"/>
              </w:rPr>
              <w:t>项目</w:t>
            </w:r>
          </w:p>
        </w:tc>
        <w:tc>
          <w:tcPr>
            <w:tcW w:w="6076" w:type="dxa"/>
            <w:tcMar>
              <w:left w:w="108" w:type="dxa"/>
              <w:right w:w="108" w:type="dxa"/>
            </w:tcMar>
            <w:vAlign w:val="center"/>
          </w:tcPr>
          <w:p w14:paraId="59FD2A4E">
            <w:pPr>
              <w:wordWrap w:val="0"/>
              <w:spacing w:line="360" w:lineRule="auto"/>
              <w:ind w:firstLine="2409" w:firstLineChars="1000"/>
              <w:rPr>
                <w:rFonts w:hint="eastAsia" w:ascii="仿宋" w:hAnsi="仿宋" w:eastAsia="仿宋" w:cs="仿宋"/>
                <w:b/>
                <w:bCs/>
                <w:color w:val="auto"/>
                <w:szCs w:val="24"/>
                <w:highlight w:val="none"/>
                <w:lang w:bidi="lo-LA"/>
              </w:rPr>
            </w:pPr>
            <w:r>
              <w:rPr>
                <w:rFonts w:hint="eastAsia" w:ascii="仿宋" w:hAnsi="仿宋" w:eastAsia="仿宋" w:cs="仿宋"/>
                <w:b/>
                <w:bCs/>
                <w:color w:val="auto"/>
                <w:szCs w:val="24"/>
                <w:highlight w:val="none"/>
                <w:lang w:bidi="lo-LA"/>
              </w:rPr>
              <w:t>内    容</w:t>
            </w:r>
          </w:p>
        </w:tc>
        <w:tc>
          <w:tcPr>
            <w:tcW w:w="881" w:type="dxa"/>
            <w:tcMar>
              <w:left w:w="108" w:type="dxa"/>
              <w:right w:w="108" w:type="dxa"/>
            </w:tcMar>
            <w:vAlign w:val="center"/>
          </w:tcPr>
          <w:p w14:paraId="3D9711E8">
            <w:pPr>
              <w:wordWrap w:val="0"/>
              <w:spacing w:line="360" w:lineRule="auto"/>
              <w:rPr>
                <w:rFonts w:hint="eastAsia" w:ascii="仿宋" w:hAnsi="仿宋" w:eastAsia="仿宋" w:cs="仿宋"/>
                <w:b/>
                <w:bCs/>
                <w:color w:val="auto"/>
                <w:szCs w:val="24"/>
                <w:highlight w:val="none"/>
                <w:lang w:bidi="lo-LA"/>
              </w:rPr>
            </w:pPr>
            <w:r>
              <w:rPr>
                <w:rFonts w:hint="eastAsia" w:ascii="仿宋" w:hAnsi="仿宋" w:eastAsia="仿宋" w:cs="仿宋"/>
                <w:b/>
                <w:bCs/>
                <w:color w:val="auto"/>
                <w:szCs w:val="24"/>
                <w:highlight w:val="none"/>
                <w:lang w:bidi="lo-LA"/>
              </w:rPr>
              <w:t>分值</w:t>
            </w:r>
          </w:p>
        </w:tc>
        <w:tc>
          <w:tcPr>
            <w:tcW w:w="1190" w:type="dxa"/>
            <w:tcMar>
              <w:left w:w="108" w:type="dxa"/>
              <w:right w:w="108" w:type="dxa"/>
            </w:tcMar>
            <w:vAlign w:val="center"/>
          </w:tcPr>
          <w:p w14:paraId="5B483663">
            <w:pPr>
              <w:wordWrap w:val="0"/>
              <w:spacing w:line="360" w:lineRule="auto"/>
              <w:jc w:val="center"/>
              <w:rPr>
                <w:rFonts w:hint="eastAsia" w:ascii="仿宋" w:hAnsi="仿宋" w:eastAsia="仿宋" w:cs="仿宋"/>
                <w:b/>
                <w:bCs/>
                <w:color w:val="auto"/>
                <w:szCs w:val="24"/>
                <w:highlight w:val="none"/>
                <w:lang w:bidi="lo-LA"/>
              </w:rPr>
            </w:pPr>
            <w:r>
              <w:rPr>
                <w:rFonts w:hint="eastAsia" w:ascii="仿宋" w:hAnsi="仿宋" w:eastAsia="仿宋" w:cs="仿宋"/>
                <w:b/>
                <w:bCs/>
                <w:color w:val="auto"/>
                <w:szCs w:val="24"/>
                <w:highlight w:val="none"/>
                <w:lang w:bidi="lo-LA"/>
              </w:rPr>
              <w:t>得分</w:t>
            </w:r>
          </w:p>
        </w:tc>
        <w:tc>
          <w:tcPr>
            <w:tcW w:w="812" w:type="dxa"/>
            <w:tcMar>
              <w:left w:w="108" w:type="dxa"/>
              <w:right w:w="108" w:type="dxa"/>
            </w:tcMar>
            <w:vAlign w:val="center"/>
          </w:tcPr>
          <w:p w14:paraId="0E81E7F5">
            <w:pPr>
              <w:wordWrap w:val="0"/>
              <w:spacing w:line="360" w:lineRule="auto"/>
              <w:rPr>
                <w:rFonts w:hint="eastAsia" w:ascii="仿宋" w:hAnsi="仿宋" w:eastAsia="仿宋" w:cs="仿宋"/>
                <w:b/>
                <w:bCs/>
                <w:color w:val="auto"/>
                <w:szCs w:val="24"/>
                <w:highlight w:val="none"/>
                <w:lang w:bidi="lo-LA"/>
              </w:rPr>
            </w:pPr>
            <w:r>
              <w:rPr>
                <w:rFonts w:hint="eastAsia" w:ascii="仿宋" w:hAnsi="仿宋" w:eastAsia="仿宋" w:cs="仿宋"/>
                <w:b/>
                <w:bCs/>
                <w:color w:val="auto"/>
                <w:szCs w:val="24"/>
                <w:highlight w:val="none"/>
                <w:lang w:bidi="lo-LA"/>
              </w:rPr>
              <w:t>备注</w:t>
            </w:r>
          </w:p>
        </w:tc>
      </w:tr>
      <w:tr w14:paraId="76A56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35" w:hRule="atLeast"/>
          <w:jc w:val="center"/>
        </w:trPr>
        <w:tc>
          <w:tcPr>
            <w:tcW w:w="743" w:type="dxa"/>
            <w:vMerge w:val="restart"/>
            <w:tcMar>
              <w:left w:w="108" w:type="dxa"/>
              <w:right w:w="108" w:type="dxa"/>
            </w:tcMar>
            <w:vAlign w:val="center"/>
          </w:tcPr>
          <w:p w14:paraId="3DD49BA9">
            <w:pPr>
              <w:wordWrap w:val="0"/>
              <w:spacing w:line="360" w:lineRule="auto"/>
              <w:rPr>
                <w:rFonts w:hint="eastAsia" w:ascii="仿宋" w:hAnsi="仿宋" w:eastAsia="仿宋" w:cs="仿宋"/>
                <w:color w:val="auto"/>
                <w:szCs w:val="24"/>
                <w:highlight w:val="none"/>
                <w:lang w:bidi="lo-LA"/>
              </w:rPr>
            </w:pPr>
            <w:r>
              <w:rPr>
                <w:rFonts w:hint="eastAsia" w:ascii="仿宋" w:hAnsi="仿宋" w:eastAsia="仿宋" w:cs="仿宋"/>
                <w:color w:val="auto"/>
                <w:szCs w:val="24"/>
                <w:highlight w:val="none"/>
                <w:lang w:bidi="lo-LA"/>
              </w:rPr>
              <w:t>组织</w:t>
            </w:r>
          </w:p>
          <w:p w14:paraId="534E5C9C">
            <w:pPr>
              <w:wordWrap w:val="0"/>
              <w:spacing w:line="360" w:lineRule="auto"/>
              <w:rPr>
                <w:rFonts w:hint="eastAsia" w:ascii="仿宋" w:hAnsi="仿宋" w:eastAsia="仿宋" w:cs="仿宋"/>
                <w:color w:val="auto"/>
                <w:szCs w:val="24"/>
                <w:highlight w:val="none"/>
                <w:lang w:bidi="lo-LA"/>
              </w:rPr>
            </w:pPr>
            <w:r>
              <w:rPr>
                <w:rFonts w:hint="eastAsia" w:ascii="仿宋" w:hAnsi="仿宋" w:eastAsia="仿宋" w:cs="仿宋"/>
                <w:color w:val="auto"/>
                <w:szCs w:val="24"/>
                <w:highlight w:val="none"/>
                <w:lang w:bidi="lo-LA"/>
              </w:rPr>
              <w:t>管理</w:t>
            </w:r>
          </w:p>
        </w:tc>
        <w:tc>
          <w:tcPr>
            <w:tcW w:w="6076" w:type="dxa"/>
            <w:tcMar>
              <w:left w:w="108" w:type="dxa"/>
              <w:right w:w="108" w:type="dxa"/>
            </w:tcMar>
            <w:vAlign w:val="center"/>
          </w:tcPr>
          <w:p w14:paraId="0FBDDC07">
            <w:pPr>
              <w:spacing w:line="360" w:lineRule="auto"/>
              <w:rPr>
                <w:rFonts w:hint="eastAsia" w:ascii="仿宋" w:hAnsi="仿宋" w:eastAsia="仿宋" w:cs="仿宋"/>
                <w:color w:val="auto"/>
                <w:szCs w:val="24"/>
                <w:highlight w:val="none"/>
                <w:lang w:bidi="lo-LA"/>
              </w:rPr>
            </w:pPr>
            <w:r>
              <w:rPr>
                <w:rFonts w:hint="eastAsia" w:ascii="仿宋" w:hAnsi="仿宋" w:eastAsia="仿宋" w:cs="仿宋"/>
                <w:color w:val="auto"/>
                <w:szCs w:val="24"/>
                <w:highlight w:val="none"/>
                <w:lang w:bidi="lo-LA"/>
              </w:rPr>
              <w:t>制度建设。中标人有完备的制度规范，制度内容合理。对于缺失的重要制度在采购人书面指出后，及时进行制订完善，拒不进行制订完善或超过30日未制订完善的扣5分。</w:t>
            </w:r>
          </w:p>
        </w:tc>
        <w:tc>
          <w:tcPr>
            <w:tcW w:w="881" w:type="dxa"/>
            <w:tcMar>
              <w:left w:w="108" w:type="dxa"/>
              <w:right w:w="108" w:type="dxa"/>
            </w:tcMar>
            <w:vAlign w:val="center"/>
          </w:tcPr>
          <w:p w14:paraId="188641A1">
            <w:pPr>
              <w:wordWrap w:val="0"/>
              <w:spacing w:line="360" w:lineRule="auto"/>
              <w:rPr>
                <w:rFonts w:hint="eastAsia" w:ascii="仿宋" w:hAnsi="仿宋" w:eastAsia="仿宋" w:cs="仿宋"/>
                <w:color w:val="auto"/>
                <w:szCs w:val="24"/>
                <w:highlight w:val="none"/>
                <w:lang w:bidi="lo-LA"/>
              </w:rPr>
            </w:pPr>
            <w:r>
              <w:rPr>
                <w:rFonts w:hint="eastAsia" w:ascii="仿宋" w:hAnsi="仿宋" w:eastAsia="仿宋" w:cs="仿宋"/>
                <w:color w:val="auto"/>
                <w:szCs w:val="24"/>
                <w:highlight w:val="none"/>
                <w:lang w:bidi="lo-LA"/>
              </w:rPr>
              <w:t>5</w:t>
            </w:r>
          </w:p>
        </w:tc>
        <w:tc>
          <w:tcPr>
            <w:tcW w:w="1190" w:type="dxa"/>
            <w:tcMar>
              <w:left w:w="108" w:type="dxa"/>
              <w:right w:w="108" w:type="dxa"/>
            </w:tcMar>
            <w:vAlign w:val="center"/>
          </w:tcPr>
          <w:p w14:paraId="28878D71">
            <w:pPr>
              <w:wordWrap w:val="0"/>
              <w:spacing w:line="360" w:lineRule="auto"/>
              <w:rPr>
                <w:rFonts w:hint="eastAsia" w:ascii="仿宋" w:hAnsi="仿宋" w:eastAsia="仿宋" w:cs="仿宋"/>
                <w:color w:val="auto"/>
                <w:szCs w:val="24"/>
                <w:highlight w:val="none"/>
                <w:lang w:bidi="lo-LA"/>
              </w:rPr>
            </w:pPr>
          </w:p>
        </w:tc>
        <w:tc>
          <w:tcPr>
            <w:tcW w:w="812" w:type="dxa"/>
            <w:tcMar>
              <w:left w:w="108" w:type="dxa"/>
              <w:right w:w="108" w:type="dxa"/>
            </w:tcMar>
            <w:vAlign w:val="center"/>
          </w:tcPr>
          <w:p w14:paraId="6BC1E4CC">
            <w:pPr>
              <w:wordWrap w:val="0"/>
              <w:spacing w:line="360" w:lineRule="auto"/>
              <w:rPr>
                <w:rFonts w:hint="eastAsia" w:ascii="仿宋" w:hAnsi="仿宋" w:eastAsia="仿宋" w:cs="仿宋"/>
                <w:color w:val="auto"/>
                <w:szCs w:val="24"/>
                <w:highlight w:val="none"/>
                <w:lang w:bidi="lo-LA"/>
              </w:rPr>
            </w:pPr>
          </w:p>
        </w:tc>
      </w:tr>
      <w:tr w14:paraId="4B1AF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7" w:hRule="atLeast"/>
          <w:jc w:val="center"/>
        </w:trPr>
        <w:tc>
          <w:tcPr>
            <w:tcW w:w="743" w:type="dxa"/>
            <w:vMerge w:val="continue"/>
            <w:tcMar>
              <w:left w:w="108" w:type="dxa"/>
              <w:right w:w="108" w:type="dxa"/>
            </w:tcMar>
            <w:vAlign w:val="center"/>
          </w:tcPr>
          <w:p w14:paraId="03BBBC7C">
            <w:pPr>
              <w:wordWrap w:val="0"/>
              <w:spacing w:line="360" w:lineRule="auto"/>
              <w:rPr>
                <w:rFonts w:hint="eastAsia" w:ascii="仿宋" w:hAnsi="仿宋" w:eastAsia="仿宋" w:cs="仿宋"/>
                <w:color w:val="auto"/>
                <w:szCs w:val="24"/>
                <w:highlight w:val="none"/>
                <w:lang w:bidi="lo-LA"/>
              </w:rPr>
            </w:pPr>
          </w:p>
        </w:tc>
        <w:tc>
          <w:tcPr>
            <w:tcW w:w="6076" w:type="dxa"/>
            <w:tcMar>
              <w:left w:w="108" w:type="dxa"/>
              <w:right w:w="108" w:type="dxa"/>
            </w:tcMar>
            <w:vAlign w:val="center"/>
          </w:tcPr>
          <w:p w14:paraId="6FD9A678">
            <w:pPr>
              <w:spacing w:line="360" w:lineRule="auto"/>
              <w:rPr>
                <w:rFonts w:hint="eastAsia" w:ascii="仿宋" w:hAnsi="仿宋" w:eastAsia="仿宋" w:cs="仿宋"/>
                <w:color w:val="auto"/>
                <w:szCs w:val="24"/>
                <w:highlight w:val="none"/>
                <w:lang w:bidi="lo-LA"/>
              </w:rPr>
            </w:pPr>
            <w:r>
              <w:rPr>
                <w:rFonts w:hint="eastAsia" w:ascii="仿宋" w:hAnsi="仿宋" w:eastAsia="仿宋" w:cs="仿宋"/>
                <w:color w:val="auto"/>
                <w:szCs w:val="24"/>
                <w:highlight w:val="none"/>
                <w:lang w:bidi="lo-LA"/>
              </w:rPr>
              <w:t>加强沟通。中标人项目负责人定期与采购人交流沟通，介绍情况，听取建议，明确工作事项。项目负责人做到至少每月与采购人交流沟通一次，未进行交流沟通的扣5分，对交流沟通过程中采购人反馈的意见建议落实不力的扣4分。更换项目负责人未提前告知采购人的扣3分。</w:t>
            </w:r>
          </w:p>
        </w:tc>
        <w:tc>
          <w:tcPr>
            <w:tcW w:w="881" w:type="dxa"/>
            <w:tcMar>
              <w:left w:w="108" w:type="dxa"/>
              <w:right w:w="108" w:type="dxa"/>
            </w:tcMar>
            <w:vAlign w:val="center"/>
          </w:tcPr>
          <w:p w14:paraId="24D31564">
            <w:pPr>
              <w:wordWrap w:val="0"/>
              <w:spacing w:line="360" w:lineRule="auto"/>
              <w:rPr>
                <w:rFonts w:hint="eastAsia" w:ascii="仿宋" w:hAnsi="仿宋" w:eastAsia="仿宋" w:cs="仿宋"/>
                <w:color w:val="auto"/>
                <w:szCs w:val="24"/>
                <w:highlight w:val="none"/>
                <w:lang w:bidi="lo-LA"/>
              </w:rPr>
            </w:pPr>
            <w:r>
              <w:rPr>
                <w:rFonts w:hint="eastAsia" w:ascii="仿宋" w:hAnsi="仿宋" w:eastAsia="仿宋" w:cs="仿宋"/>
                <w:color w:val="auto"/>
                <w:szCs w:val="24"/>
                <w:highlight w:val="none"/>
                <w:lang w:bidi="lo-LA"/>
              </w:rPr>
              <w:t>5</w:t>
            </w:r>
          </w:p>
        </w:tc>
        <w:tc>
          <w:tcPr>
            <w:tcW w:w="1190" w:type="dxa"/>
            <w:tcMar>
              <w:left w:w="108" w:type="dxa"/>
              <w:right w:w="108" w:type="dxa"/>
            </w:tcMar>
            <w:vAlign w:val="center"/>
          </w:tcPr>
          <w:p w14:paraId="784A4E59">
            <w:pPr>
              <w:wordWrap w:val="0"/>
              <w:spacing w:line="360" w:lineRule="auto"/>
              <w:rPr>
                <w:rFonts w:hint="eastAsia" w:ascii="仿宋" w:hAnsi="仿宋" w:eastAsia="仿宋" w:cs="仿宋"/>
                <w:color w:val="auto"/>
                <w:szCs w:val="24"/>
                <w:highlight w:val="none"/>
                <w:lang w:bidi="lo-LA"/>
              </w:rPr>
            </w:pPr>
          </w:p>
        </w:tc>
        <w:tc>
          <w:tcPr>
            <w:tcW w:w="812" w:type="dxa"/>
            <w:tcMar>
              <w:left w:w="108" w:type="dxa"/>
              <w:right w:w="108" w:type="dxa"/>
            </w:tcMar>
            <w:vAlign w:val="center"/>
          </w:tcPr>
          <w:p w14:paraId="5E62CEA7">
            <w:pPr>
              <w:wordWrap w:val="0"/>
              <w:spacing w:line="360" w:lineRule="auto"/>
              <w:rPr>
                <w:rFonts w:hint="eastAsia" w:ascii="仿宋" w:hAnsi="仿宋" w:eastAsia="仿宋" w:cs="仿宋"/>
                <w:color w:val="auto"/>
                <w:szCs w:val="24"/>
                <w:highlight w:val="none"/>
                <w:lang w:bidi="lo-LA"/>
              </w:rPr>
            </w:pPr>
          </w:p>
        </w:tc>
      </w:tr>
      <w:tr w14:paraId="4B21C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340" w:hRule="atLeast"/>
          <w:jc w:val="center"/>
        </w:trPr>
        <w:tc>
          <w:tcPr>
            <w:tcW w:w="743" w:type="dxa"/>
            <w:vMerge w:val="continue"/>
            <w:tcMar>
              <w:left w:w="108" w:type="dxa"/>
              <w:right w:w="108" w:type="dxa"/>
            </w:tcMar>
            <w:vAlign w:val="center"/>
          </w:tcPr>
          <w:p w14:paraId="770B8470">
            <w:pPr>
              <w:wordWrap w:val="0"/>
              <w:spacing w:line="360" w:lineRule="auto"/>
              <w:rPr>
                <w:rFonts w:hint="eastAsia" w:ascii="仿宋" w:hAnsi="仿宋" w:eastAsia="仿宋" w:cs="仿宋"/>
                <w:color w:val="auto"/>
                <w:szCs w:val="24"/>
                <w:highlight w:val="none"/>
                <w:lang w:bidi="lo-LA"/>
              </w:rPr>
            </w:pPr>
          </w:p>
        </w:tc>
        <w:tc>
          <w:tcPr>
            <w:tcW w:w="6076" w:type="dxa"/>
            <w:tcMar>
              <w:left w:w="108" w:type="dxa"/>
              <w:right w:w="108" w:type="dxa"/>
            </w:tcMar>
            <w:vAlign w:val="center"/>
          </w:tcPr>
          <w:p w14:paraId="528295B8">
            <w:pPr>
              <w:spacing w:line="360" w:lineRule="auto"/>
              <w:rPr>
                <w:rFonts w:hint="eastAsia" w:ascii="仿宋" w:hAnsi="仿宋" w:eastAsia="仿宋" w:cs="仿宋"/>
                <w:color w:val="auto"/>
                <w:szCs w:val="24"/>
                <w:highlight w:val="none"/>
                <w:lang w:bidi="lo-LA"/>
              </w:rPr>
            </w:pPr>
            <w:r>
              <w:rPr>
                <w:rFonts w:hint="eastAsia" w:ascii="仿宋" w:hAnsi="仿宋" w:eastAsia="仿宋" w:cs="仿宋"/>
                <w:color w:val="auto"/>
                <w:szCs w:val="24"/>
                <w:highlight w:val="none"/>
                <w:lang w:bidi="lo-LA"/>
              </w:rPr>
              <w:t>培训提升。中标人建立并认真落实培训机制，根据服务开展情况有针对性的进行培训。未建立培训机制的扣5分，培训质量不高、培训内容与服务需求不匹配的扣3分。每月不少于1次全员集中培训学习和1次集中考试，每周不少于1次分组培训及随堂抽问测试，每少1次扣4分，效果不佳每次扣2分。</w:t>
            </w:r>
          </w:p>
        </w:tc>
        <w:tc>
          <w:tcPr>
            <w:tcW w:w="881" w:type="dxa"/>
            <w:tcMar>
              <w:left w:w="108" w:type="dxa"/>
              <w:right w:w="108" w:type="dxa"/>
            </w:tcMar>
            <w:vAlign w:val="center"/>
          </w:tcPr>
          <w:p w14:paraId="6BFD4B75">
            <w:pPr>
              <w:wordWrap w:val="0"/>
              <w:spacing w:line="360" w:lineRule="auto"/>
              <w:rPr>
                <w:rFonts w:hint="eastAsia" w:ascii="仿宋" w:hAnsi="仿宋" w:eastAsia="仿宋" w:cs="仿宋"/>
                <w:color w:val="auto"/>
                <w:szCs w:val="24"/>
                <w:highlight w:val="none"/>
                <w:lang w:bidi="lo-LA"/>
              </w:rPr>
            </w:pPr>
            <w:r>
              <w:rPr>
                <w:rFonts w:hint="eastAsia" w:ascii="仿宋" w:hAnsi="仿宋" w:eastAsia="仿宋" w:cs="仿宋"/>
                <w:color w:val="auto"/>
                <w:szCs w:val="24"/>
                <w:highlight w:val="none"/>
                <w:lang w:bidi="lo-LA"/>
              </w:rPr>
              <w:t>5</w:t>
            </w:r>
          </w:p>
        </w:tc>
        <w:tc>
          <w:tcPr>
            <w:tcW w:w="1190" w:type="dxa"/>
            <w:tcMar>
              <w:left w:w="108" w:type="dxa"/>
              <w:right w:w="108" w:type="dxa"/>
            </w:tcMar>
            <w:vAlign w:val="center"/>
          </w:tcPr>
          <w:p w14:paraId="2FE4D76C">
            <w:pPr>
              <w:wordWrap w:val="0"/>
              <w:spacing w:line="360" w:lineRule="auto"/>
              <w:rPr>
                <w:rFonts w:hint="eastAsia" w:ascii="仿宋" w:hAnsi="仿宋" w:eastAsia="仿宋" w:cs="仿宋"/>
                <w:color w:val="auto"/>
                <w:szCs w:val="24"/>
                <w:highlight w:val="none"/>
                <w:lang w:bidi="lo-LA"/>
              </w:rPr>
            </w:pPr>
          </w:p>
        </w:tc>
        <w:tc>
          <w:tcPr>
            <w:tcW w:w="812" w:type="dxa"/>
            <w:tcMar>
              <w:left w:w="108" w:type="dxa"/>
              <w:right w:w="108" w:type="dxa"/>
            </w:tcMar>
            <w:vAlign w:val="center"/>
          </w:tcPr>
          <w:p w14:paraId="47296AAD">
            <w:pPr>
              <w:wordWrap w:val="0"/>
              <w:spacing w:line="360" w:lineRule="auto"/>
              <w:rPr>
                <w:rFonts w:hint="eastAsia" w:ascii="仿宋" w:hAnsi="仿宋" w:eastAsia="仿宋" w:cs="仿宋"/>
                <w:color w:val="auto"/>
                <w:szCs w:val="24"/>
                <w:highlight w:val="none"/>
                <w:lang w:bidi="lo-LA"/>
              </w:rPr>
            </w:pPr>
          </w:p>
        </w:tc>
      </w:tr>
      <w:tr w14:paraId="370B3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05" w:hRule="atLeast"/>
          <w:jc w:val="center"/>
        </w:trPr>
        <w:tc>
          <w:tcPr>
            <w:tcW w:w="743" w:type="dxa"/>
            <w:vMerge w:val="continue"/>
            <w:tcMar>
              <w:left w:w="108" w:type="dxa"/>
              <w:right w:w="108" w:type="dxa"/>
            </w:tcMar>
            <w:vAlign w:val="center"/>
          </w:tcPr>
          <w:p w14:paraId="2D87E1A7">
            <w:pPr>
              <w:wordWrap w:val="0"/>
              <w:spacing w:line="360" w:lineRule="auto"/>
              <w:rPr>
                <w:rFonts w:hint="eastAsia" w:ascii="仿宋" w:hAnsi="仿宋" w:eastAsia="仿宋" w:cs="仿宋"/>
                <w:color w:val="auto"/>
                <w:szCs w:val="24"/>
                <w:highlight w:val="none"/>
                <w:lang w:bidi="lo-LA"/>
              </w:rPr>
            </w:pPr>
          </w:p>
        </w:tc>
        <w:tc>
          <w:tcPr>
            <w:tcW w:w="6076" w:type="dxa"/>
            <w:tcMar>
              <w:left w:w="108" w:type="dxa"/>
              <w:right w:w="108" w:type="dxa"/>
            </w:tcMar>
            <w:vAlign w:val="center"/>
          </w:tcPr>
          <w:p w14:paraId="211F80CC">
            <w:pPr>
              <w:spacing w:line="360" w:lineRule="auto"/>
              <w:rPr>
                <w:rFonts w:hint="eastAsia" w:ascii="仿宋" w:hAnsi="仿宋" w:eastAsia="仿宋" w:cs="仿宋"/>
                <w:color w:val="auto"/>
                <w:szCs w:val="24"/>
                <w:highlight w:val="none"/>
                <w:lang w:bidi="lo-LA"/>
              </w:rPr>
            </w:pPr>
            <w:r>
              <w:rPr>
                <w:rFonts w:hint="eastAsia" w:ascii="仿宋" w:hAnsi="仿宋" w:eastAsia="仿宋" w:cs="仿宋"/>
                <w:color w:val="auto"/>
                <w:szCs w:val="24"/>
                <w:highlight w:val="none"/>
                <w:lang w:bidi="lo-LA"/>
              </w:rPr>
              <w:t>考核到位。中标人听取采购人意见建议，建立并认真落实考核机制。未建立考核机制的扣5分，考核不严格、考核结果不真实的扣3分。</w:t>
            </w:r>
          </w:p>
        </w:tc>
        <w:tc>
          <w:tcPr>
            <w:tcW w:w="881" w:type="dxa"/>
            <w:tcMar>
              <w:left w:w="108" w:type="dxa"/>
              <w:right w:w="108" w:type="dxa"/>
            </w:tcMar>
            <w:vAlign w:val="center"/>
          </w:tcPr>
          <w:p w14:paraId="4DFD205B">
            <w:pPr>
              <w:wordWrap w:val="0"/>
              <w:spacing w:line="360" w:lineRule="auto"/>
              <w:rPr>
                <w:rFonts w:hint="eastAsia" w:ascii="仿宋" w:hAnsi="仿宋" w:eastAsia="仿宋" w:cs="仿宋"/>
                <w:color w:val="auto"/>
                <w:szCs w:val="24"/>
                <w:highlight w:val="none"/>
                <w:lang w:bidi="lo-LA"/>
              </w:rPr>
            </w:pPr>
            <w:r>
              <w:rPr>
                <w:rFonts w:hint="eastAsia" w:ascii="仿宋" w:hAnsi="仿宋" w:eastAsia="仿宋" w:cs="仿宋"/>
                <w:color w:val="auto"/>
                <w:szCs w:val="24"/>
                <w:highlight w:val="none"/>
                <w:lang w:bidi="lo-LA"/>
              </w:rPr>
              <w:t>5</w:t>
            </w:r>
          </w:p>
        </w:tc>
        <w:tc>
          <w:tcPr>
            <w:tcW w:w="1190" w:type="dxa"/>
            <w:tcMar>
              <w:left w:w="108" w:type="dxa"/>
              <w:right w:w="108" w:type="dxa"/>
            </w:tcMar>
            <w:vAlign w:val="center"/>
          </w:tcPr>
          <w:p w14:paraId="0BFB8C56">
            <w:pPr>
              <w:wordWrap w:val="0"/>
              <w:spacing w:line="360" w:lineRule="auto"/>
              <w:rPr>
                <w:rFonts w:hint="eastAsia" w:ascii="仿宋" w:hAnsi="仿宋" w:eastAsia="仿宋" w:cs="仿宋"/>
                <w:color w:val="auto"/>
                <w:szCs w:val="24"/>
                <w:highlight w:val="none"/>
                <w:lang w:bidi="lo-LA"/>
              </w:rPr>
            </w:pPr>
          </w:p>
        </w:tc>
        <w:tc>
          <w:tcPr>
            <w:tcW w:w="812" w:type="dxa"/>
            <w:tcMar>
              <w:left w:w="108" w:type="dxa"/>
              <w:right w:w="108" w:type="dxa"/>
            </w:tcMar>
            <w:vAlign w:val="center"/>
          </w:tcPr>
          <w:p w14:paraId="23DA71CC">
            <w:pPr>
              <w:wordWrap w:val="0"/>
              <w:spacing w:line="360" w:lineRule="auto"/>
              <w:rPr>
                <w:rFonts w:hint="eastAsia" w:ascii="仿宋" w:hAnsi="仿宋" w:eastAsia="仿宋" w:cs="仿宋"/>
                <w:color w:val="auto"/>
                <w:szCs w:val="24"/>
                <w:highlight w:val="none"/>
                <w:lang w:bidi="lo-LA"/>
              </w:rPr>
            </w:pPr>
          </w:p>
        </w:tc>
      </w:tr>
      <w:tr w14:paraId="40091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743" w:type="dxa"/>
            <w:vMerge w:val="continue"/>
            <w:tcMar>
              <w:left w:w="108" w:type="dxa"/>
              <w:right w:w="108" w:type="dxa"/>
            </w:tcMar>
            <w:vAlign w:val="center"/>
          </w:tcPr>
          <w:p w14:paraId="1CD35186">
            <w:pPr>
              <w:wordWrap w:val="0"/>
              <w:spacing w:line="360" w:lineRule="auto"/>
              <w:rPr>
                <w:rFonts w:hint="eastAsia" w:ascii="仿宋" w:hAnsi="仿宋" w:eastAsia="仿宋" w:cs="仿宋"/>
                <w:color w:val="auto"/>
                <w:szCs w:val="24"/>
                <w:highlight w:val="none"/>
                <w:lang w:bidi="lo-LA"/>
              </w:rPr>
            </w:pPr>
          </w:p>
        </w:tc>
        <w:tc>
          <w:tcPr>
            <w:tcW w:w="6076" w:type="dxa"/>
            <w:tcMar>
              <w:left w:w="108" w:type="dxa"/>
              <w:right w:w="108" w:type="dxa"/>
            </w:tcMar>
            <w:vAlign w:val="center"/>
          </w:tcPr>
          <w:p w14:paraId="3197B63E">
            <w:pPr>
              <w:spacing w:line="360" w:lineRule="auto"/>
              <w:rPr>
                <w:rFonts w:hint="eastAsia" w:ascii="仿宋" w:hAnsi="仿宋" w:eastAsia="仿宋" w:cs="仿宋"/>
                <w:color w:val="auto"/>
                <w:szCs w:val="24"/>
                <w:highlight w:val="none"/>
                <w:lang w:bidi="lo-LA"/>
              </w:rPr>
            </w:pPr>
            <w:r>
              <w:rPr>
                <w:rFonts w:hint="eastAsia" w:ascii="仿宋" w:hAnsi="仿宋" w:eastAsia="仿宋" w:cs="仿宋"/>
                <w:color w:val="auto"/>
                <w:szCs w:val="24"/>
                <w:highlight w:val="none"/>
                <w:lang w:bidi="lo-LA"/>
              </w:rPr>
              <w:t>严格管理。严格管理服务人员，经查实服务人员出现违反保密规定、廉洁规定、有赌博吸毒恶习等违纪违法行为，发生安全事故的，不如实或不及时提供个人信息，情节严重的，或其行为对采购人造成恶劣影响的，视为严重违反规章制度，每人每次扣中标人10分，且该服务人员不得再为采购人进行服务。</w:t>
            </w:r>
          </w:p>
        </w:tc>
        <w:tc>
          <w:tcPr>
            <w:tcW w:w="881" w:type="dxa"/>
            <w:tcMar>
              <w:left w:w="108" w:type="dxa"/>
              <w:right w:w="108" w:type="dxa"/>
            </w:tcMar>
            <w:vAlign w:val="center"/>
          </w:tcPr>
          <w:p w14:paraId="27D5835E">
            <w:pPr>
              <w:wordWrap w:val="0"/>
              <w:spacing w:line="360" w:lineRule="auto"/>
              <w:rPr>
                <w:rFonts w:hint="eastAsia" w:ascii="仿宋" w:hAnsi="仿宋" w:eastAsia="仿宋" w:cs="仿宋"/>
                <w:color w:val="auto"/>
                <w:szCs w:val="24"/>
                <w:highlight w:val="none"/>
                <w:lang w:bidi="lo-LA"/>
              </w:rPr>
            </w:pPr>
            <w:r>
              <w:rPr>
                <w:rFonts w:hint="eastAsia" w:ascii="仿宋" w:hAnsi="仿宋" w:eastAsia="仿宋" w:cs="仿宋"/>
                <w:color w:val="auto"/>
                <w:szCs w:val="24"/>
                <w:highlight w:val="none"/>
                <w:lang w:bidi="lo-LA"/>
              </w:rPr>
              <w:t>20</w:t>
            </w:r>
          </w:p>
        </w:tc>
        <w:tc>
          <w:tcPr>
            <w:tcW w:w="1190" w:type="dxa"/>
            <w:tcMar>
              <w:left w:w="108" w:type="dxa"/>
              <w:right w:w="108" w:type="dxa"/>
            </w:tcMar>
            <w:vAlign w:val="center"/>
          </w:tcPr>
          <w:p w14:paraId="58936FE2">
            <w:pPr>
              <w:wordWrap w:val="0"/>
              <w:spacing w:line="360" w:lineRule="auto"/>
              <w:rPr>
                <w:rFonts w:hint="eastAsia" w:ascii="仿宋" w:hAnsi="仿宋" w:eastAsia="仿宋" w:cs="仿宋"/>
                <w:color w:val="auto"/>
                <w:szCs w:val="24"/>
                <w:highlight w:val="none"/>
                <w:lang w:bidi="lo-LA"/>
              </w:rPr>
            </w:pPr>
          </w:p>
        </w:tc>
        <w:tc>
          <w:tcPr>
            <w:tcW w:w="812" w:type="dxa"/>
            <w:tcMar>
              <w:left w:w="108" w:type="dxa"/>
              <w:right w:w="108" w:type="dxa"/>
            </w:tcMar>
            <w:vAlign w:val="center"/>
          </w:tcPr>
          <w:p w14:paraId="3FD919BE">
            <w:pPr>
              <w:wordWrap w:val="0"/>
              <w:spacing w:line="360" w:lineRule="auto"/>
              <w:rPr>
                <w:rFonts w:hint="eastAsia" w:ascii="仿宋" w:hAnsi="仿宋" w:eastAsia="仿宋" w:cs="仿宋"/>
                <w:color w:val="auto"/>
                <w:szCs w:val="24"/>
                <w:highlight w:val="none"/>
                <w:lang w:bidi="lo-LA"/>
              </w:rPr>
            </w:pPr>
          </w:p>
        </w:tc>
      </w:tr>
      <w:tr w14:paraId="3A886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65" w:hRule="atLeast"/>
          <w:jc w:val="center"/>
        </w:trPr>
        <w:tc>
          <w:tcPr>
            <w:tcW w:w="743" w:type="dxa"/>
            <w:tcMar>
              <w:left w:w="108" w:type="dxa"/>
              <w:right w:w="108" w:type="dxa"/>
            </w:tcMar>
            <w:vAlign w:val="center"/>
          </w:tcPr>
          <w:p w14:paraId="7EFF4DA0">
            <w:pPr>
              <w:wordWrap w:val="0"/>
              <w:spacing w:line="360" w:lineRule="auto"/>
              <w:rPr>
                <w:rFonts w:hint="eastAsia" w:ascii="仿宋" w:hAnsi="仿宋" w:eastAsia="仿宋" w:cs="仿宋"/>
                <w:color w:val="auto"/>
                <w:szCs w:val="24"/>
                <w:highlight w:val="none"/>
                <w:lang w:bidi="lo-LA"/>
              </w:rPr>
            </w:pPr>
            <w:r>
              <w:rPr>
                <w:rFonts w:hint="eastAsia" w:ascii="仿宋" w:hAnsi="仿宋" w:eastAsia="仿宋" w:cs="仿宋"/>
                <w:color w:val="auto"/>
                <w:szCs w:val="24"/>
                <w:highlight w:val="none"/>
                <w:lang w:bidi="lo-LA"/>
              </w:rPr>
              <w:t>服务质量考核</w:t>
            </w:r>
          </w:p>
        </w:tc>
        <w:tc>
          <w:tcPr>
            <w:tcW w:w="6076" w:type="dxa"/>
            <w:tcMar>
              <w:left w:w="108" w:type="dxa"/>
              <w:right w:w="108" w:type="dxa"/>
            </w:tcMar>
            <w:vAlign w:val="center"/>
          </w:tcPr>
          <w:p w14:paraId="5178AAF7">
            <w:pPr>
              <w:spacing w:line="360" w:lineRule="auto"/>
              <w:rPr>
                <w:rFonts w:hint="eastAsia" w:ascii="仿宋" w:hAnsi="仿宋" w:eastAsia="仿宋" w:cs="仿宋"/>
                <w:color w:val="auto"/>
                <w:szCs w:val="24"/>
                <w:highlight w:val="none"/>
                <w:lang w:bidi="lo-LA"/>
              </w:rPr>
            </w:pPr>
            <w:r>
              <w:rPr>
                <w:rFonts w:hint="eastAsia" w:ascii="仿宋" w:hAnsi="仿宋" w:eastAsia="仿宋" w:cs="仿宋"/>
                <w:color w:val="auto"/>
                <w:szCs w:val="24"/>
                <w:highlight w:val="none"/>
                <w:lang w:bidi="lo-LA"/>
              </w:rPr>
              <w:t>中标人提供的服务是否满足本项目的需求，是否达到对本项目非执法类辅助性服务事项的规范要求。存在服务缺陷或瑕疵的，根据影响的大小扣除1</w:t>
            </w:r>
            <w:r>
              <w:rPr>
                <w:rFonts w:hint="eastAsia" w:ascii="仿宋" w:hAnsi="仿宋" w:eastAsia="仿宋" w:cs="仿宋"/>
                <w:color w:val="auto"/>
                <w:szCs w:val="24"/>
                <w:highlight w:val="none"/>
                <w:lang w:eastAsia="zh-CN" w:bidi="lo-LA"/>
              </w:rPr>
              <w:t>—</w:t>
            </w:r>
            <w:r>
              <w:rPr>
                <w:rFonts w:hint="eastAsia" w:ascii="仿宋" w:hAnsi="仿宋" w:eastAsia="仿宋" w:cs="仿宋"/>
                <w:color w:val="auto"/>
                <w:szCs w:val="24"/>
                <w:highlight w:val="none"/>
                <w:lang w:bidi="lo-LA"/>
              </w:rPr>
              <w:t>3分/次；被上级机关或明察暗访检查通报的，按次扣</w:t>
            </w:r>
            <w:r>
              <w:rPr>
                <w:rFonts w:hint="eastAsia" w:ascii="仿宋" w:hAnsi="仿宋" w:eastAsia="仿宋" w:cs="仿宋"/>
                <w:color w:val="auto"/>
                <w:szCs w:val="24"/>
                <w:highlight w:val="none"/>
                <w:lang w:eastAsia="zh-CN" w:bidi="lo-LA"/>
              </w:rPr>
              <w:t>3—5</w:t>
            </w:r>
            <w:r>
              <w:rPr>
                <w:rFonts w:hint="eastAsia" w:ascii="仿宋" w:hAnsi="仿宋" w:eastAsia="仿宋" w:cs="仿宋"/>
                <w:color w:val="auto"/>
                <w:szCs w:val="24"/>
                <w:highlight w:val="none"/>
                <w:lang w:bidi="lo-LA"/>
              </w:rPr>
              <w:t>分</w:t>
            </w:r>
            <w:r>
              <w:rPr>
                <w:rFonts w:hint="eastAsia" w:ascii="仿宋" w:hAnsi="仿宋" w:eastAsia="仿宋" w:cs="仿宋"/>
                <w:color w:val="auto"/>
                <w:szCs w:val="24"/>
                <w:highlight w:val="none"/>
                <w:lang w:eastAsia="zh-CN" w:bidi="lo-LA"/>
              </w:rPr>
              <w:t>（</w:t>
            </w:r>
            <w:r>
              <w:rPr>
                <w:rFonts w:hint="eastAsia" w:ascii="仿宋" w:hAnsi="仿宋" w:eastAsia="仿宋" w:cs="仿宋"/>
                <w:color w:val="auto"/>
                <w:szCs w:val="24"/>
                <w:highlight w:val="none"/>
                <w:lang w:bidi="lo-LA"/>
              </w:rPr>
              <w:t>被区局通报的按项次扣3分，被第三方或者市级机关通报的，扣5分，被省级及以上部门通报的，扣5分</w:t>
            </w:r>
            <w:r>
              <w:rPr>
                <w:rFonts w:hint="eastAsia" w:ascii="仿宋" w:hAnsi="仿宋" w:eastAsia="仿宋" w:cs="仿宋"/>
                <w:color w:val="auto"/>
                <w:szCs w:val="24"/>
                <w:highlight w:val="none"/>
                <w:lang w:eastAsia="zh-CN" w:bidi="lo-LA"/>
              </w:rPr>
              <w:t>）</w:t>
            </w:r>
            <w:r>
              <w:rPr>
                <w:rFonts w:hint="eastAsia" w:ascii="仿宋" w:hAnsi="仿宋" w:eastAsia="仿宋" w:cs="仿宋"/>
                <w:color w:val="auto"/>
                <w:szCs w:val="24"/>
                <w:highlight w:val="none"/>
                <w:lang w:bidi="lo-LA"/>
              </w:rPr>
              <w:t>。</w:t>
            </w:r>
          </w:p>
        </w:tc>
        <w:tc>
          <w:tcPr>
            <w:tcW w:w="881" w:type="dxa"/>
            <w:tcMar>
              <w:left w:w="108" w:type="dxa"/>
              <w:right w:w="108" w:type="dxa"/>
            </w:tcMar>
            <w:vAlign w:val="center"/>
          </w:tcPr>
          <w:p w14:paraId="37C4384F">
            <w:pPr>
              <w:wordWrap w:val="0"/>
              <w:spacing w:line="360" w:lineRule="auto"/>
              <w:rPr>
                <w:rFonts w:hint="eastAsia" w:ascii="仿宋" w:hAnsi="仿宋" w:eastAsia="仿宋" w:cs="仿宋"/>
                <w:color w:val="auto"/>
                <w:szCs w:val="24"/>
                <w:highlight w:val="none"/>
                <w:lang w:bidi="lo-LA"/>
              </w:rPr>
            </w:pPr>
            <w:r>
              <w:rPr>
                <w:rFonts w:hint="eastAsia" w:ascii="仿宋" w:hAnsi="仿宋" w:eastAsia="仿宋" w:cs="仿宋"/>
                <w:color w:val="auto"/>
                <w:szCs w:val="24"/>
                <w:highlight w:val="none"/>
                <w:lang w:bidi="lo-LA"/>
              </w:rPr>
              <w:t>30</w:t>
            </w:r>
          </w:p>
        </w:tc>
        <w:tc>
          <w:tcPr>
            <w:tcW w:w="1190" w:type="dxa"/>
            <w:tcMar>
              <w:left w:w="108" w:type="dxa"/>
              <w:right w:w="108" w:type="dxa"/>
            </w:tcMar>
            <w:vAlign w:val="center"/>
          </w:tcPr>
          <w:p w14:paraId="6405510C">
            <w:pPr>
              <w:wordWrap w:val="0"/>
              <w:spacing w:line="360" w:lineRule="auto"/>
              <w:rPr>
                <w:rFonts w:hint="eastAsia" w:ascii="仿宋" w:hAnsi="仿宋" w:eastAsia="仿宋" w:cs="仿宋"/>
                <w:color w:val="auto"/>
                <w:szCs w:val="24"/>
                <w:highlight w:val="none"/>
                <w:lang w:bidi="lo-LA"/>
              </w:rPr>
            </w:pPr>
          </w:p>
        </w:tc>
        <w:tc>
          <w:tcPr>
            <w:tcW w:w="812" w:type="dxa"/>
            <w:tcMar>
              <w:left w:w="108" w:type="dxa"/>
              <w:right w:w="108" w:type="dxa"/>
            </w:tcMar>
            <w:vAlign w:val="center"/>
          </w:tcPr>
          <w:p w14:paraId="342B63C9">
            <w:pPr>
              <w:wordWrap w:val="0"/>
              <w:spacing w:line="360" w:lineRule="auto"/>
              <w:rPr>
                <w:rFonts w:hint="eastAsia" w:ascii="仿宋" w:hAnsi="仿宋" w:eastAsia="仿宋" w:cs="仿宋"/>
                <w:color w:val="auto"/>
                <w:szCs w:val="24"/>
                <w:highlight w:val="none"/>
                <w:lang w:bidi="lo-LA"/>
              </w:rPr>
            </w:pPr>
          </w:p>
        </w:tc>
      </w:tr>
      <w:tr w14:paraId="57F78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0" w:hRule="atLeast"/>
          <w:jc w:val="center"/>
        </w:trPr>
        <w:tc>
          <w:tcPr>
            <w:tcW w:w="743" w:type="dxa"/>
            <w:tcMar>
              <w:left w:w="108" w:type="dxa"/>
              <w:right w:w="108" w:type="dxa"/>
            </w:tcMar>
            <w:vAlign w:val="center"/>
          </w:tcPr>
          <w:p w14:paraId="55F61937">
            <w:pPr>
              <w:wordWrap w:val="0"/>
              <w:spacing w:line="360" w:lineRule="auto"/>
              <w:rPr>
                <w:rFonts w:hint="eastAsia" w:ascii="仿宋" w:hAnsi="仿宋" w:eastAsia="仿宋" w:cs="仿宋"/>
                <w:color w:val="auto"/>
                <w:szCs w:val="24"/>
                <w:highlight w:val="none"/>
                <w:lang w:bidi="lo-LA"/>
              </w:rPr>
            </w:pPr>
            <w:r>
              <w:rPr>
                <w:rFonts w:hint="eastAsia" w:ascii="仿宋" w:hAnsi="仿宋" w:eastAsia="仿宋" w:cs="仿宋"/>
                <w:color w:val="auto"/>
                <w:szCs w:val="24"/>
                <w:highlight w:val="none"/>
                <w:lang w:bidi="lo-LA"/>
              </w:rPr>
              <w:t>投诉舆情</w:t>
            </w:r>
          </w:p>
        </w:tc>
        <w:tc>
          <w:tcPr>
            <w:tcW w:w="6076" w:type="dxa"/>
            <w:tcMar>
              <w:left w:w="108" w:type="dxa"/>
              <w:right w:w="108" w:type="dxa"/>
            </w:tcMar>
            <w:vAlign w:val="center"/>
          </w:tcPr>
          <w:p w14:paraId="2AC50837">
            <w:pPr>
              <w:spacing w:line="360" w:lineRule="auto"/>
              <w:rPr>
                <w:rFonts w:hint="eastAsia" w:ascii="仿宋" w:hAnsi="仿宋" w:eastAsia="仿宋" w:cs="仿宋"/>
                <w:color w:val="auto"/>
                <w:szCs w:val="24"/>
                <w:highlight w:val="none"/>
                <w:lang w:bidi="lo-LA"/>
              </w:rPr>
            </w:pPr>
            <w:r>
              <w:rPr>
                <w:rFonts w:hint="eastAsia" w:ascii="仿宋" w:hAnsi="仿宋" w:eastAsia="仿宋" w:cs="仿宋"/>
                <w:color w:val="auto"/>
                <w:szCs w:val="24"/>
                <w:highlight w:val="none"/>
                <w:lang w:bidi="lo-LA"/>
              </w:rPr>
              <w:t>中标人提供的服务是否因为服务态度、作风纪律、服务质效等原因受到纳税人、缴费人投诉、举报。投诉真实有效情况下，采购人可要求中标人根据相关制度对当事人</w:t>
            </w:r>
            <w:r>
              <w:rPr>
                <w:rFonts w:hint="eastAsia" w:ascii="仿宋" w:hAnsi="仿宋" w:eastAsia="仿宋" w:cs="仿宋"/>
                <w:color w:val="auto"/>
                <w:szCs w:val="24"/>
                <w:highlight w:val="none"/>
                <w:lang w:eastAsia="zh-CN" w:bidi="lo-LA"/>
              </w:rPr>
              <w:t>作出</w:t>
            </w:r>
            <w:r>
              <w:rPr>
                <w:rFonts w:hint="eastAsia" w:ascii="仿宋" w:hAnsi="仿宋" w:eastAsia="仿宋" w:cs="仿宋"/>
                <w:color w:val="auto"/>
                <w:szCs w:val="24"/>
                <w:highlight w:val="none"/>
                <w:lang w:bidi="lo-LA"/>
              </w:rPr>
              <w:t>相应处罚，并将处理结果反馈采购人相关部门和负责人。被纳税人、缴费人投诉的，按项次扣1分；造成采购人被上级通报批评的，按项次扣1</w:t>
            </w:r>
            <w:r>
              <w:rPr>
                <w:rFonts w:hint="eastAsia" w:ascii="仿宋" w:hAnsi="仿宋" w:eastAsia="仿宋" w:cs="仿宋"/>
                <w:color w:val="auto"/>
                <w:szCs w:val="24"/>
                <w:highlight w:val="none"/>
                <w:lang w:eastAsia="zh-CN" w:bidi="lo-LA"/>
              </w:rPr>
              <w:t>—</w:t>
            </w:r>
            <w:r>
              <w:rPr>
                <w:rFonts w:hint="eastAsia" w:ascii="仿宋" w:hAnsi="仿宋" w:eastAsia="仿宋" w:cs="仿宋"/>
                <w:color w:val="auto"/>
                <w:szCs w:val="24"/>
                <w:highlight w:val="none"/>
                <w:lang w:val="en-US" w:eastAsia="zh-CN" w:bidi="lo-LA"/>
              </w:rPr>
              <w:t>5</w:t>
            </w:r>
            <w:r>
              <w:rPr>
                <w:rFonts w:hint="eastAsia" w:ascii="仿宋" w:hAnsi="仿宋" w:eastAsia="仿宋" w:cs="仿宋"/>
                <w:color w:val="auto"/>
                <w:szCs w:val="24"/>
                <w:highlight w:val="none"/>
                <w:lang w:bidi="lo-LA"/>
              </w:rPr>
              <w:t>分。</w:t>
            </w:r>
          </w:p>
        </w:tc>
        <w:tc>
          <w:tcPr>
            <w:tcW w:w="881" w:type="dxa"/>
            <w:tcMar>
              <w:left w:w="108" w:type="dxa"/>
              <w:right w:w="108" w:type="dxa"/>
            </w:tcMar>
            <w:vAlign w:val="center"/>
          </w:tcPr>
          <w:p w14:paraId="3F9C0C08">
            <w:pPr>
              <w:wordWrap w:val="0"/>
              <w:spacing w:line="360" w:lineRule="auto"/>
              <w:rPr>
                <w:rFonts w:hint="eastAsia" w:ascii="仿宋" w:hAnsi="仿宋" w:eastAsia="仿宋" w:cs="仿宋"/>
                <w:color w:val="auto"/>
                <w:szCs w:val="24"/>
                <w:highlight w:val="none"/>
                <w:lang w:bidi="lo-LA"/>
              </w:rPr>
            </w:pPr>
            <w:r>
              <w:rPr>
                <w:rFonts w:hint="eastAsia" w:ascii="仿宋" w:hAnsi="仿宋" w:eastAsia="仿宋" w:cs="仿宋"/>
                <w:color w:val="auto"/>
                <w:szCs w:val="24"/>
                <w:highlight w:val="none"/>
                <w:lang w:bidi="lo-LA"/>
              </w:rPr>
              <w:t>25</w:t>
            </w:r>
          </w:p>
        </w:tc>
        <w:tc>
          <w:tcPr>
            <w:tcW w:w="1190" w:type="dxa"/>
            <w:tcMar>
              <w:left w:w="108" w:type="dxa"/>
              <w:right w:w="108" w:type="dxa"/>
            </w:tcMar>
            <w:vAlign w:val="center"/>
          </w:tcPr>
          <w:p w14:paraId="726EEE62">
            <w:pPr>
              <w:wordWrap w:val="0"/>
              <w:spacing w:line="360" w:lineRule="auto"/>
              <w:rPr>
                <w:rFonts w:hint="eastAsia" w:ascii="仿宋" w:hAnsi="仿宋" w:eastAsia="仿宋" w:cs="仿宋"/>
                <w:color w:val="auto"/>
                <w:szCs w:val="24"/>
                <w:highlight w:val="none"/>
                <w:lang w:bidi="lo-LA"/>
              </w:rPr>
            </w:pPr>
          </w:p>
        </w:tc>
        <w:tc>
          <w:tcPr>
            <w:tcW w:w="812" w:type="dxa"/>
            <w:tcMar>
              <w:left w:w="108" w:type="dxa"/>
              <w:right w:w="108" w:type="dxa"/>
            </w:tcMar>
            <w:vAlign w:val="center"/>
          </w:tcPr>
          <w:p w14:paraId="2286DC46">
            <w:pPr>
              <w:wordWrap w:val="0"/>
              <w:spacing w:line="360" w:lineRule="auto"/>
              <w:rPr>
                <w:rFonts w:hint="eastAsia" w:ascii="仿宋" w:hAnsi="仿宋" w:eastAsia="仿宋" w:cs="仿宋"/>
                <w:color w:val="auto"/>
                <w:szCs w:val="24"/>
                <w:highlight w:val="none"/>
                <w:lang w:bidi="lo-LA"/>
              </w:rPr>
            </w:pPr>
          </w:p>
        </w:tc>
      </w:tr>
      <w:tr w14:paraId="26906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27" w:hRule="atLeast"/>
          <w:jc w:val="center"/>
        </w:trPr>
        <w:tc>
          <w:tcPr>
            <w:tcW w:w="743" w:type="dxa"/>
            <w:tcMar>
              <w:left w:w="108" w:type="dxa"/>
              <w:right w:w="108" w:type="dxa"/>
            </w:tcMar>
            <w:vAlign w:val="center"/>
          </w:tcPr>
          <w:p w14:paraId="152AB1E3">
            <w:pPr>
              <w:wordWrap w:val="0"/>
              <w:spacing w:line="360" w:lineRule="auto"/>
              <w:rPr>
                <w:rFonts w:hint="eastAsia" w:ascii="仿宋" w:hAnsi="仿宋" w:eastAsia="仿宋" w:cs="仿宋"/>
                <w:color w:val="auto"/>
                <w:szCs w:val="24"/>
                <w:highlight w:val="none"/>
                <w:lang w:bidi="lo-LA"/>
              </w:rPr>
            </w:pPr>
            <w:r>
              <w:rPr>
                <w:rFonts w:hint="eastAsia" w:ascii="仿宋" w:hAnsi="仿宋" w:eastAsia="仿宋" w:cs="仿宋"/>
                <w:color w:val="auto"/>
                <w:szCs w:val="24"/>
                <w:highlight w:val="none"/>
                <w:lang w:bidi="lo-LA"/>
              </w:rPr>
              <w:t>其他</w:t>
            </w:r>
          </w:p>
        </w:tc>
        <w:tc>
          <w:tcPr>
            <w:tcW w:w="6076" w:type="dxa"/>
            <w:tcMar>
              <w:left w:w="108" w:type="dxa"/>
              <w:right w:w="108" w:type="dxa"/>
            </w:tcMar>
            <w:vAlign w:val="center"/>
          </w:tcPr>
          <w:p w14:paraId="0F116D31">
            <w:pPr>
              <w:wordWrap w:val="0"/>
              <w:spacing w:line="360" w:lineRule="auto"/>
              <w:rPr>
                <w:rFonts w:hint="eastAsia" w:ascii="仿宋" w:hAnsi="仿宋" w:eastAsia="仿宋" w:cs="仿宋"/>
                <w:color w:val="auto"/>
                <w:szCs w:val="24"/>
                <w:highlight w:val="none"/>
                <w:lang w:bidi="lo-LA"/>
              </w:rPr>
            </w:pPr>
            <w:r>
              <w:rPr>
                <w:rFonts w:hint="eastAsia" w:ascii="仿宋" w:hAnsi="仿宋" w:eastAsia="仿宋" w:cs="仿宋"/>
                <w:color w:val="auto"/>
                <w:szCs w:val="24"/>
                <w:highlight w:val="none"/>
                <w:lang w:bidi="lo-LA"/>
              </w:rPr>
              <w:t>根据工作实际情况形成的其他管理实施评分标准。</w:t>
            </w:r>
          </w:p>
        </w:tc>
        <w:tc>
          <w:tcPr>
            <w:tcW w:w="881" w:type="dxa"/>
            <w:tcMar>
              <w:left w:w="108" w:type="dxa"/>
              <w:right w:w="108" w:type="dxa"/>
            </w:tcMar>
            <w:vAlign w:val="center"/>
          </w:tcPr>
          <w:p w14:paraId="1E481189">
            <w:pPr>
              <w:wordWrap w:val="0"/>
              <w:spacing w:line="360" w:lineRule="auto"/>
              <w:rPr>
                <w:rFonts w:hint="eastAsia" w:ascii="仿宋" w:hAnsi="仿宋" w:eastAsia="仿宋" w:cs="仿宋"/>
                <w:color w:val="auto"/>
                <w:szCs w:val="24"/>
                <w:highlight w:val="none"/>
                <w:lang w:bidi="lo-LA"/>
              </w:rPr>
            </w:pPr>
            <w:r>
              <w:rPr>
                <w:rFonts w:hint="eastAsia" w:ascii="仿宋" w:hAnsi="仿宋" w:eastAsia="仿宋" w:cs="仿宋"/>
                <w:color w:val="auto"/>
                <w:szCs w:val="24"/>
                <w:highlight w:val="none"/>
                <w:lang w:bidi="lo-LA"/>
              </w:rPr>
              <w:t>5</w:t>
            </w:r>
          </w:p>
        </w:tc>
        <w:tc>
          <w:tcPr>
            <w:tcW w:w="1190" w:type="dxa"/>
            <w:tcMar>
              <w:left w:w="108" w:type="dxa"/>
              <w:right w:w="108" w:type="dxa"/>
            </w:tcMar>
            <w:vAlign w:val="center"/>
          </w:tcPr>
          <w:p w14:paraId="4F727CC4">
            <w:pPr>
              <w:wordWrap w:val="0"/>
              <w:spacing w:line="360" w:lineRule="auto"/>
              <w:rPr>
                <w:rFonts w:hint="eastAsia" w:ascii="仿宋" w:hAnsi="仿宋" w:eastAsia="仿宋" w:cs="仿宋"/>
                <w:color w:val="auto"/>
                <w:szCs w:val="24"/>
                <w:highlight w:val="none"/>
                <w:lang w:bidi="lo-LA"/>
              </w:rPr>
            </w:pPr>
          </w:p>
        </w:tc>
        <w:tc>
          <w:tcPr>
            <w:tcW w:w="812" w:type="dxa"/>
            <w:tcMar>
              <w:left w:w="108" w:type="dxa"/>
              <w:right w:w="108" w:type="dxa"/>
            </w:tcMar>
            <w:vAlign w:val="center"/>
          </w:tcPr>
          <w:p w14:paraId="5052B4B3">
            <w:pPr>
              <w:wordWrap w:val="0"/>
              <w:spacing w:line="360" w:lineRule="auto"/>
              <w:rPr>
                <w:rFonts w:hint="eastAsia" w:ascii="仿宋" w:hAnsi="仿宋" w:eastAsia="仿宋" w:cs="仿宋"/>
                <w:color w:val="auto"/>
                <w:szCs w:val="24"/>
                <w:highlight w:val="none"/>
                <w:lang w:bidi="lo-LA"/>
              </w:rPr>
            </w:pPr>
          </w:p>
        </w:tc>
      </w:tr>
      <w:tr w14:paraId="7FD7B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9702" w:type="dxa"/>
            <w:gridSpan w:val="5"/>
            <w:tcMar>
              <w:left w:w="108" w:type="dxa"/>
              <w:right w:w="108" w:type="dxa"/>
            </w:tcMar>
            <w:vAlign w:val="center"/>
          </w:tcPr>
          <w:p w14:paraId="44EA5393">
            <w:pPr>
              <w:wordWrap w:val="0"/>
              <w:spacing w:line="360" w:lineRule="auto"/>
              <w:rPr>
                <w:rFonts w:hint="eastAsia" w:ascii="仿宋" w:hAnsi="仿宋" w:eastAsia="仿宋" w:cs="仿宋"/>
                <w:color w:val="auto"/>
                <w:szCs w:val="24"/>
                <w:highlight w:val="none"/>
                <w:lang w:bidi="lo-LA"/>
              </w:rPr>
            </w:pPr>
            <w:r>
              <w:rPr>
                <w:rFonts w:hint="eastAsia" w:ascii="仿宋" w:hAnsi="仿宋" w:eastAsia="仿宋" w:cs="仿宋"/>
                <w:color w:val="auto"/>
                <w:szCs w:val="24"/>
                <w:highlight w:val="none"/>
                <w:lang w:bidi="lo-LA"/>
              </w:rPr>
              <w:t>合计得分：</w:t>
            </w:r>
          </w:p>
        </w:tc>
      </w:tr>
    </w:tbl>
    <w:p w14:paraId="608085BF">
      <w:pPr>
        <w:pStyle w:val="7"/>
        <w:keepNext w:val="0"/>
        <w:keepLines w:val="0"/>
        <w:pageBreakBefore w:val="0"/>
        <w:numPr>
          <w:ilvl w:val="5"/>
          <w:numId w:val="0"/>
        </w:numPr>
        <w:tabs>
          <w:tab w:val="left" w:pos="1564"/>
        </w:tabs>
        <w:kinsoku/>
        <w:bidi w:val="0"/>
        <w:adjustRightInd w:val="0"/>
        <w:snapToGrid w:val="0"/>
        <w:spacing w:line="500" w:lineRule="exact"/>
        <w:ind w:firstLine="482" w:firstLineChars="200"/>
        <w:outlineLvl w:val="1"/>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五、</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风险管控要求</w:t>
      </w:r>
    </w:p>
    <w:p w14:paraId="0DC07DDD">
      <w:pPr>
        <w:pStyle w:val="7"/>
        <w:keepNext w:val="0"/>
        <w:keepLines w:val="0"/>
        <w:pageBreakBefore w:val="0"/>
        <w:numPr>
          <w:ilvl w:val="5"/>
          <w:numId w:val="0"/>
        </w:numPr>
        <w:tabs>
          <w:tab w:val="left" w:pos="1564"/>
        </w:tabs>
        <w:kinsoku/>
        <w:bidi w:val="0"/>
        <w:adjustRightInd w:val="0"/>
        <w:snapToGrid w:val="0"/>
        <w:spacing w:line="500" w:lineRule="exact"/>
        <w:ind w:firstLine="480" w:firstLineChars="200"/>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1.中标人作为服务人员的用人单位，应当履行《中华人民共和国劳动合同法》对劳动者的法定义务，承担对服务人员解除劳动关系的经济补偿责任。若服务人员因非自愿原因而离职的，所产生的合法、必要费用由中标人自行承担，中标人不得以任何方式转嫁采购人。采购人同中标人服务人员之间不存在用工单位同劳动者之间的劳动关系、不额外支付任何因劳动关系产生的风险费用。</w:t>
      </w:r>
    </w:p>
    <w:p w14:paraId="4AD3DE33">
      <w:pPr>
        <w:pStyle w:val="7"/>
        <w:keepNext w:val="0"/>
        <w:keepLines w:val="0"/>
        <w:pageBreakBefore w:val="0"/>
        <w:numPr>
          <w:ilvl w:val="5"/>
          <w:numId w:val="0"/>
        </w:numPr>
        <w:tabs>
          <w:tab w:val="left" w:pos="1564"/>
        </w:tabs>
        <w:kinsoku/>
        <w:bidi w:val="0"/>
        <w:adjustRightInd w:val="0"/>
        <w:snapToGrid w:val="0"/>
        <w:spacing w:line="500" w:lineRule="exact"/>
        <w:ind w:firstLine="480" w:firstLineChars="200"/>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服务期间，若发生人身（包括服务人员发生重大疾病、非因工死亡等事故）、财产意外事故或劳动纠纷的，所产生的所有经济和法律责任由中标人承担，由此造成采购人损失或社会公信力遭受影响的，概由中标人承担赔偿责任及消除影响的责任。</w:t>
      </w:r>
    </w:p>
    <w:p w14:paraId="5C8A16E9">
      <w:pPr>
        <w:pStyle w:val="7"/>
        <w:keepNext w:val="0"/>
        <w:keepLines w:val="0"/>
        <w:pageBreakBefore w:val="0"/>
        <w:numPr>
          <w:ilvl w:val="5"/>
          <w:numId w:val="0"/>
        </w:numPr>
        <w:tabs>
          <w:tab w:val="left" w:pos="1564"/>
        </w:tabs>
        <w:kinsoku/>
        <w:bidi w:val="0"/>
        <w:adjustRightInd w:val="0"/>
        <w:snapToGrid w:val="0"/>
        <w:spacing w:line="500" w:lineRule="exact"/>
        <w:ind w:firstLine="480" w:firstLineChars="200"/>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3.中标人应妥善处理好服务人员诉求。在项目实施过程中，若因中标人自身企业风险或责任（包括拖欠工资、法律诉讼等）问题导致采购人权益受损的，采购人有权终止采购合同并要求中标人赔偿采购人的损失和退还所有已支付的合同款项（服务人员劳动所得除外），所有相关责任和赔偿由中标人承担。</w:t>
      </w:r>
    </w:p>
    <w:p w14:paraId="3930823C">
      <w:pPr>
        <w:pStyle w:val="7"/>
        <w:keepNext w:val="0"/>
        <w:keepLines w:val="0"/>
        <w:pageBreakBefore w:val="0"/>
        <w:widowControl w:val="0"/>
        <w:numPr>
          <w:ilvl w:val="5"/>
          <w:numId w:val="0"/>
        </w:numPr>
        <w:tabs>
          <w:tab w:val="left" w:pos="1564"/>
        </w:tabs>
        <w:kinsoku/>
        <w:wordWrap w:val="0"/>
        <w:overflowPunct/>
        <w:topLinePunct/>
        <w:autoSpaceDE/>
        <w:autoSpaceDN/>
        <w:bidi w:val="0"/>
        <w:adjustRightInd w:val="0"/>
        <w:snapToGrid w:val="0"/>
        <w:spacing w:line="500" w:lineRule="exact"/>
        <w:ind w:firstLine="482" w:firstLineChars="200"/>
        <w:textAlignment w:val="auto"/>
        <w:outlineLvl w:val="1"/>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六、履约要求</w:t>
      </w:r>
    </w:p>
    <w:p w14:paraId="61426918">
      <w:pPr>
        <w:spacing w:line="520" w:lineRule="exact"/>
        <w:ind w:firstLine="482" w:firstLineChars="200"/>
        <w:rPr>
          <w:rFonts w:hint="eastAsia" w:ascii="仿宋" w:hAnsi="仿宋" w:eastAsia="仿宋" w:cs="仿宋"/>
          <w:color w:val="auto"/>
          <w:highlight w:val="none"/>
          <w:lang w:val="en-US" w:eastAsia="zh-CN"/>
        </w:rPr>
      </w:pPr>
      <w:bookmarkStart w:id="42" w:name="_Toc9123"/>
      <w:r>
        <w:rPr>
          <w:rFonts w:hint="eastAsia" w:ascii="仿宋" w:hAnsi="仿宋" w:eastAsia="仿宋" w:cs="仿宋"/>
          <w:b/>
          <w:bCs/>
          <w:color w:val="auto"/>
          <w:highlight w:val="none"/>
          <w:lang w:val="en-US" w:eastAsia="zh-CN"/>
        </w:rPr>
        <w:t>（一）</w:t>
      </w:r>
      <w:bookmarkEnd w:id="42"/>
      <w:r>
        <w:rPr>
          <w:rFonts w:hint="eastAsia" w:ascii="仿宋" w:hAnsi="仿宋" w:eastAsia="仿宋" w:cs="仿宋"/>
          <w:b/>
          <w:bCs/>
          <w:color w:val="auto"/>
          <w:highlight w:val="none"/>
          <w:lang w:val="en-US" w:eastAsia="zh-CN"/>
        </w:rPr>
        <w:t>履约经验</w:t>
      </w:r>
    </w:p>
    <w:p w14:paraId="5A21065D">
      <w:pPr>
        <w:spacing w:line="520" w:lineRule="exact"/>
        <w:ind w:firstLine="480"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投标人2023年1月1日（含）至投标截止日，具有类似项目履约经验。</w:t>
      </w:r>
    </w:p>
    <w:p w14:paraId="274F0A13">
      <w:pPr>
        <w:spacing w:line="520" w:lineRule="exact"/>
        <w:ind w:firstLine="482" w:firstLineChars="200"/>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（二）服务团队</w:t>
      </w:r>
    </w:p>
    <w:p w14:paraId="3651091A">
      <w:pPr>
        <w:spacing w:line="520" w:lineRule="exact"/>
        <w:ind w:firstLine="480"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1.项目负责人：具有从事政务相关服务工作经验。</w:t>
      </w:r>
    </w:p>
    <w:p w14:paraId="11208EA4">
      <w:pPr>
        <w:spacing w:line="520" w:lineRule="exact"/>
        <w:ind w:firstLine="480"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2.服务人员：具有从事政务相关服务工作经验。</w:t>
      </w:r>
    </w:p>
    <w:p w14:paraId="17FD870F">
      <w:pPr>
        <w:spacing w:line="520" w:lineRule="exact"/>
        <w:ind w:firstLine="482" w:firstLineChars="200"/>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（三）服务方案</w:t>
      </w:r>
    </w:p>
    <w:p w14:paraId="777F30E6">
      <w:pPr>
        <w:spacing w:line="520" w:lineRule="exact"/>
        <w:ind w:firstLine="480" w:firstLineChars="200"/>
        <w:rPr>
          <w:rFonts w:hint="eastAsia" w:ascii="仿宋" w:hAnsi="仿宋" w:eastAsia="仿宋" w:cs="仿宋"/>
          <w:color w:val="auto"/>
          <w:highlight w:val="none"/>
          <w:lang w:eastAsia="zh-CN"/>
        </w:rPr>
      </w:pPr>
      <w:bookmarkStart w:id="43" w:name="FunCunProofread25082"/>
      <w:r>
        <w:rPr>
          <w:rFonts w:hint="eastAsia" w:ascii="仿宋" w:hAnsi="仿宋" w:eastAsia="仿宋" w:cs="仿宋"/>
          <w:color w:val="auto"/>
          <w:highlight w:val="none"/>
          <w:lang w:val="en-US" w:eastAsia="zh-CN"/>
        </w:rPr>
        <w:t>投标人</w:t>
      </w:r>
      <w:r>
        <w:rPr>
          <w:rFonts w:hint="eastAsia" w:ascii="仿宋" w:hAnsi="仿宋" w:eastAsia="仿宋" w:cs="仿宋"/>
          <w:color w:val="auto"/>
          <w:highlight w:val="none"/>
          <w:lang w:eastAsia="zh-CN"/>
        </w:rPr>
        <w:t>提供服务方案，包含：项目需求分析、项目管理方案、应急预案、培训管理方</w:t>
      </w:r>
      <w:r>
        <w:rPr>
          <w:rFonts w:hint="eastAsia" w:ascii="仿宋" w:hAnsi="仿宋" w:eastAsia="仿宋" w:cs="仿宋"/>
          <w:color w:val="auto"/>
          <w:highlight w:val="none"/>
          <w:lang w:val="en-US" w:eastAsia="zh-CN"/>
        </w:rPr>
        <w:t>案</w:t>
      </w:r>
      <w:r>
        <w:rPr>
          <w:rFonts w:hint="eastAsia" w:ascii="仿宋" w:hAnsi="仿宋" w:eastAsia="仿宋" w:cs="仿宋"/>
          <w:color w:val="auto"/>
          <w:highlight w:val="none"/>
          <w:lang w:eastAsia="zh-CN"/>
        </w:rPr>
        <w:t>等部分。</w:t>
      </w:r>
    </w:p>
    <w:bookmarkEnd w:id="43"/>
    <w:p w14:paraId="5FAE9F7E">
      <w:pPr>
        <w:spacing w:line="520" w:lineRule="exact"/>
        <w:ind w:firstLine="48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1.项目需求分析</w:t>
      </w:r>
      <w:r>
        <w:rPr>
          <w:rFonts w:hint="eastAsia" w:ascii="仿宋" w:hAnsi="仿宋" w:eastAsia="仿宋" w:cs="仿宋"/>
          <w:color w:val="auto"/>
          <w:highlight w:val="none"/>
          <w:lang w:eastAsia="zh-CN"/>
        </w:rPr>
        <w:t>：①项目基本情况分析；②行业背景概述；③服务需求理解。</w:t>
      </w:r>
    </w:p>
    <w:p w14:paraId="4D124CCD">
      <w:pPr>
        <w:spacing w:line="520" w:lineRule="exact"/>
        <w:ind w:firstLine="48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lang w:eastAsia="zh-CN"/>
        </w:rPr>
        <w:t>项目管理方案：①组织模式及职能介绍；②保密措施；③服务质量管控措施；④项目管理制度和工作原则。</w:t>
      </w:r>
    </w:p>
    <w:p w14:paraId="0775AB61">
      <w:pPr>
        <w:spacing w:line="520" w:lineRule="exact"/>
        <w:ind w:firstLine="48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lang w:eastAsia="zh-CN"/>
        </w:rPr>
        <w:t>应急预案：①服务纠纷应急预案；②劳资纠纷应急预案；③工伤事故应急预案；④突发事件的处理预案。</w:t>
      </w:r>
    </w:p>
    <w:p w14:paraId="46E1461C">
      <w:pPr>
        <w:spacing w:line="520" w:lineRule="exact"/>
        <w:ind w:firstLine="480" w:firstLineChars="200"/>
        <w:rPr>
          <w:rFonts w:hint="eastAsia" w:ascii="仿宋" w:hAnsi="仿宋" w:eastAsia="仿宋" w:cs="仿宋"/>
          <w:b w:val="0"/>
          <w:bCs/>
          <w:color w:val="auto"/>
          <w:highlight w:val="none"/>
          <w:lang w:val="en-US" w:eastAsia="zh-CN"/>
        </w:rPr>
      </w:pP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lang w:eastAsia="zh-CN"/>
        </w:rPr>
        <w:t>培训</w:t>
      </w:r>
      <w:r>
        <w:rPr>
          <w:rFonts w:hint="eastAsia" w:ascii="仿宋" w:hAnsi="仿宋" w:eastAsia="仿宋" w:cs="仿宋"/>
          <w:color w:val="auto"/>
          <w:highlight w:val="none"/>
          <w:lang w:val="en-US" w:eastAsia="zh-CN"/>
        </w:rPr>
        <w:t>管理</w:t>
      </w:r>
      <w:r>
        <w:rPr>
          <w:rFonts w:hint="eastAsia" w:ascii="仿宋" w:hAnsi="仿宋" w:eastAsia="仿宋" w:cs="仿宋"/>
          <w:color w:val="auto"/>
          <w:highlight w:val="none"/>
          <w:lang w:eastAsia="zh-CN"/>
        </w:rPr>
        <w:t>方案：①前期培训计划与实施方案；②日常培训计划与实施方案；③沟通技巧等多元化培训计划与实施方案</w:t>
      </w:r>
      <w:r>
        <w:rPr>
          <w:rFonts w:ascii="仿宋" w:hAnsi="仿宋" w:eastAsia="仿宋" w:cs="仿宋"/>
          <w:color w:val="auto"/>
          <w:highlight w:val="none"/>
          <w:lang w:eastAsia="zh-CN"/>
        </w:rPr>
        <w:t>。</w:t>
      </w:r>
      <w:bookmarkEnd w:id="8"/>
    </w:p>
    <w:p w14:paraId="2AEB15D6">
      <w:pPr>
        <w:pStyle w:val="6"/>
        <w:keepNext w:val="0"/>
        <w:keepLines w:val="0"/>
        <w:pageBreakBefore w:val="0"/>
        <w:widowControl w:val="0"/>
        <w:numPr>
          <w:ilvl w:val="1"/>
          <w:numId w:val="0"/>
        </w:numPr>
        <w:kinsoku/>
        <w:wordWrap w:val="0"/>
        <w:overflowPunct/>
        <w:topLinePunct/>
        <w:autoSpaceDE/>
        <w:autoSpaceDN/>
        <w:bidi w:val="0"/>
        <w:adjustRightInd w:val="0"/>
        <w:snapToGrid w:val="0"/>
        <w:spacing w:line="500" w:lineRule="exact"/>
        <w:ind w:firstLine="482" w:firstLineChars="200"/>
        <w:textAlignment w:val="auto"/>
        <w:rPr>
          <w:rFonts w:hint="eastAsia" w:ascii="仿宋" w:hAnsi="仿宋" w:eastAsia="仿宋" w:cs="仿宋"/>
          <w:color w:val="auto"/>
          <w:highlight w:val="none"/>
        </w:rPr>
      </w:pPr>
      <w:r>
        <w:rPr>
          <w:rFonts w:hint="eastAsia" w:ascii="仿宋" w:hAnsi="仿宋" w:eastAsia="仿宋" w:cs="仿宋"/>
          <w:b/>
          <w:color w:val="auto"/>
          <w:kern w:val="2"/>
          <w:sz w:val="24"/>
          <w:szCs w:val="24"/>
          <w:highlight w:val="none"/>
          <w:lang w:val="en-US" w:eastAsia="zh-CN" w:bidi="ar-SA"/>
        </w:rPr>
        <w:t>七、</w:t>
      </w:r>
      <w:r>
        <w:rPr>
          <w:rFonts w:hint="eastAsia" w:ascii="仿宋" w:hAnsi="仿宋" w:eastAsia="仿宋" w:cs="仿宋"/>
          <w:color w:val="auto"/>
          <w:highlight w:val="none"/>
        </w:rPr>
        <w:t>★商务要求</w:t>
      </w:r>
    </w:p>
    <w:p w14:paraId="10732DF6">
      <w:pPr>
        <w:pStyle w:val="8"/>
        <w:keepNext w:val="0"/>
        <w:keepLines w:val="0"/>
        <w:pageBreakBefore w:val="0"/>
        <w:widowControl w:val="0"/>
        <w:numPr>
          <w:ilvl w:val="3"/>
          <w:numId w:val="0"/>
        </w:numPr>
        <w:kinsoku/>
        <w:wordWrap w:val="0"/>
        <w:overflowPunct/>
        <w:topLinePunct/>
        <w:autoSpaceDE/>
        <w:autoSpaceDN/>
        <w:bidi w:val="0"/>
        <w:adjustRightInd w:val="0"/>
        <w:snapToGrid w:val="0"/>
        <w:spacing w:line="500" w:lineRule="exact"/>
        <w:ind w:firstLine="482" w:firstLineChars="200"/>
        <w:textAlignment w:val="auto"/>
        <w:rPr>
          <w:rFonts w:hint="eastAsia" w:ascii="仿宋" w:hAnsi="仿宋" w:eastAsia="仿宋" w:cs="仿宋"/>
          <w:color w:val="auto"/>
          <w:highlight w:val="none"/>
          <w:lang w:val="en-US" w:eastAsia="zh-CN"/>
        </w:rPr>
      </w:pPr>
      <w:bookmarkStart w:id="44" w:name="_Toc14627"/>
      <w:bookmarkStart w:id="45" w:name="_Toc9784"/>
      <w:bookmarkStart w:id="46" w:name="_Toc10351"/>
      <w:r>
        <w:rPr>
          <w:rFonts w:hint="eastAsia" w:ascii="仿宋" w:hAnsi="仿宋" w:eastAsia="仿宋" w:cs="仿宋"/>
          <w:b/>
          <w:bCs/>
          <w:color w:val="auto"/>
          <w:highlight w:val="none"/>
          <w:lang w:val="en-US" w:eastAsia="zh-CN"/>
        </w:rPr>
        <w:t>（一）履约时间和地点</w:t>
      </w:r>
      <w:bookmarkEnd w:id="44"/>
      <w:bookmarkEnd w:id="45"/>
      <w:bookmarkEnd w:id="46"/>
    </w:p>
    <w:p w14:paraId="4A43B03A">
      <w:pPr>
        <w:pStyle w:val="8"/>
        <w:keepNext w:val="0"/>
        <w:keepLines w:val="0"/>
        <w:pageBreakBefore w:val="0"/>
        <w:widowControl w:val="0"/>
        <w:numPr>
          <w:ilvl w:val="3"/>
          <w:numId w:val="0"/>
        </w:numPr>
        <w:kinsoku/>
        <w:wordWrap w:val="0"/>
        <w:overflowPunct/>
        <w:topLinePunct/>
        <w:autoSpaceDE/>
        <w:autoSpaceDN/>
        <w:bidi w:val="0"/>
        <w:adjustRightInd w:val="0"/>
        <w:snapToGrid w:val="0"/>
        <w:spacing w:line="500" w:lineRule="exact"/>
        <w:ind w:firstLine="480" w:firstLineChars="200"/>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1.服务地点：国家税务总局成都市金牛区税务局。</w:t>
      </w:r>
    </w:p>
    <w:p w14:paraId="00FF8EDB">
      <w:pPr>
        <w:pStyle w:val="8"/>
        <w:keepNext w:val="0"/>
        <w:keepLines w:val="0"/>
        <w:pageBreakBefore w:val="0"/>
        <w:widowControl w:val="0"/>
        <w:numPr>
          <w:ilvl w:val="3"/>
          <w:numId w:val="0"/>
        </w:numPr>
        <w:kinsoku/>
        <w:wordWrap w:val="0"/>
        <w:overflowPunct/>
        <w:topLinePunct/>
        <w:autoSpaceDE/>
        <w:autoSpaceDN/>
        <w:bidi w:val="0"/>
        <w:adjustRightInd w:val="0"/>
        <w:snapToGrid w:val="0"/>
        <w:spacing w:line="500" w:lineRule="exact"/>
        <w:ind w:firstLine="480" w:firstLineChars="200"/>
        <w:textAlignment w:val="auto"/>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服务期限：26个月，预计时间从2026年11月至2028年12月，具体时间以采购人通知为准。合同一年一签（第三年度服务期限为2个月）。合同续签条件：根据当年度前十一个月月度验收情况及最后一月已执行考核情况，需全部合格可续签下一年度合同，若最终年度验收不合格，视为违约，采购人可终止已续签合同并追回已支付续签合同款项。</w:t>
      </w:r>
    </w:p>
    <w:p w14:paraId="46D80299">
      <w:pPr>
        <w:pStyle w:val="8"/>
        <w:keepNext w:val="0"/>
        <w:keepLines w:val="0"/>
        <w:pageBreakBefore w:val="0"/>
        <w:widowControl w:val="0"/>
        <w:numPr>
          <w:ilvl w:val="3"/>
          <w:numId w:val="0"/>
        </w:numPr>
        <w:kinsoku/>
        <w:wordWrap w:val="0"/>
        <w:overflowPunct/>
        <w:topLinePunct/>
        <w:autoSpaceDE/>
        <w:autoSpaceDN/>
        <w:bidi w:val="0"/>
        <w:adjustRightInd w:val="0"/>
        <w:snapToGrid w:val="0"/>
        <w:spacing w:line="500" w:lineRule="exact"/>
        <w:ind w:firstLine="482" w:firstLineChars="200"/>
        <w:textAlignment w:val="auto"/>
        <w:rPr>
          <w:rFonts w:hint="eastAsia" w:ascii="仿宋" w:hAnsi="仿宋" w:eastAsia="仿宋" w:cs="仿宋"/>
          <w:color w:val="auto"/>
          <w:highlight w:val="none"/>
          <w:lang w:val="en-US" w:eastAsia="zh-CN"/>
        </w:rPr>
      </w:pPr>
      <w:bookmarkStart w:id="47" w:name="_Toc23020"/>
      <w:bookmarkStart w:id="48" w:name="_Toc31383"/>
      <w:bookmarkStart w:id="49" w:name="_Toc32106"/>
      <w:r>
        <w:rPr>
          <w:rFonts w:hint="eastAsia" w:ascii="仿宋" w:hAnsi="仿宋" w:eastAsia="仿宋" w:cs="仿宋"/>
          <w:b/>
          <w:bCs/>
          <w:color w:val="auto"/>
          <w:highlight w:val="none"/>
          <w:lang w:val="en-US" w:eastAsia="zh-CN"/>
        </w:rPr>
        <w:t>（二）支付方式</w:t>
      </w:r>
      <w:bookmarkEnd w:id="47"/>
      <w:bookmarkEnd w:id="48"/>
      <w:bookmarkEnd w:id="49"/>
    </w:p>
    <w:tbl>
      <w:tblPr>
        <w:tblStyle w:val="2"/>
        <w:tblW w:w="9351" w:type="dxa"/>
        <w:jc w:val="center"/>
        <w:tblLayout w:type="fixed"/>
        <w:tblCellMar>
          <w:top w:w="15" w:type="dxa"/>
          <w:left w:w="15" w:type="dxa"/>
          <w:bottom w:w="15" w:type="dxa"/>
          <w:right w:w="15" w:type="dxa"/>
        </w:tblCellMar>
      </w:tblPr>
      <w:tblGrid>
        <w:gridCol w:w="1656"/>
        <w:gridCol w:w="4905"/>
        <w:gridCol w:w="2790"/>
      </w:tblGrid>
      <w:tr w14:paraId="55BABA96">
        <w:tblPrEx>
          <w:tblCellMar>
            <w:top w:w="15" w:type="dxa"/>
            <w:left w:w="15" w:type="dxa"/>
            <w:bottom w:w="15" w:type="dxa"/>
            <w:right w:w="15" w:type="dxa"/>
          </w:tblCellMar>
        </w:tblPrEx>
        <w:trPr>
          <w:jc w:val="center"/>
        </w:trPr>
        <w:tc>
          <w:tcPr>
            <w:tcW w:w="1656" w:type="dxa"/>
            <w:tcBorders>
              <w:top w:val="single" w:color="000000" w:sz="6" w:space="0"/>
              <w:left w:val="single" w:color="000000" w:sz="6" w:space="0"/>
              <w:bottom w:val="single" w:color="000000" w:sz="6" w:space="0"/>
              <w:right w:val="single" w:color="000000" w:sz="6" w:space="0"/>
            </w:tcBorders>
            <w:shd w:val="clear" w:color="auto" w:fill="D3D3D3"/>
            <w:noWrap/>
            <w:tcMar>
              <w:top w:w="22" w:type="dxa"/>
              <w:left w:w="22" w:type="dxa"/>
              <w:bottom w:w="22" w:type="dxa"/>
              <w:right w:w="22" w:type="dxa"/>
            </w:tcMar>
            <w:vAlign w:val="center"/>
          </w:tcPr>
          <w:p w14:paraId="783B4854">
            <w:pPr>
              <w:jc w:val="center"/>
              <w:rPr>
                <w:rFonts w:hint="eastAsia" w:ascii="仿宋" w:hAnsi="仿宋" w:eastAsia="仿宋" w:cs="仿宋"/>
                <w:b/>
                <w:bCs/>
                <w:color w:val="auto"/>
                <w:szCs w:val="21"/>
                <w:highlight w:val="none"/>
              </w:rPr>
            </w:pPr>
            <w:bookmarkStart w:id="50" w:name="_Toc23622"/>
            <w:bookmarkStart w:id="51" w:name="_Toc10094"/>
            <w:bookmarkStart w:id="52" w:name="_Toc2564"/>
            <w:r>
              <w:rPr>
                <w:rFonts w:hint="eastAsia" w:ascii="仿宋" w:hAnsi="仿宋" w:eastAsia="仿宋" w:cs="仿宋"/>
                <w:b/>
                <w:bCs/>
                <w:color w:val="auto"/>
                <w:szCs w:val="21"/>
                <w:highlight w:val="none"/>
              </w:rPr>
              <w:t>付款名称</w:t>
            </w:r>
          </w:p>
        </w:tc>
        <w:tc>
          <w:tcPr>
            <w:tcW w:w="4905" w:type="dxa"/>
            <w:tcBorders>
              <w:top w:val="single" w:color="000000" w:sz="6" w:space="0"/>
              <w:left w:val="single" w:color="000000" w:sz="6" w:space="0"/>
              <w:bottom w:val="single" w:color="000000" w:sz="6" w:space="0"/>
              <w:right w:val="single" w:color="000000" w:sz="6" w:space="0"/>
            </w:tcBorders>
            <w:shd w:val="clear" w:color="auto" w:fill="D3D3D3"/>
            <w:noWrap/>
            <w:tcMar>
              <w:top w:w="22" w:type="dxa"/>
              <w:left w:w="22" w:type="dxa"/>
              <w:bottom w:w="22" w:type="dxa"/>
              <w:right w:w="22" w:type="dxa"/>
            </w:tcMar>
            <w:vAlign w:val="center"/>
          </w:tcPr>
          <w:p w14:paraId="78C70828">
            <w:pPr>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付款要求</w:t>
            </w:r>
          </w:p>
        </w:tc>
        <w:tc>
          <w:tcPr>
            <w:tcW w:w="2790" w:type="dxa"/>
            <w:tcBorders>
              <w:top w:val="single" w:color="000000" w:sz="6" w:space="0"/>
              <w:left w:val="single" w:color="000000" w:sz="6" w:space="0"/>
              <w:bottom w:val="single" w:color="000000" w:sz="6" w:space="0"/>
              <w:right w:val="single" w:color="000000" w:sz="6" w:space="0"/>
            </w:tcBorders>
            <w:shd w:val="clear" w:color="auto" w:fill="D3D3D3"/>
            <w:noWrap/>
            <w:tcMar>
              <w:top w:w="22" w:type="dxa"/>
              <w:left w:w="22" w:type="dxa"/>
              <w:bottom w:w="22" w:type="dxa"/>
              <w:right w:w="22" w:type="dxa"/>
            </w:tcMar>
            <w:vAlign w:val="center"/>
          </w:tcPr>
          <w:p w14:paraId="1FDCCFF1">
            <w:pPr>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付款比例</w:t>
            </w:r>
          </w:p>
        </w:tc>
      </w:tr>
      <w:tr w14:paraId="3C6AEB27">
        <w:tblPrEx>
          <w:tblCellMar>
            <w:top w:w="15" w:type="dxa"/>
            <w:left w:w="15" w:type="dxa"/>
            <w:bottom w:w="15" w:type="dxa"/>
            <w:right w:w="15" w:type="dxa"/>
          </w:tblCellMar>
        </w:tblPrEx>
        <w:trPr>
          <w:trHeight w:val="340" w:hRule="atLeast"/>
          <w:jc w:val="center"/>
        </w:trPr>
        <w:tc>
          <w:tcPr>
            <w:tcW w:w="1656"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29A9EAB8">
            <w:pPr>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第1次付款</w:t>
            </w:r>
          </w:p>
        </w:tc>
        <w:tc>
          <w:tcPr>
            <w:tcW w:w="4905" w:type="dxa"/>
            <w:vMerge w:val="restart"/>
            <w:tcBorders>
              <w:top w:val="single" w:color="000000" w:sz="6" w:space="0"/>
              <w:left w:val="single" w:color="000000" w:sz="6" w:space="0"/>
              <w:right w:val="single" w:color="000000" w:sz="6" w:space="0"/>
            </w:tcBorders>
            <w:noWrap/>
            <w:tcMar>
              <w:top w:w="22" w:type="dxa"/>
              <w:left w:w="22" w:type="dxa"/>
              <w:bottom w:w="22" w:type="dxa"/>
              <w:right w:w="22" w:type="dxa"/>
            </w:tcMar>
            <w:vAlign w:val="center"/>
          </w:tcPr>
          <w:p w14:paraId="1B41E490">
            <w:pP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1.根据考核结果据实结算。合同期内</w:t>
            </w:r>
            <w:r>
              <w:rPr>
                <w:rFonts w:hint="eastAsia" w:ascii="仿宋" w:hAnsi="仿宋" w:eastAsia="仿宋" w:cs="仿宋"/>
                <w:color w:val="auto"/>
                <w:sz w:val="18"/>
                <w:szCs w:val="18"/>
                <w:highlight w:val="none"/>
                <w:lang w:eastAsia="zh-CN"/>
              </w:rPr>
              <w:t>次月，</w:t>
            </w:r>
            <w:r>
              <w:rPr>
                <w:rFonts w:hint="eastAsia" w:ascii="仿宋" w:hAnsi="仿宋" w:eastAsia="仿宋" w:cs="仿宋"/>
                <w:color w:val="auto"/>
                <w:sz w:val="18"/>
                <w:szCs w:val="18"/>
                <w:highlight w:val="none"/>
              </w:rPr>
              <w:t>中标人须向采购人提供该支付周期内的支付凭证，采购人确认后于</w:t>
            </w:r>
            <w:r>
              <w:rPr>
                <w:rFonts w:hint="eastAsia" w:ascii="仿宋" w:hAnsi="仿宋" w:eastAsia="仿宋" w:cs="仿宋"/>
                <w:color w:val="auto"/>
                <w:sz w:val="18"/>
                <w:szCs w:val="18"/>
                <w:highlight w:val="none"/>
                <w:lang w:val="en-US" w:eastAsia="zh-CN"/>
              </w:rPr>
              <w:t>10个工作日内，</w:t>
            </w:r>
            <w:r>
              <w:rPr>
                <w:rFonts w:hint="eastAsia" w:ascii="仿宋" w:hAnsi="仿宋" w:eastAsia="仿宋" w:cs="仿宋"/>
                <w:color w:val="auto"/>
                <w:sz w:val="18"/>
                <w:szCs w:val="18"/>
                <w:highlight w:val="none"/>
              </w:rPr>
              <w:t>向中标人支付该周期</w:t>
            </w:r>
            <w:r>
              <w:rPr>
                <w:rFonts w:hint="eastAsia" w:ascii="仿宋" w:hAnsi="仿宋" w:eastAsia="仿宋" w:cs="仿宋"/>
                <w:color w:val="auto"/>
                <w:sz w:val="18"/>
                <w:szCs w:val="18"/>
                <w:highlight w:val="none"/>
                <w:lang w:eastAsia="zh-CN"/>
              </w:rPr>
              <w:t>实际结算</w:t>
            </w:r>
            <w:r>
              <w:rPr>
                <w:rFonts w:hint="eastAsia" w:ascii="仿宋" w:hAnsi="仿宋" w:eastAsia="仿宋" w:cs="仿宋"/>
                <w:color w:val="auto"/>
                <w:sz w:val="18"/>
                <w:szCs w:val="18"/>
                <w:highlight w:val="none"/>
              </w:rPr>
              <w:t>的服务费，因中标人自身原因未按时支付工资的应承担相应法律责任。</w:t>
            </w:r>
          </w:p>
          <w:p w14:paraId="40AB6A37">
            <w:pP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2.付款前，中标人须向采购人出具合法有效完整的增值税发票</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《月度项目验收书》</w:t>
            </w:r>
            <w:r>
              <w:rPr>
                <w:rFonts w:hint="eastAsia" w:ascii="仿宋" w:hAnsi="仿宋" w:eastAsia="仿宋" w:cs="仿宋"/>
                <w:color w:val="auto"/>
                <w:sz w:val="18"/>
                <w:szCs w:val="18"/>
                <w:highlight w:val="none"/>
              </w:rPr>
              <w:t>及凭证资料后进行支付结算，付款方式均采用公对公的银行转账，采购人接受转账的开户信息以合同载明的为准。如因中标人未按照要求提供合法有效的发票导致逾期付款的，不视为采购人违约，采购人不承担任何责任。</w:t>
            </w:r>
          </w:p>
          <w:p w14:paraId="02749C1E">
            <w:pP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注：付款日期和进度可以根据项目实际情况进行调整。</w:t>
            </w:r>
          </w:p>
        </w:tc>
        <w:tc>
          <w:tcPr>
            <w:tcW w:w="2790"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51182F34">
            <w:pP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根据考核结果据实结算</w:t>
            </w:r>
          </w:p>
        </w:tc>
      </w:tr>
      <w:tr w14:paraId="51911EB5">
        <w:tblPrEx>
          <w:tblCellMar>
            <w:top w:w="15" w:type="dxa"/>
            <w:left w:w="15" w:type="dxa"/>
            <w:bottom w:w="15" w:type="dxa"/>
            <w:right w:w="15" w:type="dxa"/>
          </w:tblCellMar>
        </w:tblPrEx>
        <w:trPr>
          <w:trHeight w:val="340" w:hRule="atLeast"/>
          <w:jc w:val="center"/>
        </w:trPr>
        <w:tc>
          <w:tcPr>
            <w:tcW w:w="1656"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207156D3">
            <w:pPr>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第2次付款</w:t>
            </w:r>
          </w:p>
        </w:tc>
        <w:tc>
          <w:tcPr>
            <w:tcW w:w="4905" w:type="dxa"/>
            <w:vMerge w:val="continue"/>
            <w:tcBorders>
              <w:left w:val="single" w:color="000000" w:sz="6" w:space="0"/>
              <w:right w:val="single" w:color="000000" w:sz="6" w:space="0"/>
            </w:tcBorders>
            <w:noWrap/>
            <w:tcMar>
              <w:top w:w="22" w:type="dxa"/>
              <w:left w:w="22" w:type="dxa"/>
              <w:bottom w:w="22" w:type="dxa"/>
              <w:right w:w="22" w:type="dxa"/>
            </w:tcMar>
            <w:vAlign w:val="center"/>
          </w:tcPr>
          <w:p w14:paraId="6C58A0CF">
            <w:pPr>
              <w:jc w:val="center"/>
              <w:rPr>
                <w:rFonts w:hint="eastAsia" w:ascii="仿宋" w:hAnsi="仿宋" w:eastAsia="仿宋" w:cs="仿宋"/>
                <w:color w:val="auto"/>
                <w:sz w:val="18"/>
                <w:szCs w:val="18"/>
                <w:highlight w:val="none"/>
              </w:rPr>
            </w:pPr>
          </w:p>
        </w:tc>
        <w:tc>
          <w:tcPr>
            <w:tcW w:w="2790"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1A20C2B8">
            <w:pP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根据考核结果据实结算</w:t>
            </w:r>
          </w:p>
        </w:tc>
      </w:tr>
      <w:tr w14:paraId="34BC69DA">
        <w:tblPrEx>
          <w:tblCellMar>
            <w:top w:w="15" w:type="dxa"/>
            <w:left w:w="15" w:type="dxa"/>
            <w:bottom w:w="15" w:type="dxa"/>
            <w:right w:w="15" w:type="dxa"/>
          </w:tblCellMar>
        </w:tblPrEx>
        <w:trPr>
          <w:trHeight w:val="340" w:hRule="atLeast"/>
          <w:jc w:val="center"/>
        </w:trPr>
        <w:tc>
          <w:tcPr>
            <w:tcW w:w="1656"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763DF55F">
            <w:pPr>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第3次付款</w:t>
            </w:r>
          </w:p>
        </w:tc>
        <w:tc>
          <w:tcPr>
            <w:tcW w:w="4905" w:type="dxa"/>
            <w:vMerge w:val="continue"/>
            <w:tcBorders>
              <w:left w:val="single" w:color="000000" w:sz="6" w:space="0"/>
              <w:right w:val="single" w:color="000000" w:sz="6" w:space="0"/>
            </w:tcBorders>
            <w:noWrap/>
            <w:tcMar>
              <w:top w:w="22" w:type="dxa"/>
              <w:left w:w="22" w:type="dxa"/>
              <w:bottom w:w="22" w:type="dxa"/>
              <w:right w:w="22" w:type="dxa"/>
            </w:tcMar>
            <w:vAlign w:val="center"/>
          </w:tcPr>
          <w:p w14:paraId="7EC5CAD9">
            <w:pPr>
              <w:jc w:val="center"/>
              <w:rPr>
                <w:rFonts w:hint="eastAsia" w:ascii="仿宋" w:hAnsi="仿宋" w:eastAsia="仿宋" w:cs="仿宋"/>
                <w:color w:val="auto"/>
                <w:sz w:val="18"/>
                <w:szCs w:val="18"/>
                <w:highlight w:val="none"/>
              </w:rPr>
            </w:pPr>
          </w:p>
        </w:tc>
        <w:tc>
          <w:tcPr>
            <w:tcW w:w="2790"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3233DEF4">
            <w:pP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根据考核结果据实结算</w:t>
            </w:r>
          </w:p>
        </w:tc>
      </w:tr>
      <w:tr w14:paraId="575824BC">
        <w:tblPrEx>
          <w:tblCellMar>
            <w:top w:w="15" w:type="dxa"/>
            <w:left w:w="15" w:type="dxa"/>
            <w:bottom w:w="15" w:type="dxa"/>
            <w:right w:w="15" w:type="dxa"/>
          </w:tblCellMar>
        </w:tblPrEx>
        <w:trPr>
          <w:trHeight w:val="340" w:hRule="atLeast"/>
          <w:jc w:val="center"/>
        </w:trPr>
        <w:tc>
          <w:tcPr>
            <w:tcW w:w="1656"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5502838F">
            <w:pPr>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第4次付款</w:t>
            </w:r>
          </w:p>
        </w:tc>
        <w:tc>
          <w:tcPr>
            <w:tcW w:w="4905" w:type="dxa"/>
            <w:vMerge w:val="continue"/>
            <w:tcBorders>
              <w:left w:val="single" w:color="000000" w:sz="6" w:space="0"/>
              <w:right w:val="single" w:color="000000" w:sz="6" w:space="0"/>
            </w:tcBorders>
            <w:noWrap/>
            <w:tcMar>
              <w:top w:w="22" w:type="dxa"/>
              <w:left w:w="22" w:type="dxa"/>
              <w:bottom w:w="22" w:type="dxa"/>
              <w:right w:w="22" w:type="dxa"/>
            </w:tcMar>
            <w:vAlign w:val="center"/>
          </w:tcPr>
          <w:p w14:paraId="2F118B66">
            <w:pPr>
              <w:jc w:val="center"/>
              <w:rPr>
                <w:rFonts w:hint="eastAsia" w:ascii="仿宋" w:hAnsi="仿宋" w:eastAsia="仿宋" w:cs="仿宋"/>
                <w:color w:val="auto"/>
                <w:sz w:val="18"/>
                <w:szCs w:val="18"/>
                <w:highlight w:val="none"/>
              </w:rPr>
            </w:pPr>
          </w:p>
        </w:tc>
        <w:tc>
          <w:tcPr>
            <w:tcW w:w="2790"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305C77E9">
            <w:pP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根据考核结果据实结算</w:t>
            </w:r>
          </w:p>
        </w:tc>
      </w:tr>
      <w:tr w14:paraId="768D178A">
        <w:tblPrEx>
          <w:tblCellMar>
            <w:top w:w="15" w:type="dxa"/>
            <w:left w:w="15" w:type="dxa"/>
            <w:bottom w:w="15" w:type="dxa"/>
            <w:right w:w="15" w:type="dxa"/>
          </w:tblCellMar>
        </w:tblPrEx>
        <w:trPr>
          <w:trHeight w:val="340" w:hRule="atLeast"/>
          <w:jc w:val="center"/>
        </w:trPr>
        <w:tc>
          <w:tcPr>
            <w:tcW w:w="1656"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165B9380">
            <w:pPr>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第5次付款</w:t>
            </w:r>
          </w:p>
        </w:tc>
        <w:tc>
          <w:tcPr>
            <w:tcW w:w="4905" w:type="dxa"/>
            <w:vMerge w:val="continue"/>
            <w:tcBorders>
              <w:left w:val="single" w:color="000000" w:sz="6" w:space="0"/>
              <w:right w:val="single" w:color="000000" w:sz="6" w:space="0"/>
            </w:tcBorders>
            <w:noWrap/>
            <w:tcMar>
              <w:top w:w="22" w:type="dxa"/>
              <w:left w:w="22" w:type="dxa"/>
              <w:bottom w:w="22" w:type="dxa"/>
              <w:right w:w="22" w:type="dxa"/>
            </w:tcMar>
            <w:vAlign w:val="center"/>
          </w:tcPr>
          <w:p w14:paraId="05765EB1">
            <w:pPr>
              <w:jc w:val="center"/>
              <w:rPr>
                <w:rFonts w:hint="eastAsia" w:ascii="仿宋" w:hAnsi="仿宋" w:eastAsia="仿宋" w:cs="仿宋"/>
                <w:color w:val="auto"/>
                <w:sz w:val="18"/>
                <w:szCs w:val="18"/>
                <w:highlight w:val="none"/>
              </w:rPr>
            </w:pPr>
          </w:p>
        </w:tc>
        <w:tc>
          <w:tcPr>
            <w:tcW w:w="2790"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468943EB">
            <w:pP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根据考核结果据实结算</w:t>
            </w:r>
          </w:p>
        </w:tc>
      </w:tr>
      <w:tr w14:paraId="753A3D0B">
        <w:tblPrEx>
          <w:tblCellMar>
            <w:top w:w="15" w:type="dxa"/>
            <w:left w:w="15" w:type="dxa"/>
            <w:bottom w:w="15" w:type="dxa"/>
            <w:right w:w="15" w:type="dxa"/>
          </w:tblCellMar>
        </w:tblPrEx>
        <w:trPr>
          <w:trHeight w:val="340" w:hRule="atLeast"/>
          <w:jc w:val="center"/>
        </w:trPr>
        <w:tc>
          <w:tcPr>
            <w:tcW w:w="1656"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31DD44D5">
            <w:pPr>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第6次付款</w:t>
            </w:r>
          </w:p>
        </w:tc>
        <w:tc>
          <w:tcPr>
            <w:tcW w:w="4905" w:type="dxa"/>
            <w:vMerge w:val="continue"/>
            <w:tcBorders>
              <w:left w:val="single" w:color="000000" w:sz="6" w:space="0"/>
              <w:right w:val="single" w:color="000000" w:sz="6" w:space="0"/>
            </w:tcBorders>
            <w:noWrap/>
            <w:tcMar>
              <w:top w:w="22" w:type="dxa"/>
              <w:left w:w="22" w:type="dxa"/>
              <w:bottom w:w="22" w:type="dxa"/>
              <w:right w:w="22" w:type="dxa"/>
            </w:tcMar>
            <w:vAlign w:val="center"/>
          </w:tcPr>
          <w:p w14:paraId="662687A1">
            <w:pPr>
              <w:jc w:val="center"/>
              <w:rPr>
                <w:rFonts w:hint="eastAsia" w:ascii="仿宋" w:hAnsi="仿宋" w:eastAsia="仿宋" w:cs="仿宋"/>
                <w:color w:val="auto"/>
                <w:sz w:val="18"/>
                <w:szCs w:val="18"/>
                <w:highlight w:val="none"/>
              </w:rPr>
            </w:pPr>
          </w:p>
        </w:tc>
        <w:tc>
          <w:tcPr>
            <w:tcW w:w="2790"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54B63F15">
            <w:pP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根据考核结果据实结算</w:t>
            </w:r>
          </w:p>
        </w:tc>
      </w:tr>
      <w:tr w14:paraId="5DCCCFF9">
        <w:tblPrEx>
          <w:tblCellMar>
            <w:top w:w="15" w:type="dxa"/>
            <w:left w:w="15" w:type="dxa"/>
            <w:bottom w:w="15" w:type="dxa"/>
            <w:right w:w="15" w:type="dxa"/>
          </w:tblCellMar>
        </w:tblPrEx>
        <w:trPr>
          <w:trHeight w:val="340" w:hRule="atLeast"/>
          <w:jc w:val="center"/>
        </w:trPr>
        <w:tc>
          <w:tcPr>
            <w:tcW w:w="1656"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6F7546B1">
            <w:pPr>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第7次付款</w:t>
            </w:r>
          </w:p>
        </w:tc>
        <w:tc>
          <w:tcPr>
            <w:tcW w:w="4905" w:type="dxa"/>
            <w:vMerge w:val="continue"/>
            <w:tcBorders>
              <w:left w:val="single" w:color="000000" w:sz="6" w:space="0"/>
              <w:right w:val="single" w:color="000000" w:sz="6" w:space="0"/>
            </w:tcBorders>
            <w:noWrap/>
            <w:tcMar>
              <w:top w:w="22" w:type="dxa"/>
              <w:left w:w="22" w:type="dxa"/>
              <w:bottom w:w="22" w:type="dxa"/>
              <w:right w:w="22" w:type="dxa"/>
            </w:tcMar>
            <w:vAlign w:val="center"/>
          </w:tcPr>
          <w:p w14:paraId="1A11F3EC">
            <w:pPr>
              <w:jc w:val="center"/>
              <w:rPr>
                <w:rFonts w:hint="eastAsia" w:ascii="仿宋" w:hAnsi="仿宋" w:eastAsia="仿宋" w:cs="仿宋"/>
                <w:color w:val="auto"/>
                <w:sz w:val="18"/>
                <w:szCs w:val="18"/>
                <w:highlight w:val="none"/>
              </w:rPr>
            </w:pPr>
          </w:p>
        </w:tc>
        <w:tc>
          <w:tcPr>
            <w:tcW w:w="2790"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62A55F71">
            <w:pP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根据考核结果据实结算</w:t>
            </w:r>
          </w:p>
        </w:tc>
      </w:tr>
      <w:tr w14:paraId="54CA7745">
        <w:tblPrEx>
          <w:tblCellMar>
            <w:top w:w="15" w:type="dxa"/>
            <w:left w:w="15" w:type="dxa"/>
            <w:bottom w:w="15" w:type="dxa"/>
            <w:right w:w="15" w:type="dxa"/>
          </w:tblCellMar>
        </w:tblPrEx>
        <w:trPr>
          <w:trHeight w:val="340" w:hRule="atLeast"/>
          <w:jc w:val="center"/>
        </w:trPr>
        <w:tc>
          <w:tcPr>
            <w:tcW w:w="1656"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4781439C">
            <w:pPr>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第8次付款</w:t>
            </w:r>
          </w:p>
        </w:tc>
        <w:tc>
          <w:tcPr>
            <w:tcW w:w="4905" w:type="dxa"/>
            <w:vMerge w:val="continue"/>
            <w:tcBorders>
              <w:left w:val="single" w:color="000000" w:sz="6" w:space="0"/>
              <w:right w:val="single" w:color="000000" w:sz="6" w:space="0"/>
            </w:tcBorders>
            <w:noWrap/>
            <w:tcMar>
              <w:top w:w="22" w:type="dxa"/>
              <w:left w:w="22" w:type="dxa"/>
              <w:bottom w:w="22" w:type="dxa"/>
              <w:right w:w="22" w:type="dxa"/>
            </w:tcMar>
            <w:vAlign w:val="center"/>
          </w:tcPr>
          <w:p w14:paraId="377B23EE">
            <w:pPr>
              <w:jc w:val="center"/>
              <w:rPr>
                <w:rFonts w:hint="eastAsia" w:ascii="仿宋" w:hAnsi="仿宋" w:eastAsia="仿宋" w:cs="仿宋"/>
                <w:color w:val="auto"/>
                <w:sz w:val="18"/>
                <w:szCs w:val="18"/>
                <w:highlight w:val="none"/>
              </w:rPr>
            </w:pPr>
          </w:p>
        </w:tc>
        <w:tc>
          <w:tcPr>
            <w:tcW w:w="2790"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6644D61C">
            <w:pP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根据考核结果据实结算</w:t>
            </w:r>
          </w:p>
        </w:tc>
      </w:tr>
      <w:tr w14:paraId="0FAB9953">
        <w:tblPrEx>
          <w:tblCellMar>
            <w:top w:w="15" w:type="dxa"/>
            <w:left w:w="15" w:type="dxa"/>
            <w:bottom w:w="15" w:type="dxa"/>
            <w:right w:w="15" w:type="dxa"/>
          </w:tblCellMar>
        </w:tblPrEx>
        <w:trPr>
          <w:trHeight w:val="340" w:hRule="atLeast"/>
          <w:jc w:val="center"/>
        </w:trPr>
        <w:tc>
          <w:tcPr>
            <w:tcW w:w="1656"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617D9979">
            <w:pPr>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第9次付款</w:t>
            </w:r>
          </w:p>
        </w:tc>
        <w:tc>
          <w:tcPr>
            <w:tcW w:w="4905" w:type="dxa"/>
            <w:vMerge w:val="continue"/>
            <w:tcBorders>
              <w:left w:val="single" w:color="000000" w:sz="6" w:space="0"/>
              <w:right w:val="single" w:color="000000" w:sz="6" w:space="0"/>
            </w:tcBorders>
            <w:noWrap/>
            <w:tcMar>
              <w:top w:w="22" w:type="dxa"/>
              <w:left w:w="22" w:type="dxa"/>
              <w:bottom w:w="22" w:type="dxa"/>
              <w:right w:w="22" w:type="dxa"/>
            </w:tcMar>
            <w:vAlign w:val="center"/>
          </w:tcPr>
          <w:p w14:paraId="5B6E9D85">
            <w:pPr>
              <w:jc w:val="center"/>
              <w:rPr>
                <w:rFonts w:hint="eastAsia" w:ascii="仿宋" w:hAnsi="仿宋" w:eastAsia="仿宋" w:cs="仿宋"/>
                <w:color w:val="auto"/>
                <w:sz w:val="18"/>
                <w:szCs w:val="18"/>
                <w:highlight w:val="none"/>
              </w:rPr>
            </w:pPr>
          </w:p>
        </w:tc>
        <w:tc>
          <w:tcPr>
            <w:tcW w:w="2790"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0C41828D">
            <w:pP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根据考核结果据实结算</w:t>
            </w:r>
          </w:p>
        </w:tc>
      </w:tr>
      <w:tr w14:paraId="48B0279E">
        <w:tblPrEx>
          <w:tblCellMar>
            <w:top w:w="15" w:type="dxa"/>
            <w:left w:w="15" w:type="dxa"/>
            <w:bottom w:w="15" w:type="dxa"/>
            <w:right w:w="15" w:type="dxa"/>
          </w:tblCellMar>
        </w:tblPrEx>
        <w:trPr>
          <w:trHeight w:val="340" w:hRule="atLeast"/>
          <w:jc w:val="center"/>
        </w:trPr>
        <w:tc>
          <w:tcPr>
            <w:tcW w:w="1656"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1897D302">
            <w:pPr>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第10次付款</w:t>
            </w:r>
          </w:p>
        </w:tc>
        <w:tc>
          <w:tcPr>
            <w:tcW w:w="4905" w:type="dxa"/>
            <w:vMerge w:val="continue"/>
            <w:tcBorders>
              <w:left w:val="single" w:color="000000" w:sz="6" w:space="0"/>
              <w:right w:val="single" w:color="000000" w:sz="6" w:space="0"/>
            </w:tcBorders>
            <w:noWrap/>
            <w:tcMar>
              <w:top w:w="22" w:type="dxa"/>
              <w:left w:w="22" w:type="dxa"/>
              <w:bottom w:w="22" w:type="dxa"/>
              <w:right w:w="22" w:type="dxa"/>
            </w:tcMar>
            <w:vAlign w:val="center"/>
          </w:tcPr>
          <w:p w14:paraId="0E09B028">
            <w:pPr>
              <w:jc w:val="center"/>
              <w:rPr>
                <w:rFonts w:hint="eastAsia" w:ascii="仿宋" w:hAnsi="仿宋" w:eastAsia="仿宋" w:cs="仿宋"/>
                <w:color w:val="auto"/>
                <w:sz w:val="18"/>
                <w:szCs w:val="18"/>
                <w:highlight w:val="none"/>
              </w:rPr>
            </w:pPr>
          </w:p>
        </w:tc>
        <w:tc>
          <w:tcPr>
            <w:tcW w:w="2790"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497F55A3">
            <w:pP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根据考核结果据实结算</w:t>
            </w:r>
          </w:p>
        </w:tc>
      </w:tr>
      <w:tr w14:paraId="514F110C">
        <w:tblPrEx>
          <w:tblCellMar>
            <w:top w:w="15" w:type="dxa"/>
            <w:left w:w="15" w:type="dxa"/>
            <w:bottom w:w="15" w:type="dxa"/>
            <w:right w:w="15" w:type="dxa"/>
          </w:tblCellMar>
        </w:tblPrEx>
        <w:trPr>
          <w:trHeight w:val="340" w:hRule="atLeast"/>
          <w:jc w:val="center"/>
        </w:trPr>
        <w:tc>
          <w:tcPr>
            <w:tcW w:w="1656"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76F53DDC">
            <w:pPr>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第11次付款</w:t>
            </w:r>
          </w:p>
        </w:tc>
        <w:tc>
          <w:tcPr>
            <w:tcW w:w="4905" w:type="dxa"/>
            <w:vMerge w:val="continue"/>
            <w:tcBorders>
              <w:left w:val="single" w:color="000000" w:sz="6" w:space="0"/>
              <w:right w:val="single" w:color="000000" w:sz="6" w:space="0"/>
            </w:tcBorders>
            <w:noWrap/>
            <w:tcMar>
              <w:top w:w="22" w:type="dxa"/>
              <w:left w:w="22" w:type="dxa"/>
              <w:bottom w:w="22" w:type="dxa"/>
              <w:right w:w="22" w:type="dxa"/>
            </w:tcMar>
            <w:vAlign w:val="center"/>
          </w:tcPr>
          <w:p w14:paraId="55EFBC5A">
            <w:pPr>
              <w:jc w:val="center"/>
              <w:rPr>
                <w:rFonts w:hint="eastAsia" w:ascii="仿宋" w:hAnsi="仿宋" w:eastAsia="仿宋" w:cs="仿宋"/>
                <w:color w:val="auto"/>
                <w:sz w:val="18"/>
                <w:szCs w:val="18"/>
                <w:highlight w:val="none"/>
              </w:rPr>
            </w:pPr>
          </w:p>
        </w:tc>
        <w:tc>
          <w:tcPr>
            <w:tcW w:w="2790"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2F43F452">
            <w:pP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根据考核结果据实结算</w:t>
            </w:r>
          </w:p>
        </w:tc>
      </w:tr>
      <w:tr w14:paraId="7D1A5C35">
        <w:tblPrEx>
          <w:tblCellMar>
            <w:top w:w="15" w:type="dxa"/>
            <w:left w:w="15" w:type="dxa"/>
            <w:bottom w:w="15" w:type="dxa"/>
            <w:right w:w="15" w:type="dxa"/>
          </w:tblCellMar>
        </w:tblPrEx>
        <w:trPr>
          <w:trHeight w:val="340" w:hRule="atLeast"/>
          <w:jc w:val="center"/>
        </w:trPr>
        <w:tc>
          <w:tcPr>
            <w:tcW w:w="1656"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4ECE9756">
            <w:pPr>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第12次付款</w:t>
            </w:r>
          </w:p>
        </w:tc>
        <w:tc>
          <w:tcPr>
            <w:tcW w:w="4905" w:type="dxa"/>
            <w:vMerge w:val="continue"/>
            <w:tcBorders>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1EBAFF24">
            <w:pPr>
              <w:jc w:val="center"/>
              <w:rPr>
                <w:rFonts w:hint="eastAsia" w:ascii="仿宋" w:hAnsi="仿宋" w:eastAsia="仿宋" w:cs="仿宋"/>
                <w:color w:val="auto"/>
                <w:sz w:val="18"/>
                <w:szCs w:val="18"/>
                <w:highlight w:val="none"/>
              </w:rPr>
            </w:pPr>
          </w:p>
        </w:tc>
        <w:tc>
          <w:tcPr>
            <w:tcW w:w="2790"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14:paraId="3F5B7839">
            <w:pP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根据考核结果据实结算</w:t>
            </w:r>
          </w:p>
        </w:tc>
      </w:tr>
    </w:tbl>
    <w:p w14:paraId="3156B0FC">
      <w:pPr>
        <w:pStyle w:val="8"/>
        <w:keepNext w:val="0"/>
        <w:keepLines w:val="0"/>
        <w:pageBreakBefore w:val="0"/>
        <w:widowControl w:val="0"/>
        <w:numPr>
          <w:ilvl w:val="3"/>
          <w:numId w:val="0"/>
        </w:numPr>
        <w:kinsoku/>
        <w:wordWrap w:val="0"/>
        <w:overflowPunct/>
        <w:topLinePunct/>
        <w:autoSpaceDE/>
        <w:autoSpaceDN/>
        <w:bidi w:val="0"/>
        <w:adjustRightInd w:val="0"/>
        <w:snapToGrid w:val="0"/>
        <w:spacing w:line="500" w:lineRule="exact"/>
        <w:ind w:firstLine="482" w:firstLineChars="200"/>
        <w:textAlignment w:val="auto"/>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（三）</w:t>
      </w:r>
      <w:bookmarkEnd w:id="50"/>
      <w:bookmarkEnd w:id="51"/>
      <w:bookmarkEnd w:id="52"/>
      <w:r>
        <w:rPr>
          <w:rFonts w:hint="eastAsia" w:ascii="仿宋" w:hAnsi="仿宋" w:eastAsia="仿宋" w:cs="仿宋"/>
          <w:b/>
          <w:bCs/>
          <w:color w:val="auto"/>
          <w:highlight w:val="none"/>
          <w:lang w:val="en-US" w:eastAsia="zh-CN"/>
        </w:rPr>
        <w:t>履约验收</w:t>
      </w:r>
    </w:p>
    <w:p w14:paraId="6963A4E8">
      <w:pPr>
        <w:pStyle w:val="8"/>
        <w:keepNext w:val="0"/>
        <w:keepLines w:val="0"/>
        <w:pageBreakBefore w:val="0"/>
        <w:widowControl w:val="0"/>
        <w:numPr>
          <w:ilvl w:val="3"/>
          <w:numId w:val="0"/>
        </w:numPr>
        <w:kinsoku/>
        <w:wordWrap w:val="0"/>
        <w:overflowPunct/>
        <w:topLinePunct/>
        <w:autoSpaceDE/>
        <w:autoSpaceDN/>
        <w:bidi w:val="0"/>
        <w:adjustRightInd w:val="0"/>
        <w:snapToGrid w:val="0"/>
        <w:spacing w:line="50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履约验收主体：采购人。</w:t>
      </w:r>
    </w:p>
    <w:p w14:paraId="664122B1">
      <w:pPr>
        <w:pStyle w:val="8"/>
        <w:keepNext w:val="0"/>
        <w:keepLines w:val="0"/>
        <w:pageBreakBefore w:val="0"/>
        <w:widowControl w:val="0"/>
        <w:numPr>
          <w:ilvl w:val="3"/>
          <w:numId w:val="0"/>
        </w:numPr>
        <w:kinsoku/>
        <w:wordWrap w:val="0"/>
        <w:overflowPunct/>
        <w:topLinePunct/>
        <w:autoSpaceDE/>
        <w:autoSpaceDN/>
        <w:bidi w:val="0"/>
        <w:adjustRightInd w:val="0"/>
        <w:snapToGrid w:val="0"/>
        <w:spacing w:line="50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履约验收时间：</w:t>
      </w:r>
    </w:p>
    <w:p w14:paraId="3A2D0C0D">
      <w:pPr>
        <w:pStyle w:val="8"/>
        <w:keepNext w:val="0"/>
        <w:keepLines w:val="0"/>
        <w:pageBreakBefore w:val="0"/>
        <w:widowControl w:val="0"/>
        <w:numPr>
          <w:ilvl w:val="3"/>
          <w:numId w:val="0"/>
        </w:numPr>
        <w:kinsoku/>
        <w:wordWrap w:val="0"/>
        <w:overflowPunct/>
        <w:topLinePunct/>
        <w:autoSpaceDE/>
        <w:autoSpaceDN/>
        <w:bidi w:val="0"/>
        <w:adjustRightInd w:val="0"/>
        <w:snapToGrid w:val="0"/>
        <w:spacing w:line="500" w:lineRule="exact"/>
        <w:ind w:firstLine="480" w:firstLineChars="200"/>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（1）初步验收：月度验收，次月根据上一月考核情况进行验收，月度考核得分≥85分视为月度验收合格，签署《</w:t>
      </w:r>
      <w:r>
        <w:rPr>
          <w:rFonts w:hint="eastAsia"/>
          <w:color w:val="auto"/>
          <w:highlight w:val="none"/>
          <w:lang w:val="en-US" w:eastAsia="zh-CN"/>
        </w:rPr>
        <w:t>月度</w:t>
      </w:r>
      <w:r>
        <w:rPr>
          <w:rFonts w:hint="eastAsia" w:ascii="仿宋" w:hAnsi="仿宋" w:eastAsia="仿宋" w:cs="仿宋"/>
          <w:color w:val="auto"/>
          <w:highlight w:val="none"/>
          <w:lang w:val="en-US" w:eastAsia="zh-CN"/>
        </w:rPr>
        <w:t>项目验收书》，并按合同标准支付服务款项；84分≥月度考核得分≥60分，按照考核方式扣减当月服务费，月度考核得分＜60分，中标人应当成立专项整改小组，针对相关扣分项进行分析，在1月内总结出整改措施交采购人审查；采购人在此期间安排专人严格监督并记录中标人的整改情况，若中标人在此期间不予配合，视为验收不合格，采购人有权单方面终止合同</w:t>
      </w:r>
      <w:r>
        <w:rPr>
          <w:rFonts w:hint="eastAsia" w:ascii="仿宋" w:hAnsi="仿宋" w:eastAsia="仿宋" w:cs="仿宋"/>
          <w:color w:val="auto"/>
          <w:highlight w:val="none"/>
          <w:lang w:eastAsia="zh-CN"/>
        </w:rPr>
        <w:t>。</w:t>
      </w:r>
    </w:p>
    <w:p w14:paraId="5467D78E">
      <w:pPr>
        <w:pStyle w:val="8"/>
        <w:keepNext w:val="0"/>
        <w:keepLines w:val="0"/>
        <w:pageBreakBefore w:val="0"/>
        <w:widowControl w:val="0"/>
        <w:numPr>
          <w:ilvl w:val="3"/>
          <w:numId w:val="0"/>
        </w:numPr>
        <w:kinsoku/>
        <w:wordWrap w:val="0"/>
        <w:overflowPunct/>
        <w:topLinePunct/>
        <w:autoSpaceDE/>
        <w:autoSpaceDN/>
        <w:bidi w:val="0"/>
        <w:adjustRightInd w:val="0"/>
        <w:snapToGrid w:val="0"/>
        <w:spacing w:line="50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2）最终年度验收：根据当年12个月度考核情况进行验收，最终年度验收合格签署《项目验收书》，最终年度验收合格标准为：12个月度考核平均分≥80分以上。12个月度考核平均分＜80，中标人应进行整改，整改合格方可续签下一年合同，若整改两次均不合格，采购人有权终止合同，并要求中标人进行赔偿</w:t>
      </w:r>
      <w:r>
        <w:rPr>
          <w:rFonts w:hint="eastAsia" w:ascii="仿宋" w:hAnsi="仿宋" w:eastAsia="仿宋" w:cs="仿宋"/>
          <w:color w:val="auto"/>
          <w:highlight w:val="none"/>
        </w:rPr>
        <w:t>。</w:t>
      </w:r>
    </w:p>
    <w:p w14:paraId="2705BF8E">
      <w:pPr>
        <w:pStyle w:val="8"/>
        <w:keepNext w:val="0"/>
        <w:keepLines w:val="0"/>
        <w:pageBreakBefore w:val="0"/>
        <w:widowControl w:val="0"/>
        <w:numPr>
          <w:ilvl w:val="3"/>
          <w:numId w:val="0"/>
        </w:numPr>
        <w:kinsoku/>
        <w:wordWrap w:val="0"/>
        <w:overflowPunct/>
        <w:topLinePunct/>
        <w:autoSpaceDE/>
        <w:autoSpaceDN/>
        <w:bidi w:val="0"/>
        <w:adjustRightInd w:val="0"/>
        <w:snapToGrid w:val="0"/>
        <w:spacing w:line="50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验收组织方式：采购人自行验收。</w:t>
      </w:r>
    </w:p>
    <w:p w14:paraId="51D9D144">
      <w:pPr>
        <w:pStyle w:val="8"/>
        <w:keepNext w:val="0"/>
        <w:keepLines w:val="0"/>
        <w:pageBreakBefore w:val="0"/>
        <w:widowControl w:val="0"/>
        <w:numPr>
          <w:ilvl w:val="3"/>
          <w:numId w:val="0"/>
        </w:numPr>
        <w:kinsoku/>
        <w:wordWrap w:val="0"/>
        <w:overflowPunct/>
        <w:topLinePunct/>
        <w:autoSpaceDE/>
        <w:autoSpaceDN/>
        <w:bidi w:val="0"/>
        <w:adjustRightInd w:val="0"/>
        <w:snapToGrid w:val="0"/>
        <w:spacing w:line="50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履约验收程序：分期验收。</w:t>
      </w:r>
    </w:p>
    <w:p w14:paraId="47C686EF">
      <w:pPr>
        <w:pStyle w:val="8"/>
        <w:keepNext w:val="0"/>
        <w:keepLines w:val="0"/>
        <w:pageBreakBefore w:val="0"/>
        <w:widowControl w:val="0"/>
        <w:numPr>
          <w:ilvl w:val="3"/>
          <w:numId w:val="0"/>
        </w:numPr>
        <w:kinsoku/>
        <w:wordWrap w:val="0"/>
        <w:overflowPunct/>
        <w:topLinePunct/>
        <w:autoSpaceDE/>
        <w:autoSpaceDN/>
        <w:bidi w:val="0"/>
        <w:adjustRightInd w:val="0"/>
        <w:snapToGrid w:val="0"/>
        <w:spacing w:line="50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技术履约验收内容：按照本项目采购文件中“服务内容及要求”及中标人投标文件进行验收。</w:t>
      </w:r>
    </w:p>
    <w:p w14:paraId="7FE34283">
      <w:pPr>
        <w:pStyle w:val="8"/>
        <w:keepNext w:val="0"/>
        <w:keepLines w:val="0"/>
        <w:pageBreakBefore w:val="0"/>
        <w:widowControl w:val="0"/>
        <w:numPr>
          <w:ilvl w:val="3"/>
          <w:numId w:val="0"/>
        </w:numPr>
        <w:kinsoku/>
        <w:wordWrap w:val="0"/>
        <w:overflowPunct/>
        <w:topLinePunct/>
        <w:autoSpaceDE/>
        <w:autoSpaceDN/>
        <w:bidi w:val="0"/>
        <w:adjustRightInd w:val="0"/>
        <w:snapToGrid w:val="0"/>
        <w:spacing w:line="50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商务履约验收内容：按照本项目采购文件中“商务要求”及中标人响应文件进行验收。</w:t>
      </w:r>
    </w:p>
    <w:p w14:paraId="79085403">
      <w:pPr>
        <w:pStyle w:val="8"/>
        <w:keepNext w:val="0"/>
        <w:keepLines w:val="0"/>
        <w:pageBreakBefore w:val="0"/>
        <w:widowControl w:val="0"/>
        <w:numPr>
          <w:ilvl w:val="3"/>
          <w:numId w:val="0"/>
        </w:numPr>
        <w:kinsoku/>
        <w:wordWrap w:val="0"/>
        <w:overflowPunct/>
        <w:topLinePunct/>
        <w:autoSpaceDE/>
        <w:autoSpaceDN/>
        <w:bidi w:val="0"/>
        <w:adjustRightInd w:val="0"/>
        <w:snapToGrid w:val="0"/>
        <w:spacing w:line="50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履约验收标准：验收严格按照《财政部关于进一步加强政府采购需求和履约验收管理的指导意见》（财库〔2016〕205号）及政府采购需求管理办法财库〔2021〕22号的要求组织验收，以采购文件服务内容及要求及响应文件技术响应为准。如出现未在采购文件中明确规定的，以行业相关标准为准。</w:t>
      </w:r>
    </w:p>
    <w:p w14:paraId="51238059">
      <w:pPr>
        <w:pStyle w:val="8"/>
        <w:keepNext w:val="0"/>
        <w:keepLines w:val="0"/>
        <w:pageBreakBefore w:val="0"/>
        <w:widowControl w:val="0"/>
        <w:numPr>
          <w:ilvl w:val="3"/>
          <w:numId w:val="0"/>
        </w:numPr>
        <w:kinsoku/>
        <w:wordWrap w:val="0"/>
        <w:overflowPunct/>
        <w:topLinePunct/>
        <w:autoSpaceDE/>
        <w:autoSpaceDN/>
        <w:bidi w:val="0"/>
        <w:adjustRightInd w:val="0"/>
        <w:snapToGrid w:val="0"/>
        <w:spacing w:line="50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验收相关事宜及法律责任：如出现成交人提供虚假材料谋取成交或达不到采购要求的，采购人有权拒绝验收，并按政府采购相关法律法规向采购人同级财政部门汇报，追究其相关法律责任。</w:t>
      </w:r>
    </w:p>
    <w:p w14:paraId="313E3AAA">
      <w:pPr>
        <w:pStyle w:val="16"/>
        <w:numPr>
          <w:ilvl w:val="0"/>
          <w:numId w:val="0"/>
        </w:numPr>
        <w:spacing w:line="520" w:lineRule="exact"/>
        <w:ind w:left="0" w:leftChars="0" w:firstLine="482" w:firstLineChars="200"/>
        <w:rPr>
          <w:rFonts w:hint="eastAsia" w:ascii="仿宋" w:hAnsi="仿宋" w:eastAsia="仿宋" w:cs="仿宋"/>
          <w:b/>
          <w:bCs/>
          <w:color w:val="auto"/>
          <w:szCs w:val="22"/>
          <w:highlight w:val="none"/>
          <w:lang w:val="en-US" w:eastAsia="zh-CN"/>
        </w:rPr>
      </w:pPr>
      <w:r>
        <w:rPr>
          <w:rFonts w:hint="eastAsia" w:ascii="仿宋" w:hAnsi="仿宋" w:eastAsia="仿宋" w:cs="仿宋"/>
          <w:b/>
          <w:bCs/>
          <w:snapToGrid w:val="0"/>
          <w:color w:val="auto"/>
          <w:kern w:val="2"/>
          <w:sz w:val="24"/>
          <w:szCs w:val="22"/>
          <w:highlight w:val="none"/>
          <w:lang w:val="en-US" w:eastAsia="zh-CN" w:bidi="ar-SA"/>
        </w:rPr>
        <w:t>（四）</w:t>
      </w:r>
      <w:r>
        <w:rPr>
          <w:rFonts w:hint="eastAsia" w:ascii="仿宋" w:hAnsi="仿宋" w:eastAsia="仿宋" w:cs="仿宋"/>
          <w:b/>
          <w:bCs/>
          <w:color w:val="auto"/>
          <w:szCs w:val="22"/>
          <w:highlight w:val="none"/>
          <w:lang w:val="en-US" w:eastAsia="zh-CN"/>
        </w:rPr>
        <w:t>保密</w:t>
      </w:r>
    </w:p>
    <w:p w14:paraId="511D7760">
      <w:pPr>
        <w:pStyle w:val="16"/>
        <w:numPr>
          <w:ilvl w:val="-1"/>
          <w:numId w:val="0"/>
        </w:numPr>
        <w:spacing w:line="520" w:lineRule="exact"/>
        <w:ind w:left="0" w:leftChars="0" w:firstLine="480" w:firstLineChars="20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1.中标人需建立安全服务责任制，配备专人负责安全保密工作，并对服务人员进行安全保密教育和必要的服务培训。</w:t>
      </w:r>
    </w:p>
    <w:p w14:paraId="61D37217">
      <w:pPr>
        <w:pStyle w:val="16"/>
        <w:numPr>
          <w:ilvl w:val="-1"/>
          <w:numId w:val="0"/>
        </w:numPr>
        <w:spacing w:line="520" w:lineRule="exact"/>
        <w:ind w:left="0" w:leftChars="0" w:firstLine="480" w:firstLineChars="20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2.采购人的国家秘密、商业秘密、纳税人缴费人信息资料及有关文件信息，均不得泄露或不正当地使用，采购人已公开的除外。</w:t>
      </w:r>
    </w:p>
    <w:p w14:paraId="3B585C9F">
      <w:pPr>
        <w:pStyle w:val="16"/>
        <w:numPr>
          <w:ilvl w:val="-1"/>
          <w:numId w:val="0"/>
        </w:numPr>
        <w:spacing w:line="520" w:lineRule="exact"/>
        <w:ind w:left="0" w:leftChars="0" w:firstLine="480" w:firstLineChars="20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3.不得将任何采购人认为涉及数据安全的文档、观点、数据、系统结构信息传出或者披露和使用。</w:t>
      </w:r>
    </w:p>
    <w:p w14:paraId="063D3700">
      <w:pPr>
        <w:pStyle w:val="16"/>
        <w:numPr>
          <w:ilvl w:val="-1"/>
          <w:numId w:val="0"/>
        </w:numPr>
        <w:spacing w:line="520" w:lineRule="exact"/>
        <w:ind w:left="0" w:leftChars="0" w:firstLine="480" w:firstLineChars="20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4.中标人应遵守采购人有关保密及网络信息安全等制度规定。中标人在服务开始前，应当提供书面承诺</w:t>
      </w:r>
      <w:r>
        <w:rPr>
          <w:rFonts w:hint="eastAsia" w:ascii="仿宋" w:hAnsi="仿宋" w:eastAsia="仿宋" w:cs="仿宋"/>
          <w:b/>
          <w:bCs/>
          <w:color w:val="auto"/>
          <w:szCs w:val="22"/>
          <w:highlight w:val="none"/>
          <w:lang w:val="en-US" w:eastAsia="zh-CN"/>
        </w:rPr>
        <w:t>（承诺书模板中标后由采购人提供）</w:t>
      </w:r>
      <w:r>
        <w:rPr>
          <w:rFonts w:hint="eastAsia" w:ascii="仿宋" w:hAnsi="仿宋" w:eastAsia="仿宋" w:cs="仿宋"/>
          <w:b w:val="0"/>
          <w:color w:val="auto"/>
          <w:szCs w:val="22"/>
          <w:highlight w:val="none"/>
          <w:lang w:val="en-US" w:eastAsia="zh-CN"/>
        </w:rPr>
        <w:t>。若中标人服务人员违反信息安全保密制度相关规定，对采购人及纳税人缴费人造成利益损害的，中标人应承担相关法律责任。</w:t>
      </w:r>
    </w:p>
    <w:p w14:paraId="6A8CA370">
      <w:pPr>
        <w:pStyle w:val="16"/>
        <w:numPr>
          <w:ilvl w:val="-1"/>
          <w:numId w:val="0"/>
        </w:numPr>
        <w:spacing w:line="520" w:lineRule="exact"/>
        <w:ind w:left="0" w:leftChars="0" w:firstLine="480" w:firstLineChars="200"/>
        <w:rPr>
          <w:rFonts w:hint="default"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5.中标人及其工作人员应对项目履行过程中接触到的所有的资料、信息等进行保密，直至保密信息被公众合法知悉之日止。除非双方另行达成书面合同，本保密条款不随本合同的无效、被撤销、终止、解除、变更等任何原因而无效。</w:t>
      </w:r>
    </w:p>
    <w:p w14:paraId="1795F1B0">
      <w:pPr>
        <w:pStyle w:val="16"/>
        <w:numPr>
          <w:ilvl w:val="-1"/>
          <w:numId w:val="0"/>
        </w:numPr>
        <w:spacing w:line="520" w:lineRule="exact"/>
        <w:ind w:left="0" w:leftChars="0" w:firstLine="482" w:firstLineChars="200"/>
        <w:rPr>
          <w:rFonts w:hint="eastAsia" w:ascii="仿宋" w:hAnsi="仿宋" w:eastAsia="仿宋" w:cs="仿宋"/>
          <w:b/>
          <w:bCs/>
          <w:color w:val="auto"/>
          <w:szCs w:val="22"/>
          <w:highlight w:val="none"/>
          <w:lang w:val="en-US" w:eastAsia="zh-CN"/>
        </w:rPr>
      </w:pPr>
      <w:r>
        <w:rPr>
          <w:rFonts w:hint="eastAsia" w:ascii="仿宋" w:hAnsi="仿宋" w:eastAsia="仿宋" w:cs="仿宋"/>
          <w:b/>
          <w:bCs/>
          <w:color w:val="auto"/>
          <w:szCs w:val="22"/>
          <w:highlight w:val="none"/>
          <w:lang w:val="en-US" w:eastAsia="zh-CN"/>
        </w:rPr>
        <w:t>（五）保险</w:t>
      </w:r>
    </w:p>
    <w:p w14:paraId="75722460">
      <w:pPr>
        <w:pStyle w:val="8"/>
        <w:numPr>
          <w:ilvl w:val="3"/>
          <w:numId w:val="0"/>
        </w:numPr>
        <w:ind w:firstLine="480" w:firstLineChars="200"/>
        <w:rPr>
          <w:rFonts w:hint="eastAsia" w:ascii="仿宋" w:hAnsi="仿宋" w:eastAsia="仿宋" w:cs="仿宋"/>
          <w:b w:val="0"/>
          <w:color w:val="auto"/>
          <w:szCs w:val="22"/>
          <w:highlight w:val="none"/>
          <w:lang w:eastAsia="zh-CN"/>
        </w:rPr>
      </w:pPr>
      <w:r>
        <w:rPr>
          <w:rFonts w:hint="eastAsia" w:ascii="仿宋" w:hAnsi="仿宋" w:eastAsia="仿宋" w:cs="仿宋"/>
          <w:color w:val="auto"/>
          <w:highlight w:val="none"/>
          <w:lang w:val="en-US" w:eastAsia="zh-CN"/>
        </w:rPr>
        <w:t xml:space="preserve">中标人应当遵守国家有关消防、安全、生产操作、劳动保护等方面的规定，并根据自身实际情况和项目履约实际情况，购买涉及上述履约风险的对应保险，保险金额以抵消可能发生的事故及因其发生所造成的财产、人身损失，维护保险标的的安全。中标人应为本项目提供履约的所有人员按照国家规定购买相关保险。 </w:t>
      </w:r>
    </w:p>
    <w:p w14:paraId="60B732B1">
      <w:pPr>
        <w:pStyle w:val="16"/>
        <w:numPr>
          <w:ilvl w:val="0"/>
          <w:numId w:val="0"/>
        </w:numPr>
        <w:spacing w:line="520" w:lineRule="exact"/>
        <w:ind w:left="0" w:leftChars="0" w:firstLine="482" w:firstLineChars="200"/>
        <w:rPr>
          <w:rFonts w:hint="eastAsia" w:ascii="仿宋" w:hAnsi="仿宋" w:eastAsia="仿宋" w:cs="仿宋"/>
          <w:b w:val="0"/>
          <w:color w:val="auto"/>
          <w:szCs w:val="22"/>
          <w:highlight w:val="none"/>
          <w:lang w:val="en-US" w:eastAsia="zh-CN"/>
        </w:rPr>
      </w:pPr>
      <w:r>
        <w:rPr>
          <w:rFonts w:hint="eastAsia" w:ascii="仿宋" w:hAnsi="仿宋" w:eastAsia="仿宋" w:cs="仿宋"/>
          <w:b/>
          <w:bCs/>
          <w:snapToGrid w:val="0"/>
          <w:color w:val="auto"/>
          <w:kern w:val="2"/>
          <w:sz w:val="24"/>
          <w:szCs w:val="22"/>
          <w:highlight w:val="none"/>
          <w:lang w:val="en-US" w:eastAsia="zh-CN" w:bidi="ar-SA"/>
        </w:rPr>
        <w:t>（六）</w:t>
      </w:r>
      <w:r>
        <w:rPr>
          <w:rFonts w:hint="eastAsia" w:ascii="仿宋" w:hAnsi="仿宋" w:eastAsia="仿宋" w:cs="仿宋"/>
          <w:b/>
          <w:bCs/>
          <w:color w:val="auto"/>
          <w:szCs w:val="22"/>
          <w:highlight w:val="none"/>
          <w:lang w:val="en-US" w:eastAsia="zh-CN"/>
        </w:rPr>
        <w:t>其他要求</w:t>
      </w:r>
    </w:p>
    <w:p w14:paraId="253738DF">
      <w:pPr>
        <w:pStyle w:val="16"/>
        <w:numPr>
          <w:ilvl w:val="-1"/>
          <w:numId w:val="0"/>
        </w:numPr>
        <w:spacing w:line="520" w:lineRule="exact"/>
        <w:ind w:left="0" w:leftChars="0" w:firstLine="480" w:firstLineChars="20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1.政府采购合同签订时间：中标人自中标通知书发出之日起30日内与采购人签订政府采购合同。</w:t>
      </w:r>
    </w:p>
    <w:p w14:paraId="3003E809">
      <w:pPr>
        <w:pStyle w:val="16"/>
        <w:numPr>
          <w:ilvl w:val="-1"/>
          <w:numId w:val="0"/>
        </w:numPr>
        <w:spacing w:line="520" w:lineRule="exact"/>
        <w:ind w:left="0" w:leftChars="0" w:firstLine="480" w:firstLineChars="20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2.采购人在项目执行过程中定期核对中标人提供完成项目所配备的人员数量及相关信息，对于未按照采购文件或投标文件响应情况执行或存在不合理的部分有权下达整改通知书，并要求中标人限期整改。</w:t>
      </w:r>
    </w:p>
    <w:p w14:paraId="53CB4E90">
      <w:pPr>
        <w:pStyle w:val="16"/>
        <w:numPr>
          <w:ilvl w:val="-1"/>
          <w:numId w:val="0"/>
        </w:numPr>
        <w:spacing w:line="520" w:lineRule="exact"/>
        <w:ind w:left="480" w:leftChars="200" w:firstLine="0" w:firstLineChars="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3.中标人在项目执行过程中及时向采购人通告本项目的重大事项及其进度。</w:t>
      </w:r>
    </w:p>
    <w:p w14:paraId="3E12285A">
      <w:pPr>
        <w:pStyle w:val="16"/>
        <w:numPr>
          <w:ilvl w:val="-1"/>
          <w:numId w:val="0"/>
        </w:numPr>
        <w:spacing w:line="520" w:lineRule="exact"/>
        <w:ind w:left="480" w:leftChars="200" w:firstLine="0" w:firstLineChars="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4.接受项目行业管理部门及政府有关部门的指导，接受采购人的监督。</w:t>
      </w:r>
    </w:p>
    <w:p w14:paraId="60796348">
      <w:pPr>
        <w:pStyle w:val="16"/>
        <w:numPr>
          <w:ilvl w:val="-1"/>
          <w:numId w:val="0"/>
        </w:numPr>
        <w:spacing w:line="520" w:lineRule="exact"/>
        <w:ind w:left="480" w:leftChars="200" w:firstLine="0" w:firstLineChars="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5.违约责任</w:t>
      </w:r>
    </w:p>
    <w:p w14:paraId="314B3483">
      <w:pPr>
        <w:pStyle w:val="16"/>
        <w:numPr>
          <w:ilvl w:val="-1"/>
          <w:numId w:val="0"/>
        </w:numPr>
        <w:spacing w:line="520" w:lineRule="exact"/>
        <w:ind w:left="480" w:leftChars="200" w:firstLine="0" w:firstLineChars="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5.1采购人违约责任</w:t>
      </w:r>
    </w:p>
    <w:p w14:paraId="2AFBD057">
      <w:pPr>
        <w:pStyle w:val="16"/>
        <w:numPr>
          <w:ilvl w:val="-1"/>
          <w:numId w:val="0"/>
        </w:numPr>
        <w:spacing w:line="520" w:lineRule="exact"/>
        <w:ind w:left="480" w:leftChars="200" w:firstLine="0" w:firstLineChars="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（1）采购人应遵守本合同并执行合同中的各项规定，保证本合同的正常履行。</w:t>
      </w:r>
    </w:p>
    <w:p w14:paraId="7D519E36">
      <w:pPr>
        <w:pStyle w:val="16"/>
        <w:numPr>
          <w:ilvl w:val="-1"/>
          <w:numId w:val="0"/>
        </w:numPr>
        <w:spacing w:line="520" w:lineRule="exact"/>
        <w:ind w:left="0" w:leftChars="0" w:firstLine="480" w:firstLineChars="20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2）因采购人原因，采购人逾期支付服务合同款项的，且经中标人书面催促后仍拒绝支付的，除应及时付足合同款项外，应向中标人支付当期欠款总额万分之一/天的违约金；逾期付款超过30天的，中标人有权终止合同；</w:t>
      </w:r>
    </w:p>
    <w:p w14:paraId="6BB4D43D">
      <w:pPr>
        <w:pStyle w:val="16"/>
        <w:numPr>
          <w:ilvl w:val="-1"/>
          <w:numId w:val="0"/>
        </w:numPr>
        <w:spacing w:line="520" w:lineRule="exact"/>
        <w:ind w:left="480" w:leftChars="200" w:firstLine="0" w:firstLineChars="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（3）采购人支付的违约金不足以弥补中标人损失的，应赔偿中标人损失。</w:t>
      </w:r>
    </w:p>
    <w:p w14:paraId="26B62FE4">
      <w:pPr>
        <w:pStyle w:val="16"/>
        <w:numPr>
          <w:ilvl w:val="-1"/>
          <w:numId w:val="0"/>
        </w:numPr>
        <w:spacing w:line="520" w:lineRule="exact"/>
        <w:ind w:left="480" w:leftChars="200" w:firstLine="0" w:firstLineChars="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5.2中标人违约责任</w:t>
      </w:r>
    </w:p>
    <w:p w14:paraId="73208F2C">
      <w:pPr>
        <w:pStyle w:val="16"/>
        <w:numPr>
          <w:ilvl w:val="-1"/>
          <w:numId w:val="0"/>
        </w:numPr>
        <w:spacing w:line="520" w:lineRule="exact"/>
        <w:ind w:left="480" w:leftChars="200" w:firstLine="0" w:firstLineChars="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（1）中标人必须遵守采购合同并执行合同中的各项规定，保证采购合同的正常履行。</w:t>
      </w:r>
    </w:p>
    <w:p w14:paraId="4385FEA1">
      <w:pPr>
        <w:pStyle w:val="16"/>
        <w:numPr>
          <w:ilvl w:val="-1"/>
          <w:numId w:val="0"/>
        </w:numPr>
        <w:spacing w:line="520" w:lineRule="exact"/>
        <w:ind w:left="0" w:leftChars="0" w:firstLine="480" w:firstLineChars="20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（2）如因中标人工作人员在履行职务过程中的疏忽、失职、过错等故意或者过失原因给采购人或第三方人身或财产造成伤害、损害的，采购人有权解除合同，由中标人承担包括民事责任在内的法律责任。</w:t>
      </w:r>
    </w:p>
    <w:p w14:paraId="35222EA4">
      <w:pPr>
        <w:pStyle w:val="16"/>
        <w:numPr>
          <w:ilvl w:val="-1"/>
          <w:numId w:val="0"/>
        </w:numPr>
        <w:spacing w:line="520" w:lineRule="exact"/>
        <w:ind w:left="0" w:leftChars="0" w:firstLine="480" w:firstLineChars="20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3）中标人不能按时提供服务或逾期提供而违约的，除应及时提供服务外，应向采购人支付当年度服务总额的万分之一/天的违约金；累计逾期超过15天，采购人有权解除合同，中标人则应按合同总价款的20%的款额向采购人支付违约金，并须全额退还采购人已经支付给中标人的服务费及其利息。</w:t>
      </w:r>
    </w:p>
    <w:p w14:paraId="46F8B568">
      <w:pPr>
        <w:pStyle w:val="16"/>
        <w:numPr>
          <w:ilvl w:val="-1"/>
          <w:numId w:val="0"/>
        </w:numPr>
        <w:spacing w:line="520" w:lineRule="exact"/>
        <w:ind w:left="0" w:leftChars="0" w:firstLine="480" w:firstLineChars="20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（4）中标人在履约过程中，服务经采购人考核不合格的，采购人有权选择要求中标人整改或解除合同，中标人拒绝整改或整改后仍不符合要求的，采购人有权解除合同。</w:t>
      </w:r>
    </w:p>
    <w:p w14:paraId="1C0DBFF6">
      <w:pPr>
        <w:pStyle w:val="16"/>
        <w:numPr>
          <w:ilvl w:val="-1"/>
          <w:numId w:val="0"/>
        </w:numPr>
        <w:spacing w:line="520" w:lineRule="exact"/>
        <w:ind w:left="0" w:leftChars="0" w:firstLine="480" w:firstLineChars="20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5）中标人应当遵守采购人的相关项目需求及相关技术要求及实质性条款，实施完成采购合同应当完全满足相关项目需求及相关技术要求及实质性条款，若中标人瑕疵履行采购合同，采购人有权向中标人要求支付合同总价款20%的违约金，若造成相关损失的，采购人有权要求中标人承担所有赔偿责任。</w:t>
      </w:r>
    </w:p>
    <w:p w14:paraId="25260AD8">
      <w:pPr>
        <w:pStyle w:val="16"/>
        <w:numPr>
          <w:ilvl w:val="-1"/>
          <w:numId w:val="0"/>
        </w:numPr>
        <w:spacing w:line="520" w:lineRule="exact"/>
        <w:ind w:left="480" w:leftChars="200" w:firstLine="0" w:firstLineChars="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（6）有下列情形之一的，当事人可以解除合同：</w:t>
      </w:r>
    </w:p>
    <w:p w14:paraId="3F1DA435">
      <w:pPr>
        <w:pStyle w:val="16"/>
        <w:numPr>
          <w:ilvl w:val="-1"/>
          <w:numId w:val="0"/>
        </w:numPr>
        <w:spacing w:line="520" w:lineRule="exact"/>
        <w:ind w:left="480" w:leftChars="200" w:firstLine="0" w:firstLineChars="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1）因不可抗力致使不能实现合同目的（由于非中标人或采购人原因，致使合同实质性条款无法实现的）；</w:t>
      </w:r>
    </w:p>
    <w:p w14:paraId="0B5448B8">
      <w:pPr>
        <w:pStyle w:val="16"/>
        <w:numPr>
          <w:ilvl w:val="-1"/>
          <w:numId w:val="0"/>
        </w:numPr>
        <w:spacing w:line="520" w:lineRule="exact"/>
        <w:ind w:left="480" w:leftChars="200" w:firstLine="0" w:firstLineChars="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2）当事人一方迟延履行主要债务，经催告后在合理期限内仍未履行；</w:t>
      </w:r>
    </w:p>
    <w:p w14:paraId="488558B7">
      <w:pPr>
        <w:pStyle w:val="16"/>
        <w:numPr>
          <w:ilvl w:val="-1"/>
          <w:numId w:val="0"/>
        </w:numPr>
        <w:spacing w:line="520" w:lineRule="exact"/>
        <w:ind w:left="480" w:leftChars="200" w:firstLine="0" w:firstLineChars="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3）当事人一方迟延履行债务或者有其他违约行为致使不能实现合同目的；</w:t>
      </w:r>
    </w:p>
    <w:p w14:paraId="0486D0A4">
      <w:pPr>
        <w:pStyle w:val="16"/>
        <w:numPr>
          <w:ilvl w:val="-1"/>
          <w:numId w:val="0"/>
        </w:numPr>
        <w:spacing w:line="520" w:lineRule="exact"/>
        <w:ind w:left="480" w:leftChars="200" w:firstLine="0" w:firstLineChars="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4）法律规定的其他情形。</w:t>
      </w:r>
    </w:p>
    <w:p w14:paraId="4C40A8FF">
      <w:pPr>
        <w:pStyle w:val="16"/>
        <w:numPr>
          <w:ilvl w:val="-1"/>
          <w:numId w:val="0"/>
        </w:numPr>
        <w:spacing w:line="520" w:lineRule="exact"/>
        <w:ind w:left="0" w:leftChars="0" w:firstLine="480" w:firstLineChars="20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7）中标人及其工作人员对履行本合同所获取的所有信息、资料、数据等内容负有保密义务，若中标人及其工作人员违反保密义务的，中标人应按合同总金额的20%向采购人支付违约金，同时，采购人有权解除合同。</w:t>
      </w:r>
    </w:p>
    <w:p w14:paraId="1D0396C5">
      <w:pPr>
        <w:pStyle w:val="16"/>
        <w:numPr>
          <w:ilvl w:val="-1"/>
          <w:numId w:val="0"/>
        </w:numPr>
        <w:spacing w:line="520" w:lineRule="exact"/>
        <w:ind w:left="0" w:leftChars="0" w:firstLine="480" w:firstLineChars="20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（8）若因中标人违约导致本合同解除或终止的，采购人未支付的款项，采购人有权不予支付。</w:t>
      </w:r>
    </w:p>
    <w:p w14:paraId="72430F4F">
      <w:pPr>
        <w:pStyle w:val="16"/>
        <w:numPr>
          <w:ilvl w:val="-1"/>
          <w:numId w:val="0"/>
        </w:numPr>
        <w:spacing w:line="520" w:lineRule="exact"/>
        <w:ind w:left="0" w:leftChars="0" w:firstLine="480" w:firstLineChars="200"/>
        <w:rPr>
          <w:rFonts w:hint="default"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（9）合同期满后，供应商应按采购人要求向新中标（成交）供应商办理移交手续。否则，采购人有权扣除最后一笔应付款项的20%。</w:t>
      </w:r>
    </w:p>
    <w:p w14:paraId="07D32759">
      <w:pPr>
        <w:pStyle w:val="16"/>
        <w:numPr>
          <w:ilvl w:val="-1"/>
          <w:numId w:val="0"/>
        </w:numPr>
        <w:spacing w:line="520" w:lineRule="exact"/>
        <w:ind w:left="480" w:leftChars="200" w:firstLine="0" w:firstLineChars="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6.争端的解决</w:t>
      </w:r>
    </w:p>
    <w:p w14:paraId="05B3747A">
      <w:pPr>
        <w:pStyle w:val="16"/>
        <w:numPr>
          <w:ilvl w:val="-1"/>
          <w:numId w:val="0"/>
        </w:numPr>
        <w:spacing w:line="520" w:lineRule="exact"/>
        <w:ind w:left="0" w:leftChars="0" w:firstLine="480" w:firstLineChars="200"/>
        <w:rPr>
          <w:rFonts w:hint="eastAsia" w:ascii="仿宋" w:hAnsi="仿宋" w:eastAsia="仿宋" w:cs="仿宋"/>
          <w:b w:val="0"/>
          <w:color w:val="auto"/>
          <w:szCs w:val="22"/>
          <w:highlight w:val="none"/>
          <w:lang w:val="en-US" w:eastAsia="zh-CN"/>
        </w:rPr>
      </w:pPr>
      <w:r>
        <w:rPr>
          <w:rFonts w:hint="eastAsia" w:ascii="仿宋" w:hAnsi="仿宋" w:eastAsia="仿宋" w:cs="仿宋"/>
          <w:b w:val="0"/>
          <w:color w:val="auto"/>
          <w:szCs w:val="22"/>
          <w:highlight w:val="none"/>
          <w:lang w:val="en-US" w:eastAsia="zh-CN"/>
        </w:rPr>
        <w:t>（1）本合同的签订及履行均适用中华人民共和国的相关法律、法规。合同履行期间，若双方发生争议，可协商或由有关部门调解解决，协商或调解不成的，向采购人所在地有管辖权的人民法院起诉。</w:t>
      </w:r>
    </w:p>
    <w:p w14:paraId="245B1E06">
      <w:pPr>
        <w:pStyle w:val="16"/>
        <w:numPr>
          <w:ilvl w:val="-1"/>
          <w:numId w:val="0"/>
        </w:numPr>
        <w:spacing w:line="520" w:lineRule="exact"/>
        <w:ind w:left="480" w:leftChars="200" w:firstLine="0" w:firstLineChars="0"/>
        <w:rPr>
          <w:rFonts w:hint="eastAsia" w:ascii="仿宋" w:hAnsi="仿宋" w:eastAsia="仿宋" w:cs="仿宋"/>
          <w:b w:val="0"/>
          <w:color w:val="auto"/>
          <w:szCs w:val="22"/>
          <w:highlight w:val="none"/>
          <w:lang w:eastAsia="zh-CN"/>
        </w:rPr>
      </w:pPr>
      <w:r>
        <w:rPr>
          <w:rFonts w:hint="eastAsia" w:ascii="仿宋" w:hAnsi="仿宋" w:eastAsia="仿宋" w:cs="仿宋"/>
          <w:b w:val="0"/>
          <w:color w:val="auto"/>
          <w:szCs w:val="22"/>
          <w:highlight w:val="none"/>
          <w:lang w:val="en-US" w:eastAsia="zh-CN"/>
        </w:rPr>
        <w:t>（2）在诉讼期间，除正在进行的诉讼部分外，经采购人同意，合同其他部分继续执行。</w:t>
      </w:r>
    </w:p>
    <w:p w14:paraId="784C7DE3">
      <w:r>
        <w:rPr>
          <w:rFonts w:hint="eastAsia" w:ascii="仿宋" w:hAnsi="仿宋" w:eastAsia="仿宋" w:cs="仿宋"/>
          <w:color w:val="auto"/>
          <w:highlight w:val="none"/>
        </w:rPr>
        <w:t>注意：本章带“★”号条款为实质性要求，不满足实质性要求的将被视为无效投标；招标文件有明确要求提供相关证明材料或承诺函进行响应的条款以投标人根据要求提供的相应证明材料为准</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如涉及</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；若招标文件未明确要求提供相关证明材料的，以投标人提供的“实质性要求承诺”“商务应答表”“服务应答表”响应情况为准。</w:t>
      </w:r>
      <w:bookmarkStart w:id="53" w:name="_GoBack"/>
      <w:bookmarkEnd w:id="53"/>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4D8E0A"/>
    <w:multiLevelType w:val="multilevel"/>
    <w:tmpl w:val="B04D8E0A"/>
    <w:lvl w:ilvl="0" w:tentative="0">
      <w:start w:val="1"/>
      <w:numFmt w:val="chineseCounting"/>
      <w:pStyle w:val="4"/>
      <w:suff w:val="nothing"/>
      <w:lvlText w:val="第%1章 "/>
      <w:lvlJc w:val="left"/>
      <w:pPr>
        <w:tabs>
          <w:tab w:val="left" w:pos="0"/>
        </w:tabs>
        <w:ind w:left="0" w:firstLine="0"/>
      </w:pPr>
      <w:rPr>
        <w:rFonts w:hint="eastAsia" w:ascii="宋体" w:hAnsi="宋体" w:eastAsia="宋体" w:cs="宋体"/>
      </w:rPr>
    </w:lvl>
    <w:lvl w:ilvl="1" w:tentative="0">
      <w:start w:val="1"/>
      <w:numFmt w:val="chineseCounting"/>
      <w:pStyle w:val="6"/>
      <w:suff w:val="nothing"/>
      <w:lvlText w:val="%2、"/>
      <w:lvlJc w:val="left"/>
      <w:pPr>
        <w:ind w:left="0" w:firstLine="0"/>
      </w:pPr>
      <w:rPr>
        <w:rFonts w:hint="eastAsia" w:ascii="宋体" w:hAnsi="宋体" w:eastAsia="宋体" w:cs="宋体"/>
      </w:rPr>
    </w:lvl>
    <w:lvl w:ilvl="2" w:tentative="0">
      <w:start w:val="1"/>
      <w:numFmt w:val="chineseCounting"/>
      <w:suff w:val="nothing"/>
      <w:lvlText w:val="(%3)"/>
      <w:lvlJc w:val="left"/>
      <w:pPr>
        <w:tabs>
          <w:tab w:val="left" w:pos="0"/>
        </w:tabs>
        <w:ind w:left="0" w:firstLine="0"/>
      </w:pPr>
      <w:rPr>
        <w:rFonts w:hint="eastAsia" w:ascii="宋体" w:hAnsi="宋体" w:eastAsia="宋体" w:cs="宋体"/>
      </w:rPr>
    </w:lvl>
    <w:lvl w:ilvl="3" w:tentative="0">
      <w:start w:val="1"/>
      <w:numFmt w:val="decimal"/>
      <w:pStyle w:val="8"/>
      <w:suff w:val="nothing"/>
      <w:lvlText w:val="%4."/>
      <w:lvlJc w:val="left"/>
      <w:pPr>
        <w:tabs>
          <w:tab w:val="left" w:pos="0"/>
        </w:tabs>
        <w:ind w:left="0" w:firstLine="0"/>
      </w:pPr>
      <w:rPr>
        <w:rFonts w:hint="eastAsia" w:ascii="宋体" w:hAnsi="宋体" w:eastAsia="宋体" w:cs="宋体"/>
      </w:rPr>
    </w:lvl>
    <w:lvl w:ilvl="4" w:tentative="0">
      <w:start w:val="1"/>
      <w:numFmt w:val="decimal"/>
      <w:suff w:val="nothing"/>
      <w:lvlText w:val="%4.%5"/>
      <w:lvlJc w:val="left"/>
      <w:pPr>
        <w:ind w:left="0" w:firstLine="0"/>
      </w:pPr>
      <w:rPr>
        <w:rFonts w:hint="eastAsia" w:ascii="宋体" w:hAnsi="宋体" w:eastAsia="宋体" w:cs="宋体"/>
      </w:rPr>
    </w:lvl>
    <w:lvl w:ilvl="5" w:tentative="0">
      <w:start w:val="1"/>
      <w:numFmt w:val="decimal"/>
      <w:pStyle w:val="7"/>
      <w:suff w:val="nothing"/>
      <w:lvlText w:val="(%6)"/>
      <w:lvlJc w:val="left"/>
      <w:pPr>
        <w:ind w:left="0" w:firstLine="0"/>
      </w:pPr>
      <w:rPr>
        <w:rFonts w:hint="eastAsia" w:ascii="宋体" w:hAnsi="宋体" w:eastAsia="宋体" w:cs="宋体"/>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
    <w:nsid w:val="30942FA6"/>
    <w:multiLevelType w:val="singleLevel"/>
    <w:tmpl w:val="30942FA6"/>
    <w:lvl w:ilvl="0" w:tentative="0">
      <w:start w:val="1"/>
      <w:numFmt w:val="decimal"/>
      <w:pStyle w:val="14"/>
      <w:lvlText w:val="%1."/>
      <w:lvlJc w:val="left"/>
      <w:pPr>
        <w:ind w:left="425" w:hanging="425"/>
      </w:pPr>
      <w:rPr>
        <w:rFonts w:hint="default"/>
      </w:rPr>
    </w:lvl>
  </w:abstractNum>
  <w:abstractNum w:abstractNumId="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11"/>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E61B29"/>
    <w:rsid w:val="68E61B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tabs>
        <w:tab w:val="left" w:pos="0"/>
      </w:tabs>
      <w:adjustRightInd w:val="0"/>
      <w:snapToGrid w:val="0"/>
      <w:spacing w:line="440" w:lineRule="exact"/>
    </w:pPr>
    <w:rPr>
      <w:rFonts w:ascii="宋体" w:hAnsi="宋体" w:eastAsia="宋体" w:cstheme="minorBidi"/>
      <w:kern w:val="2"/>
      <w:sz w:val="24"/>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14、“第一章”一级标题"/>
    <w:basedOn w:val="5"/>
    <w:qFormat/>
    <w:uiPriority w:val="0"/>
    <w:pPr>
      <w:numPr>
        <w:ilvl w:val="0"/>
        <w:numId w:val="1"/>
      </w:numPr>
      <w:spacing w:before="50" w:beforeLines="50" w:after="50" w:afterLines="50" w:line="240" w:lineRule="auto"/>
      <w:jc w:val="center"/>
      <w:outlineLvl w:val="0"/>
    </w:pPr>
    <w:rPr>
      <w:b/>
      <w:sz w:val="36"/>
    </w:rPr>
  </w:style>
  <w:style w:type="paragraph" w:customStyle="1" w:styleId="5">
    <w:name w:val="01、普通正文"/>
    <w:basedOn w:val="1"/>
    <w:qFormat/>
    <w:uiPriority w:val="0"/>
    <w:pPr>
      <w:wordWrap w:val="0"/>
      <w:topLinePunct/>
    </w:pPr>
    <w:rPr>
      <w:snapToGrid w:val="0"/>
    </w:rPr>
  </w:style>
  <w:style w:type="paragraph" w:customStyle="1" w:styleId="6">
    <w:name w:val="15、“一、”二级标题"/>
    <w:basedOn w:val="1"/>
    <w:qFormat/>
    <w:uiPriority w:val="0"/>
    <w:pPr>
      <w:numPr>
        <w:ilvl w:val="1"/>
        <w:numId w:val="1"/>
      </w:numPr>
      <w:wordWrap w:val="0"/>
      <w:topLinePunct/>
      <w:ind w:firstLine="803" w:firstLineChars="200"/>
      <w:outlineLvl w:val="1"/>
    </w:pPr>
    <w:rPr>
      <w:b/>
    </w:rPr>
  </w:style>
  <w:style w:type="paragraph" w:customStyle="1" w:styleId="7">
    <w:name w:val="19、“(1)”六级标题"/>
    <w:basedOn w:val="8"/>
    <w:qFormat/>
    <w:uiPriority w:val="0"/>
    <w:pPr>
      <w:numPr>
        <w:ilvl w:val="5"/>
      </w:numPr>
      <w:tabs>
        <w:tab w:val="left" w:pos="0"/>
      </w:tabs>
      <w:ind w:firstLine="803"/>
    </w:pPr>
  </w:style>
  <w:style w:type="paragraph" w:customStyle="1" w:styleId="8">
    <w:name w:val="17“1.”四级标题"/>
    <w:basedOn w:val="9"/>
    <w:qFormat/>
    <w:uiPriority w:val="0"/>
    <w:pPr>
      <w:numPr>
        <w:ilvl w:val="3"/>
        <w:numId w:val="1"/>
      </w:numPr>
      <w:ind w:firstLine="803"/>
    </w:pPr>
  </w:style>
  <w:style w:type="paragraph" w:customStyle="1" w:styleId="9">
    <w:name w:val="02、首行缩进2字符正文"/>
    <w:basedOn w:val="10"/>
    <w:qFormat/>
    <w:uiPriority w:val="0"/>
    <w:pPr>
      <w:tabs>
        <w:tab w:val="left" w:pos="0"/>
      </w:tabs>
      <w:wordWrap w:val="0"/>
      <w:topLinePunct/>
      <w:ind w:firstLine="480" w:firstLineChars="200"/>
    </w:pPr>
    <w:rPr>
      <w:rFonts w:ascii="宋体" w:hAnsi="宋体" w:eastAsia="宋体"/>
    </w:rPr>
  </w:style>
  <w:style w:type="paragraph" w:customStyle="1" w:styleId="10">
    <w:name w:val="正文_2"/>
    <w:next w:val="11"/>
    <w:qFormat/>
    <w:uiPriority w:val="0"/>
    <w:pPr>
      <w:widowControl w:val="0"/>
      <w:spacing w:line="360" w:lineRule="auto"/>
      <w:jc w:val="both"/>
    </w:pPr>
    <w:rPr>
      <w:rFonts w:ascii="等线" w:hAnsi="等线" w:eastAsia="仿宋" w:cs="Times New Roman"/>
      <w:kern w:val="2"/>
      <w:sz w:val="24"/>
      <w:szCs w:val="22"/>
      <w:lang w:val="en-US" w:eastAsia="zh-CN" w:bidi="ar-SA"/>
    </w:rPr>
  </w:style>
  <w:style w:type="paragraph" w:customStyle="1" w:styleId="11">
    <w:name w:val="标题 5（有编号）（绿盟科技）"/>
    <w:basedOn w:val="12"/>
    <w:next w:val="15"/>
    <w:qFormat/>
    <w:uiPriority w:val="0"/>
    <w:pPr>
      <w:keepNext/>
      <w:keepLines/>
      <w:numPr>
        <w:ilvl w:val="4"/>
        <w:numId w:val="2"/>
      </w:numPr>
      <w:tabs>
        <w:tab w:val="left" w:pos="0"/>
      </w:tabs>
      <w:spacing w:before="280" w:after="156" w:line="377" w:lineRule="auto"/>
      <w:jc w:val="left"/>
      <w:outlineLvl w:val="4"/>
    </w:pPr>
    <w:rPr>
      <w:rFonts w:ascii="Arial" w:hAnsi="Arial" w:eastAsia="黑体"/>
      <w:b/>
      <w:sz w:val="24"/>
      <w:szCs w:val="28"/>
    </w:rPr>
  </w:style>
  <w:style w:type="paragraph" w:customStyle="1" w:styleId="12">
    <w:name w:val="正文1"/>
    <w:next w:val="13"/>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3">
    <w:name w:val="正文文本1"/>
    <w:basedOn w:val="14"/>
    <w:next w:val="12"/>
    <w:qFormat/>
    <w:uiPriority w:val="0"/>
    <w:pPr>
      <w:tabs>
        <w:tab w:val="left" w:pos="0"/>
      </w:tabs>
    </w:pPr>
    <w:rPr>
      <w:sz w:val="18"/>
    </w:rPr>
  </w:style>
  <w:style w:type="paragraph" w:customStyle="1" w:styleId="14">
    <w:name w:val="表格内1"/>
    <w:next w:val="13"/>
    <w:qFormat/>
    <w:uiPriority w:val="0"/>
    <w:pPr>
      <w:widowControl w:val="0"/>
      <w:numPr>
        <w:ilvl w:val="0"/>
        <w:numId w:val="3"/>
      </w:numPr>
      <w:jc w:val="both"/>
    </w:pPr>
    <w:rPr>
      <w:rFonts w:ascii="Calibri" w:hAnsi="Calibri" w:eastAsia="宋体" w:cs="黑体"/>
      <w:b/>
      <w:kern w:val="2"/>
      <w:sz w:val="21"/>
      <w:szCs w:val="22"/>
      <w:lang w:val="en-US" w:eastAsia="zh-CN" w:bidi="ar-SA"/>
    </w:rPr>
  </w:style>
  <w:style w:type="paragraph" w:customStyle="1" w:styleId="15">
    <w:name w:val="正文（绿盟科技）"/>
    <w:next w:val="1"/>
    <w:qFormat/>
    <w:uiPriority w:val="0"/>
    <w:pPr>
      <w:spacing w:line="300" w:lineRule="auto"/>
    </w:pPr>
    <w:rPr>
      <w:rFonts w:ascii="Arial" w:hAnsi="Arial" w:eastAsia="宋体" w:cs="黑体"/>
      <w:sz w:val="21"/>
      <w:szCs w:val="21"/>
      <w:lang w:val="en-US" w:eastAsia="zh-CN" w:bidi="ar-SA"/>
    </w:rPr>
  </w:style>
  <w:style w:type="paragraph" w:customStyle="1" w:styleId="16">
    <w:name w:val="03、“注：”正文(加粗，首行缩进2字符)"/>
    <w:basedOn w:val="5"/>
    <w:qFormat/>
    <w:uiPriority w:val="0"/>
    <w:pPr>
      <w:ind w:firstLine="480" w:firstLineChars="200"/>
    </w:pPr>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2026-09-10T08:32:00Z</dcterms:created>
  <dc:creator>   _</dc:creator>
  <cp:lastModifiedBy>   _</cp:lastModifiedBy>
  <dcterms:modified xsi:type="dcterms:W3CDTF">2026-09-10T08:33:25Z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77859DB6094E44DDB95565E2719777C9_11</vt:lpwstr>
  </property>
  <property fmtid="{D5CDD505-2E9C-101B-9397-08002B2CF9AE}" pid="4" name="KSOTemplateDocerSaveRecord">
    <vt:lpwstr>eyJoZGlkIjoiZDc4NWFmOWUxZDRmYWVjZDg3ZDdiNTk4Y2FiN2Y0OWMiLCJ1c2VySWQiOiI0NzMwMTY0NDUifQ==</vt:lpwstr>
  </property>
</Properties>
</file>