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olor w:val="auto"/>
        </w:rPr>
      </w:pPr>
    </w:p>
    <w:p>
      <w:pPr>
        <w:spacing w:line="360" w:lineRule="auto"/>
        <w:jc w:val="center"/>
        <w:rPr>
          <w:rFonts w:hint="eastAsia" w:ascii="宋体" w:hAnsi="宋体"/>
          <w:color w:val="auto"/>
        </w:rPr>
      </w:pPr>
      <w:r>
        <w:rPr>
          <w:rFonts w:hint="eastAsia" w:ascii="宋体" w:hAnsi="宋体"/>
          <w:color w:val="auto"/>
        </w:rPr>
        <w:drawing>
          <wp:inline distT="0" distB="0" distL="114300" distR="114300">
            <wp:extent cx="2880995" cy="2667635"/>
            <wp:effectExtent l="0" t="0" r="14605" b="18415"/>
            <wp:docPr id="3" name="图片 1" descr="中程logo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中程logo图片"/>
                    <pic:cNvPicPr>
                      <a:picLocks noChangeAspect="1"/>
                    </pic:cNvPicPr>
                  </pic:nvPicPr>
                  <pic:blipFill>
                    <a:blip r:embed="rId7"/>
                    <a:stretch>
                      <a:fillRect/>
                    </a:stretch>
                  </pic:blipFill>
                  <pic:spPr>
                    <a:xfrm>
                      <a:off x="0" y="0"/>
                      <a:ext cx="2880995" cy="2667635"/>
                    </a:xfrm>
                    <a:prstGeom prst="rect">
                      <a:avLst/>
                    </a:prstGeom>
                    <a:noFill/>
                    <a:ln>
                      <a:noFill/>
                    </a:ln>
                  </pic:spPr>
                </pic:pic>
              </a:graphicData>
            </a:graphic>
          </wp:inline>
        </w:drawing>
      </w:r>
    </w:p>
    <w:p>
      <w:pPr>
        <w:spacing w:line="360" w:lineRule="auto"/>
        <w:jc w:val="center"/>
        <w:rPr>
          <w:rFonts w:hint="eastAsia" w:ascii="宋体" w:hAnsi="宋体"/>
          <w:color w:val="auto"/>
        </w:rPr>
      </w:pPr>
    </w:p>
    <w:p>
      <w:pPr>
        <w:spacing w:line="360" w:lineRule="auto"/>
        <w:rPr>
          <w:rFonts w:ascii="宋体" w:hAnsi="宋体"/>
          <w:color w:val="auto"/>
        </w:rPr>
      </w:pPr>
    </w:p>
    <w:p>
      <w:pPr>
        <w:spacing w:line="360" w:lineRule="auto"/>
        <w:jc w:val="center"/>
        <w:rPr>
          <w:rFonts w:ascii="宋体" w:hAnsi="宋体"/>
          <w:b/>
          <w:bCs/>
          <w:color w:val="auto"/>
          <w:spacing w:val="-30"/>
          <w:sz w:val="100"/>
          <w:szCs w:val="100"/>
        </w:rPr>
      </w:pPr>
      <w:r>
        <w:rPr>
          <w:rFonts w:hint="eastAsia" w:ascii="宋体" w:hAnsi="宋体"/>
          <w:b/>
          <w:bCs/>
          <w:color w:val="auto"/>
          <w:spacing w:val="-30"/>
          <w:sz w:val="100"/>
          <w:szCs w:val="100"/>
        </w:rPr>
        <w:t>公开招标文件</w:t>
      </w:r>
    </w:p>
    <w:p>
      <w:pPr>
        <w:spacing w:line="360" w:lineRule="auto"/>
        <w:jc w:val="center"/>
        <w:rPr>
          <w:rFonts w:ascii="宋体" w:hAnsi="宋体"/>
          <w:color w:val="auto"/>
        </w:rPr>
      </w:pPr>
    </w:p>
    <w:p>
      <w:pPr>
        <w:spacing w:line="360" w:lineRule="auto"/>
        <w:ind w:firstLine="1044" w:firstLineChars="495"/>
        <w:rPr>
          <w:rFonts w:ascii="宋体" w:hAnsi="宋体"/>
          <w:b/>
          <w:bCs/>
          <w:color w:val="auto"/>
        </w:rPr>
      </w:pPr>
    </w:p>
    <w:p>
      <w:pPr>
        <w:spacing w:line="360" w:lineRule="auto"/>
        <w:rPr>
          <w:rFonts w:ascii="宋体" w:hAnsi="宋体"/>
          <w:b/>
          <w:bCs/>
          <w:color w:val="auto"/>
        </w:rPr>
      </w:pPr>
    </w:p>
    <w:p>
      <w:pPr>
        <w:rPr>
          <w:rFonts w:ascii="宋体" w:hAnsi="宋体" w:cs="宋体"/>
          <w:color w:val="auto"/>
          <w:kern w:val="0"/>
          <w:sz w:val="36"/>
          <w:szCs w:val="36"/>
        </w:rPr>
      </w:pPr>
      <w:r>
        <w:rPr>
          <w:rFonts w:hint="eastAsia" w:ascii="宋体" w:hAnsi="宋体"/>
          <w:b/>
          <w:bCs/>
          <w:color w:val="auto"/>
          <w:sz w:val="36"/>
          <w:szCs w:val="36"/>
        </w:rPr>
        <w:t>项目编号:</w:t>
      </w:r>
      <w:r>
        <w:rPr>
          <w:rFonts w:ascii="宋体" w:hAnsi="宋体"/>
          <w:b/>
          <w:bCs/>
          <w:color w:val="auto"/>
          <w:sz w:val="36"/>
          <w:szCs w:val="36"/>
        </w:rPr>
        <w:t>GDZC24DB1010Z</w:t>
      </w:r>
    </w:p>
    <w:p>
      <w:pPr>
        <w:rPr>
          <w:rFonts w:ascii="宋体" w:hAnsi="宋体" w:cs="宋体"/>
          <w:color w:val="auto"/>
          <w:kern w:val="0"/>
          <w:sz w:val="36"/>
          <w:szCs w:val="36"/>
        </w:rPr>
      </w:pPr>
      <w:r>
        <w:rPr>
          <w:rFonts w:hint="eastAsia" w:ascii="宋体" w:hAnsi="宋体"/>
          <w:b/>
          <w:bCs/>
          <w:color w:val="auto"/>
          <w:sz w:val="36"/>
          <w:szCs w:val="36"/>
        </w:rPr>
        <w:t>项目名称:</w:t>
      </w:r>
      <w:r>
        <w:rPr>
          <w:rFonts w:ascii="宋体" w:hAnsi="宋体"/>
          <w:b/>
          <w:bCs/>
          <w:color w:val="auto"/>
          <w:sz w:val="36"/>
          <w:szCs w:val="36"/>
        </w:rPr>
        <w:t xml:space="preserve">广东省外语艺术职业学院校园网出口带宽服务项目定点议价供应商资格遴选 </w:t>
      </w:r>
    </w:p>
    <w:p>
      <w:pPr>
        <w:spacing w:line="360" w:lineRule="auto"/>
        <w:rPr>
          <w:rFonts w:ascii="宋体" w:hAnsi="宋体"/>
          <w:b/>
          <w:bCs/>
          <w:color w:val="auto"/>
          <w:sz w:val="36"/>
          <w:szCs w:val="36"/>
        </w:rPr>
      </w:pPr>
    </w:p>
    <w:p>
      <w:pPr>
        <w:spacing w:line="360" w:lineRule="auto"/>
        <w:ind w:left="420"/>
        <w:jc w:val="center"/>
        <w:rPr>
          <w:rFonts w:ascii="宋体" w:hAnsi="宋体"/>
          <w:b/>
          <w:bCs/>
          <w:color w:val="auto"/>
        </w:rPr>
      </w:pPr>
    </w:p>
    <w:p>
      <w:pPr>
        <w:spacing w:line="360" w:lineRule="auto"/>
        <w:ind w:left="420"/>
        <w:jc w:val="center"/>
        <w:rPr>
          <w:rFonts w:ascii="宋体" w:hAnsi="宋体"/>
          <w:b/>
          <w:bCs/>
          <w:color w:val="auto"/>
        </w:rPr>
      </w:pPr>
    </w:p>
    <w:p>
      <w:pPr>
        <w:spacing w:line="360" w:lineRule="auto"/>
        <w:rPr>
          <w:rFonts w:hint="eastAsia" w:ascii="宋体" w:hAnsi="宋体"/>
          <w:b/>
          <w:bCs/>
          <w:color w:val="auto"/>
        </w:rPr>
      </w:pPr>
    </w:p>
    <w:p>
      <w:pPr>
        <w:spacing w:line="360" w:lineRule="auto"/>
        <w:jc w:val="center"/>
        <w:rPr>
          <w:rFonts w:ascii="宋体" w:hAnsi="宋体"/>
          <w:b/>
          <w:bCs/>
          <w:color w:val="auto"/>
          <w:sz w:val="36"/>
          <w:szCs w:val="36"/>
        </w:rPr>
      </w:pPr>
      <w:r>
        <w:rPr>
          <w:rFonts w:hint="eastAsia" w:ascii="宋体" w:hAnsi="宋体"/>
          <w:b/>
          <w:bCs/>
          <w:color w:val="auto"/>
          <w:sz w:val="36"/>
          <w:szCs w:val="36"/>
        </w:rPr>
        <w:t>广东中程招标代理有限公司</w:t>
      </w:r>
    </w:p>
    <w:p>
      <w:pPr>
        <w:spacing w:line="360" w:lineRule="auto"/>
        <w:jc w:val="center"/>
        <w:rPr>
          <w:rFonts w:ascii="宋体" w:hAnsi="宋体"/>
          <w:b/>
          <w:bCs/>
          <w:color w:val="auto"/>
          <w:sz w:val="36"/>
          <w:szCs w:val="36"/>
        </w:rPr>
      </w:pPr>
      <w:r>
        <w:rPr>
          <w:rFonts w:hint="eastAsia" w:ascii="宋体" w:hAnsi="宋体"/>
          <w:b/>
          <w:bCs/>
          <w:color w:val="auto"/>
          <w:sz w:val="36"/>
          <w:szCs w:val="36"/>
        </w:rPr>
        <w:t>2024年</w:t>
      </w:r>
      <w:r>
        <w:rPr>
          <w:rFonts w:hint="eastAsia" w:ascii="宋体" w:hAnsi="宋体"/>
          <w:b/>
          <w:bCs/>
          <w:color w:val="auto"/>
          <w:sz w:val="36"/>
          <w:szCs w:val="36"/>
          <w:lang w:val="en-US" w:eastAsia="zh-CN"/>
        </w:rPr>
        <w:t>7</w:t>
      </w:r>
      <w:r>
        <w:rPr>
          <w:rFonts w:hint="eastAsia" w:ascii="宋体" w:hAnsi="宋体"/>
          <w:b/>
          <w:bCs/>
          <w:color w:val="auto"/>
          <w:sz w:val="36"/>
          <w:szCs w:val="36"/>
        </w:rPr>
        <w:t>月</w:t>
      </w:r>
    </w:p>
    <w:p>
      <w:pPr>
        <w:spacing w:line="360" w:lineRule="auto"/>
        <w:jc w:val="center"/>
        <w:rPr>
          <w:rFonts w:ascii="宋体" w:hAnsi="宋体"/>
          <w:b/>
          <w:color w:val="auto"/>
          <w:sz w:val="36"/>
          <w:szCs w:val="36"/>
        </w:rPr>
      </w:pPr>
      <w:r>
        <w:rPr>
          <w:rFonts w:ascii="宋体" w:hAnsi="宋体"/>
          <w:b/>
          <w:color w:val="auto"/>
          <w:sz w:val="36"/>
          <w:szCs w:val="36"/>
        </w:rPr>
        <w:br w:type="page"/>
      </w:r>
      <w:r>
        <w:rPr>
          <w:rFonts w:hint="eastAsia" w:ascii="宋体" w:hAnsi="宋体"/>
          <w:b/>
          <w:color w:val="auto"/>
          <w:sz w:val="36"/>
          <w:szCs w:val="36"/>
        </w:rPr>
        <w:t>特别提醒：投标注意事项</w:t>
      </w:r>
    </w:p>
    <w:p>
      <w:pPr>
        <w:spacing w:line="360" w:lineRule="auto"/>
        <w:jc w:val="center"/>
        <w:rPr>
          <w:rFonts w:ascii="宋体" w:hAnsi="宋体"/>
          <w:color w:val="auto"/>
          <w:sz w:val="24"/>
        </w:rPr>
      </w:pPr>
    </w:p>
    <w:p>
      <w:pPr>
        <w:numPr>
          <w:ilvl w:val="0"/>
          <w:numId w:val="1"/>
        </w:numPr>
        <w:tabs>
          <w:tab w:val="left" w:pos="315"/>
        </w:tabs>
        <w:spacing w:line="360" w:lineRule="auto"/>
        <w:ind w:left="0" w:firstLine="420" w:firstLineChars="200"/>
        <w:rPr>
          <w:rFonts w:ascii="宋体" w:hAnsi="宋体"/>
          <w:color w:val="auto"/>
          <w:szCs w:val="21"/>
        </w:rPr>
      </w:pPr>
      <w:r>
        <w:rPr>
          <w:rFonts w:hint="eastAsia" w:ascii="宋体" w:hAnsi="宋体"/>
          <w:color w:val="auto"/>
          <w:szCs w:val="21"/>
        </w:rPr>
        <w:t>投标截止时间一到，本招标代理机构不接收投标人的任何投标文件及相关资料。为此，请适当提前到达。</w:t>
      </w:r>
    </w:p>
    <w:p>
      <w:pPr>
        <w:numPr>
          <w:ilvl w:val="0"/>
          <w:numId w:val="1"/>
        </w:numPr>
        <w:tabs>
          <w:tab w:val="left" w:pos="315"/>
        </w:tabs>
        <w:spacing w:line="360" w:lineRule="auto"/>
        <w:ind w:left="0" w:firstLine="420" w:firstLineChars="200"/>
        <w:rPr>
          <w:rFonts w:ascii="宋体" w:hAnsi="宋体"/>
          <w:color w:val="auto"/>
        </w:rPr>
      </w:pPr>
      <w:r>
        <w:rPr>
          <w:rFonts w:hint="eastAsia" w:ascii="宋体" w:hAnsi="宋体"/>
          <w:color w:val="auto"/>
        </w:rPr>
        <w:t>投标保证金最好在投标截止时间前一个工作日到达我公司账户（投标保证金账户：广东中程招标代理有限公司，账号：9902000267613784，开户银行：中国民生银行广州新城支行）。由于转账当天不一定能够到账，为避免因投标保证金未到账而导致投标被拒，建议至少提前二个工作日转账。</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rPr>
        <w:t>投标人请注意区分邮购招标文件、投标保证金及招标代理服务费各收款账号的区别。务必将投标保证金按招标文件的要求存入指定的投标保证金缴纳账户，切勿将款项转错账户，以免影响投标及保证金退还的速度。邮购招标文件、招标代理服务费存入指定的招标代理服务费缴费账户。</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请正确填写《开标一览表》。如有多包项目请仔细检查包组号，包组号跟包组内容必须一致。</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请仔细检查招标文件要求盖公章、签名、签署日期之处。</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如所投产品属于许可证管理范围内的，须提交相应的许可证复印件。</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ascii="宋体" w:hAnsi="宋体" w:cs="Arial"/>
          <w:color w:val="auto"/>
          <w:szCs w:val="21"/>
        </w:rPr>
        <w:t>如投标人以</w:t>
      </w:r>
      <w:r>
        <w:rPr>
          <w:rFonts w:hint="eastAsia" w:ascii="宋体" w:hAnsi="宋体" w:cs="Arial"/>
          <w:color w:val="auto"/>
          <w:szCs w:val="21"/>
        </w:rPr>
        <w:t>非独立法人注册的</w:t>
      </w:r>
      <w:r>
        <w:rPr>
          <w:rFonts w:ascii="宋体" w:hAnsi="宋体" w:cs="Arial"/>
          <w:color w:val="auto"/>
          <w:szCs w:val="21"/>
        </w:rPr>
        <w:t>分公司名义代表总公司盖章和签署文件的</w:t>
      </w:r>
      <w:r>
        <w:rPr>
          <w:rFonts w:hint="eastAsia" w:ascii="宋体" w:hAnsi="宋体"/>
          <w:color w:val="auto"/>
          <w:szCs w:val="21"/>
        </w:rPr>
        <w:t>，须提供总公司的营业执照副本复印件及总公司针对本项目投标的授权书原件。</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加★号的条款必须一一响应。</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投标文件应按顺序编制页码。</w:t>
      </w:r>
    </w:p>
    <w:p>
      <w:pPr>
        <w:numPr>
          <w:ilvl w:val="0"/>
          <w:numId w:val="1"/>
        </w:numPr>
        <w:tabs>
          <w:tab w:val="left" w:pos="0"/>
          <w:tab w:val="left" w:pos="315"/>
        </w:tabs>
        <w:spacing w:line="360" w:lineRule="auto"/>
        <w:ind w:left="0" w:firstLine="420" w:firstLineChars="200"/>
        <w:rPr>
          <w:rFonts w:ascii="宋体" w:hAnsi="宋体"/>
          <w:color w:val="auto"/>
          <w:szCs w:val="21"/>
        </w:rPr>
      </w:pPr>
      <w:r>
        <w:rPr>
          <w:rFonts w:hint="eastAsia" w:ascii="宋体" w:hAnsi="宋体"/>
          <w:color w:val="auto"/>
          <w:szCs w:val="21"/>
        </w:rPr>
        <w:t>为了提高采购效率，节约社会交易成本与时间，本公司希望购买了招标文件而决定不参加本次投标的投标人，在投标文件递交截止时间的3日前，按《投标邀请函》中的联系方式，以书面形式告知招标代理机构。对您的支持与配合，谨此致谢。</w:t>
      </w:r>
    </w:p>
    <w:p>
      <w:pPr>
        <w:tabs>
          <w:tab w:val="left" w:pos="315"/>
        </w:tabs>
        <w:spacing w:line="360" w:lineRule="auto"/>
        <w:ind w:firstLine="420" w:firstLineChars="200"/>
        <w:rPr>
          <w:rFonts w:ascii="宋体" w:hAnsi="宋体"/>
          <w:color w:val="auto"/>
          <w:szCs w:val="21"/>
        </w:rPr>
      </w:pPr>
      <w:r>
        <w:rPr>
          <w:rFonts w:hint="eastAsia" w:ascii="宋体" w:hAnsi="宋体"/>
          <w:color w:val="auto"/>
          <w:szCs w:val="21"/>
        </w:rPr>
        <w:t>（本提示内容非招标文件的组成部分，仅为善意提醒。如有不一致，以招标文件为准。）</w:t>
      </w:r>
    </w:p>
    <w:p>
      <w:pPr>
        <w:spacing w:line="360" w:lineRule="auto"/>
        <w:ind w:firstLine="105" w:firstLineChars="50"/>
        <w:rPr>
          <w:rFonts w:ascii="宋体" w:hAnsi="宋体"/>
          <w:color w:val="auto"/>
          <w:szCs w:val="21"/>
        </w:rPr>
      </w:pPr>
    </w:p>
    <w:p>
      <w:pPr>
        <w:spacing w:line="360" w:lineRule="auto"/>
        <w:jc w:val="center"/>
        <w:rPr>
          <w:rFonts w:ascii="宋体" w:hAnsi="宋体"/>
          <w:b/>
          <w:bCs/>
          <w:color w:val="auto"/>
        </w:rPr>
      </w:pPr>
    </w:p>
    <w:p>
      <w:pPr>
        <w:spacing w:line="360" w:lineRule="auto"/>
        <w:jc w:val="center"/>
        <w:rPr>
          <w:rFonts w:ascii="宋体" w:hAnsi="宋体"/>
          <w:b/>
          <w:bCs/>
          <w:color w:val="auto"/>
          <w:sz w:val="36"/>
          <w:szCs w:val="36"/>
        </w:rPr>
      </w:pPr>
      <w:r>
        <w:rPr>
          <w:rFonts w:ascii="宋体" w:hAnsi="宋体"/>
          <w:b/>
          <w:bCs/>
          <w:color w:val="auto"/>
          <w:sz w:val="36"/>
          <w:szCs w:val="36"/>
        </w:rPr>
        <w:br w:type="page"/>
      </w:r>
      <w:r>
        <w:rPr>
          <w:rFonts w:hint="eastAsia" w:ascii="宋体" w:hAnsi="宋体"/>
          <w:b/>
          <w:bCs/>
          <w:color w:val="auto"/>
          <w:sz w:val="36"/>
          <w:szCs w:val="36"/>
        </w:rPr>
        <w:t>目  录</w:t>
      </w:r>
    </w:p>
    <w:p>
      <w:pPr>
        <w:spacing w:line="360" w:lineRule="auto"/>
        <w:jc w:val="center"/>
        <w:rPr>
          <w:rFonts w:ascii="宋体" w:hAnsi="宋体"/>
          <w:b/>
          <w:bCs/>
          <w:color w:val="auto"/>
        </w:rPr>
      </w:pPr>
    </w:p>
    <w:p>
      <w:pPr>
        <w:spacing w:line="360" w:lineRule="auto"/>
        <w:jc w:val="center"/>
        <w:rPr>
          <w:rFonts w:ascii="宋体" w:hAnsi="宋体"/>
          <w:bCs/>
          <w:color w:val="auto"/>
        </w:rPr>
      </w:pPr>
    </w:p>
    <w:p>
      <w:pPr>
        <w:pStyle w:val="24"/>
        <w:rPr>
          <w:rFonts w:ascii="Times New Roman" w:eastAsia="宋体"/>
          <w:color w:val="auto"/>
          <w:sz w:val="30"/>
          <w:szCs w:val="30"/>
        </w:rPr>
      </w:pPr>
      <w:r>
        <w:rPr>
          <w:rFonts w:ascii="宋体" w:hAnsi="宋体" w:eastAsia="宋体"/>
          <w:b/>
          <w:color w:val="auto"/>
          <w:sz w:val="30"/>
          <w:szCs w:val="30"/>
        </w:rPr>
        <w:fldChar w:fldCharType="begin"/>
      </w:r>
      <w:r>
        <w:rPr>
          <w:rFonts w:ascii="宋体" w:hAnsi="宋体" w:eastAsia="宋体"/>
          <w:b/>
          <w:color w:val="auto"/>
          <w:sz w:val="30"/>
          <w:szCs w:val="30"/>
        </w:rPr>
        <w:instrText xml:space="preserve"> TOC \o "1-1" \h \z \u </w:instrText>
      </w:r>
      <w:r>
        <w:rPr>
          <w:rFonts w:ascii="宋体" w:hAnsi="宋体" w:eastAsia="宋体"/>
          <w:b/>
          <w:color w:val="auto"/>
          <w:sz w:val="30"/>
          <w:szCs w:val="30"/>
        </w:rPr>
        <w:fldChar w:fldCharType="separate"/>
      </w:r>
      <w:r>
        <w:rPr>
          <w:color w:val="auto"/>
        </w:rPr>
        <w:fldChar w:fldCharType="begin"/>
      </w:r>
      <w:r>
        <w:rPr>
          <w:color w:val="auto"/>
        </w:rPr>
        <w:instrText xml:space="preserve"> HYPERLINK \l "_Toc417914517" </w:instrText>
      </w:r>
      <w:r>
        <w:rPr>
          <w:color w:val="auto"/>
        </w:rPr>
        <w:fldChar w:fldCharType="separate"/>
      </w:r>
      <w:r>
        <w:rPr>
          <w:rStyle w:val="41"/>
          <w:rFonts w:hint="eastAsia" w:ascii="宋体" w:hAnsi="宋体"/>
          <w:color w:val="auto"/>
          <w:sz w:val="30"/>
          <w:szCs w:val="30"/>
        </w:rPr>
        <w:t>第一章</w:t>
      </w:r>
      <w:r>
        <w:rPr>
          <w:rStyle w:val="41"/>
          <w:rFonts w:ascii="宋体" w:hAnsi="宋体"/>
          <w:color w:val="auto"/>
          <w:sz w:val="30"/>
          <w:szCs w:val="30"/>
        </w:rPr>
        <w:t xml:space="preserve">  </w:t>
      </w:r>
      <w:r>
        <w:rPr>
          <w:rStyle w:val="41"/>
          <w:rFonts w:hint="eastAsia" w:ascii="宋体" w:hAnsi="宋体"/>
          <w:color w:val="auto"/>
          <w:sz w:val="30"/>
          <w:szCs w:val="30"/>
        </w:rPr>
        <w:t>投</w:t>
      </w:r>
      <w:r>
        <w:rPr>
          <w:rStyle w:val="41"/>
          <w:rFonts w:ascii="宋体" w:hAnsi="宋体"/>
          <w:color w:val="auto"/>
          <w:sz w:val="30"/>
          <w:szCs w:val="30"/>
        </w:rPr>
        <w:t xml:space="preserve"> </w:t>
      </w:r>
      <w:r>
        <w:rPr>
          <w:rStyle w:val="41"/>
          <w:rFonts w:hint="eastAsia" w:ascii="宋体" w:hAnsi="宋体"/>
          <w:color w:val="auto"/>
          <w:sz w:val="30"/>
          <w:szCs w:val="30"/>
        </w:rPr>
        <w:t>标</w:t>
      </w:r>
      <w:r>
        <w:rPr>
          <w:rStyle w:val="41"/>
          <w:rFonts w:ascii="宋体" w:hAnsi="宋体"/>
          <w:color w:val="auto"/>
          <w:sz w:val="30"/>
          <w:szCs w:val="30"/>
        </w:rPr>
        <w:t xml:space="preserve"> </w:t>
      </w:r>
      <w:r>
        <w:rPr>
          <w:rStyle w:val="41"/>
          <w:rFonts w:hint="eastAsia" w:ascii="宋体" w:hAnsi="宋体"/>
          <w:color w:val="auto"/>
          <w:sz w:val="30"/>
          <w:szCs w:val="30"/>
        </w:rPr>
        <w:t>邀</w:t>
      </w:r>
      <w:r>
        <w:rPr>
          <w:rStyle w:val="41"/>
          <w:rFonts w:ascii="宋体" w:hAnsi="宋体"/>
          <w:color w:val="auto"/>
          <w:sz w:val="30"/>
          <w:szCs w:val="30"/>
        </w:rPr>
        <w:t xml:space="preserve"> </w:t>
      </w:r>
      <w:r>
        <w:rPr>
          <w:rStyle w:val="41"/>
          <w:rFonts w:hint="eastAsia" w:ascii="宋体" w:hAnsi="宋体"/>
          <w:color w:val="auto"/>
          <w:sz w:val="30"/>
          <w:szCs w:val="30"/>
        </w:rPr>
        <w:t>请</w:t>
      </w:r>
      <w:r>
        <w:rPr>
          <w:rStyle w:val="41"/>
          <w:rFonts w:ascii="宋体" w:hAnsi="宋体"/>
          <w:color w:val="auto"/>
          <w:sz w:val="30"/>
          <w:szCs w:val="30"/>
        </w:rPr>
        <w:t xml:space="preserve"> </w:t>
      </w:r>
      <w:r>
        <w:rPr>
          <w:rStyle w:val="41"/>
          <w:rFonts w:hint="eastAsia" w:ascii="宋体" w:hAnsi="宋体"/>
          <w:color w:val="auto"/>
          <w:sz w:val="30"/>
          <w:szCs w:val="30"/>
        </w:rPr>
        <w:t>函</w:t>
      </w:r>
      <w:r>
        <w:rPr>
          <w:color w:val="auto"/>
          <w:sz w:val="30"/>
          <w:szCs w:val="30"/>
        </w:rPr>
        <w:tab/>
      </w:r>
      <w:r>
        <w:rPr>
          <w:color w:val="auto"/>
          <w:sz w:val="30"/>
          <w:szCs w:val="30"/>
        </w:rPr>
        <w:fldChar w:fldCharType="begin"/>
      </w:r>
      <w:r>
        <w:rPr>
          <w:color w:val="auto"/>
          <w:sz w:val="30"/>
          <w:szCs w:val="30"/>
        </w:rPr>
        <w:instrText xml:space="preserve"> PAGEREF _Toc417914517 \h </w:instrText>
      </w:r>
      <w:r>
        <w:rPr>
          <w:color w:val="auto"/>
          <w:sz w:val="30"/>
          <w:szCs w:val="30"/>
        </w:rPr>
        <w:fldChar w:fldCharType="separate"/>
      </w:r>
      <w:r>
        <w:rPr>
          <w:color w:val="auto"/>
          <w:sz w:val="30"/>
          <w:szCs w:val="30"/>
        </w:rPr>
        <w:t>4</w:t>
      </w:r>
      <w:r>
        <w:rPr>
          <w:color w:val="auto"/>
          <w:sz w:val="30"/>
          <w:szCs w:val="30"/>
        </w:rPr>
        <w:fldChar w:fldCharType="end"/>
      </w:r>
      <w:r>
        <w:rPr>
          <w:color w:val="auto"/>
          <w:sz w:val="30"/>
          <w:szCs w:val="30"/>
        </w:rPr>
        <w:fldChar w:fldCharType="end"/>
      </w:r>
    </w:p>
    <w:p>
      <w:pPr>
        <w:pStyle w:val="24"/>
        <w:rPr>
          <w:rFonts w:ascii="Times New Roman" w:eastAsia="宋体"/>
          <w:color w:val="auto"/>
          <w:sz w:val="30"/>
          <w:szCs w:val="30"/>
        </w:rPr>
      </w:pPr>
      <w:r>
        <w:rPr>
          <w:color w:val="auto"/>
        </w:rPr>
        <w:fldChar w:fldCharType="begin"/>
      </w:r>
      <w:r>
        <w:rPr>
          <w:color w:val="auto"/>
        </w:rPr>
        <w:instrText xml:space="preserve"> HYPERLINK \l "_Toc417914518" </w:instrText>
      </w:r>
      <w:r>
        <w:rPr>
          <w:color w:val="auto"/>
        </w:rPr>
        <w:fldChar w:fldCharType="separate"/>
      </w:r>
      <w:r>
        <w:rPr>
          <w:rStyle w:val="41"/>
          <w:rFonts w:hint="eastAsia" w:ascii="宋体" w:hAnsi="宋体"/>
          <w:color w:val="auto"/>
          <w:sz w:val="30"/>
          <w:szCs w:val="30"/>
        </w:rPr>
        <w:t>第二章</w:t>
      </w:r>
      <w:r>
        <w:rPr>
          <w:rStyle w:val="41"/>
          <w:rFonts w:ascii="宋体" w:hAnsi="宋体"/>
          <w:color w:val="auto"/>
          <w:sz w:val="30"/>
          <w:szCs w:val="30"/>
        </w:rPr>
        <w:t xml:space="preserve">  </w:t>
      </w:r>
      <w:r>
        <w:rPr>
          <w:rStyle w:val="41"/>
          <w:rFonts w:hint="eastAsia" w:ascii="宋体" w:hAnsi="宋体"/>
          <w:color w:val="auto"/>
          <w:sz w:val="30"/>
          <w:szCs w:val="30"/>
        </w:rPr>
        <w:t>用</w:t>
      </w:r>
      <w:r>
        <w:rPr>
          <w:rStyle w:val="41"/>
          <w:rFonts w:ascii="宋体" w:hAnsi="宋体"/>
          <w:color w:val="auto"/>
          <w:sz w:val="30"/>
          <w:szCs w:val="30"/>
        </w:rPr>
        <w:t xml:space="preserve"> </w:t>
      </w:r>
      <w:r>
        <w:rPr>
          <w:rStyle w:val="41"/>
          <w:rFonts w:hint="eastAsia" w:ascii="宋体" w:hAnsi="宋体"/>
          <w:color w:val="auto"/>
          <w:sz w:val="30"/>
          <w:szCs w:val="30"/>
        </w:rPr>
        <w:t>户</w:t>
      </w:r>
      <w:r>
        <w:rPr>
          <w:rStyle w:val="41"/>
          <w:rFonts w:ascii="宋体" w:hAnsi="宋体"/>
          <w:color w:val="auto"/>
          <w:sz w:val="30"/>
          <w:szCs w:val="30"/>
        </w:rPr>
        <w:t xml:space="preserve"> </w:t>
      </w:r>
      <w:r>
        <w:rPr>
          <w:rStyle w:val="41"/>
          <w:rFonts w:hint="eastAsia" w:ascii="宋体" w:hAnsi="宋体"/>
          <w:color w:val="auto"/>
          <w:sz w:val="30"/>
          <w:szCs w:val="30"/>
        </w:rPr>
        <w:t>需</w:t>
      </w:r>
      <w:r>
        <w:rPr>
          <w:rStyle w:val="41"/>
          <w:rFonts w:ascii="宋体" w:hAnsi="宋体"/>
          <w:color w:val="auto"/>
          <w:sz w:val="30"/>
          <w:szCs w:val="30"/>
        </w:rPr>
        <w:t xml:space="preserve"> </w:t>
      </w:r>
      <w:r>
        <w:rPr>
          <w:rStyle w:val="41"/>
          <w:rFonts w:hint="eastAsia" w:ascii="宋体" w:hAnsi="宋体"/>
          <w:color w:val="auto"/>
          <w:sz w:val="30"/>
          <w:szCs w:val="30"/>
        </w:rPr>
        <w:t>求</w:t>
      </w:r>
      <w:r>
        <w:rPr>
          <w:rStyle w:val="41"/>
          <w:rFonts w:ascii="宋体" w:hAnsi="宋体"/>
          <w:color w:val="auto"/>
          <w:sz w:val="30"/>
          <w:szCs w:val="30"/>
        </w:rPr>
        <w:t xml:space="preserve"> </w:t>
      </w:r>
      <w:r>
        <w:rPr>
          <w:rStyle w:val="41"/>
          <w:rFonts w:hint="eastAsia" w:ascii="宋体" w:hAnsi="宋体"/>
          <w:color w:val="auto"/>
          <w:sz w:val="30"/>
          <w:szCs w:val="30"/>
        </w:rPr>
        <w:t>书</w:t>
      </w:r>
      <w:r>
        <w:rPr>
          <w:color w:val="auto"/>
          <w:sz w:val="30"/>
          <w:szCs w:val="30"/>
        </w:rPr>
        <w:tab/>
      </w:r>
      <w:r>
        <w:rPr>
          <w:color w:val="auto"/>
          <w:sz w:val="30"/>
          <w:szCs w:val="30"/>
        </w:rPr>
        <w:fldChar w:fldCharType="begin"/>
      </w:r>
      <w:r>
        <w:rPr>
          <w:color w:val="auto"/>
          <w:sz w:val="30"/>
          <w:szCs w:val="30"/>
        </w:rPr>
        <w:instrText xml:space="preserve"> PAGEREF _Toc417914518 \h </w:instrText>
      </w:r>
      <w:r>
        <w:rPr>
          <w:color w:val="auto"/>
          <w:sz w:val="30"/>
          <w:szCs w:val="30"/>
        </w:rPr>
        <w:fldChar w:fldCharType="separate"/>
      </w:r>
      <w:r>
        <w:rPr>
          <w:color w:val="auto"/>
          <w:sz w:val="30"/>
          <w:szCs w:val="30"/>
        </w:rPr>
        <w:t>8</w:t>
      </w:r>
      <w:r>
        <w:rPr>
          <w:color w:val="auto"/>
          <w:sz w:val="30"/>
          <w:szCs w:val="30"/>
        </w:rPr>
        <w:fldChar w:fldCharType="end"/>
      </w:r>
      <w:r>
        <w:rPr>
          <w:color w:val="auto"/>
          <w:sz w:val="30"/>
          <w:szCs w:val="30"/>
        </w:rPr>
        <w:fldChar w:fldCharType="end"/>
      </w:r>
    </w:p>
    <w:p>
      <w:pPr>
        <w:pStyle w:val="24"/>
        <w:rPr>
          <w:rFonts w:ascii="Times New Roman" w:eastAsia="宋体"/>
          <w:color w:val="auto"/>
          <w:sz w:val="30"/>
          <w:szCs w:val="30"/>
        </w:rPr>
      </w:pPr>
      <w:r>
        <w:rPr>
          <w:color w:val="auto"/>
        </w:rPr>
        <w:fldChar w:fldCharType="begin"/>
      </w:r>
      <w:r>
        <w:rPr>
          <w:color w:val="auto"/>
        </w:rPr>
        <w:instrText xml:space="preserve"> HYPERLINK \l "_Toc417914519" </w:instrText>
      </w:r>
      <w:r>
        <w:rPr>
          <w:color w:val="auto"/>
        </w:rPr>
        <w:fldChar w:fldCharType="separate"/>
      </w:r>
      <w:r>
        <w:rPr>
          <w:rStyle w:val="41"/>
          <w:rFonts w:hint="eastAsia" w:ascii="宋体" w:hAnsi="宋体"/>
          <w:color w:val="auto"/>
          <w:sz w:val="30"/>
          <w:szCs w:val="30"/>
        </w:rPr>
        <w:t>第三章</w:t>
      </w:r>
      <w:r>
        <w:rPr>
          <w:rStyle w:val="41"/>
          <w:rFonts w:ascii="宋体" w:hAnsi="宋体"/>
          <w:color w:val="auto"/>
          <w:sz w:val="30"/>
          <w:szCs w:val="30"/>
        </w:rPr>
        <w:t xml:space="preserve">  </w:t>
      </w:r>
      <w:r>
        <w:rPr>
          <w:rStyle w:val="41"/>
          <w:rFonts w:hint="eastAsia" w:ascii="宋体" w:hAnsi="宋体"/>
          <w:color w:val="auto"/>
          <w:sz w:val="30"/>
          <w:szCs w:val="30"/>
        </w:rPr>
        <w:t>投</w:t>
      </w:r>
      <w:r>
        <w:rPr>
          <w:rStyle w:val="41"/>
          <w:rFonts w:ascii="宋体" w:hAnsi="宋体"/>
          <w:color w:val="auto"/>
          <w:sz w:val="30"/>
          <w:szCs w:val="30"/>
        </w:rPr>
        <w:t xml:space="preserve"> </w:t>
      </w:r>
      <w:r>
        <w:rPr>
          <w:rStyle w:val="41"/>
          <w:rFonts w:hint="eastAsia" w:ascii="宋体" w:hAnsi="宋体"/>
          <w:color w:val="auto"/>
          <w:sz w:val="30"/>
          <w:szCs w:val="30"/>
        </w:rPr>
        <w:t>标</w:t>
      </w:r>
      <w:r>
        <w:rPr>
          <w:rStyle w:val="41"/>
          <w:rFonts w:ascii="宋体" w:hAnsi="宋体"/>
          <w:color w:val="auto"/>
          <w:sz w:val="30"/>
          <w:szCs w:val="30"/>
        </w:rPr>
        <w:t xml:space="preserve"> </w:t>
      </w:r>
      <w:r>
        <w:rPr>
          <w:rStyle w:val="41"/>
          <w:rFonts w:hint="eastAsia" w:ascii="宋体" w:hAnsi="宋体"/>
          <w:color w:val="auto"/>
          <w:sz w:val="30"/>
          <w:szCs w:val="30"/>
        </w:rPr>
        <w:t>须</w:t>
      </w:r>
      <w:r>
        <w:rPr>
          <w:rStyle w:val="41"/>
          <w:rFonts w:ascii="宋体" w:hAnsi="宋体"/>
          <w:color w:val="auto"/>
          <w:sz w:val="30"/>
          <w:szCs w:val="30"/>
        </w:rPr>
        <w:t xml:space="preserve"> </w:t>
      </w:r>
      <w:r>
        <w:rPr>
          <w:rStyle w:val="41"/>
          <w:rFonts w:hint="eastAsia" w:ascii="宋体" w:hAnsi="宋体"/>
          <w:color w:val="auto"/>
          <w:sz w:val="30"/>
          <w:szCs w:val="30"/>
        </w:rPr>
        <w:t>知</w:t>
      </w:r>
      <w:r>
        <w:rPr>
          <w:color w:val="auto"/>
          <w:sz w:val="30"/>
          <w:szCs w:val="30"/>
        </w:rPr>
        <w:tab/>
      </w:r>
      <w:r>
        <w:rPr>
          <w:color w:val="auto"/>
          <w:sz w:val="30"/>
          <w:szCs w:val="30"/>
        </w:rPr>
        <w:fldChar w:fldCharType="begin"/>
      </w:r>
      <w:r>
        <w:rPr>
          <w:color w:val="auto"/>
          <w:sz w:val="30"/>
          <w:szCs w:val="30"/>
        </w:rPr>
        <w:instrText xml:space="preserve"> PAGEREF _Toc417914519 \h </w:instrText>
      </w:r>
      <w:r>
        <w:rPr>
          <w:color w:val="auto"/>
          <w:sz w:val="30"/>
          <w:szCs w:val="30"/>
        </w:rPr>
        <w:fldChar w:fldCharType="separate"/>
      </w:r>
      <w:r>
        <w:rPr>
          <w:color w:val="auto"/>
          <w:sz w:val="30"/>
          <w:szCs w:val="30"/>
        </w:rPr>
        <w:t>14</w:t>
      </w:r>
      <w:r>
        <w:rPr>
          <w:color w:val="auto"/>
          <w:sz w:val="30"/>
          <w:szCs w:val="30"/>
        </w:rPr>
        <w:fldChar w:fldCharType="end"/>
      </w:r>
      <w:r>
        <w:rPr>
          <w:color w:val="auto"/>
          <w:sz w:val="30"/>
          <w:szCs w:val="30"/>
        </w:rPr>
        <w:fldChar w:fldCharType="end"/>
      </w:r>
    </w:p>
    <w:p>
      <w:pPr>
        <w:pStyle w:val="24"/>
        <w:rPr>
          <w:rFonts w:ascii="Times New Roman" w:eastAsia="宋体"/>
          <w:color w:val="auto"/>
          <w:sz w:val="30"/>
          <w:szCs w:val="30"/>
        </w:rPr>
      </w:pPr>
      <w:r>
        <w:rPr>
          <w:color w:val="auto"/>
        </w:rPr>
        <w:fldChar w:fldCharType="begin"/>
      </w:r>
      <w:r>
        <w:rPr>
          <w:color w:val="auto"/>
        </w:rPr>
        <w:instrText xml:space="preserve"> HYPERLINK \l "_Toc417914520" </w:instrText>
      </w:r>
      <w:r>
        <w:rPr>
          <w:color w:val="auto"/>
        </w:rPr>
        <w:fldChar w:fldCharType="separate"/>
      </w:r>
      <w:r>
        <w:rPr>
          <w:rStyle w:val="41"/>
          <w:rFonts w:hint="eastAsia" w:ascii="宋体" w:hAnsi="宋体"/>
          <w:color w:val="auto"/>
          <w:kern w:val="0"/>
          <w:sz w:val="30"/>
          <w:szCs w:val="30"/>
        </w:rPr>
        <w:t>第四章</w:t>
      </w:r>
      <w:r>
        <w:rPr>
          <w:rStyle w:val="41"/>
          <w:rFonts w:ascii="宋体" w:hAnsi="宋体"/>
          <w:color w:val="auto"/>
          <w:kern w:val="0"/>
          <w:sz w:val="30"/>
          <w:szCs w:val="30"/>
        </w:rPr>
        <w:t xml:space="preserve">  </w:t>
      </w:r>
      <w:r>
        <w:rPr>
          <w:rStyle w:val="41"/>
          <w:rFonts w:hint="eastAsia" w:ascii="宋体" w:hAnsi="宋体"/>
          <w:color w:val="auto"/>
          <w:kern w:val="0"/>
          <w:sz w:val="30"/>
          <w:szCs w:val="30"/>
        </w:rPr>
        <w:t>合同书格式</w:t>
      </w:r>
      <w:r>
        <w:rPr>
          <w:color w:val="auto"/>
          <w:sz w:val="30"/>
          <w:szCs w:val="30"/>
        </w:rPr>
        <w:tab/>
      </w:r>
      <w:r>
        <w:rPr>
          <w:color w:val="auto"/>
          <w:sz w:val="30"/>
          <w:szCs w:val="30"/>
        </w:rPr>
        <w:fldChar w:fldCharType="begin"/>
      </w:r>
      <w:r>
        <w:rPr>
          <w:color w:val="auto"/>
          <w:sz w:val="30"/>
          <w:szCs w:val="30"/>
        </w:rPr>
        <w:instrText xml:space="preserve"> PAGEREF _Toc417914520 \h </w:instrText>
      </w:r>
      <w:r>
        <w:rPr>
          <w:color w:val="auto"/>
          <w:sz w:val="30"/>
          <w:szCs w:val="30"/>
        </w:rPr>
        <w:fldChar w:fldCharType="separate"/>
      </w:r>
      <w:r>
        <w:rPr>
          <w:color w:val="auto"/>
          <w:sz w:val="30"/>
          <w:szCs w:val="30"/>
        </w:rPr>
        <w:t>34</w:t>
      </w:r>
      <w:r>
        <w:rPr>
          <w:color w:val="auto"/>
          <w:sz w:val="30"/>
          <w:szCs w:val="30"/>
        </w:rPr>
        <w:fldChar w:fldCharType="end"/>
      </w:r>
      <w:r>
        <w:rPr>
          <w:color w:val="auto"/>
          <w:sz w:val="30"/>
          <w:szCs w:val="30"/>
        </w:rPr>
        <w:fldChar w:fldCharType="end"/>
      </w:r>
    </w:p>
    <w:p>
      <w:pPr>
        <w:pStyle w:val="24"/>
        <w:rPr>
          <w:rFonts w:ascii="Times New Roman" w:eastAsia="宋体"/>
          <w:color w:val="auto"/>
          <w:sz w:val="30"/>
          <w:szCs w:val="30"/>
        </w:rPr>
      </w:pPr>
      <w:r>
        <w:rPr>
          <w:color w:val="auto"/>
        </w:rPr>
        <w:fldChar w:fldCharType="begin"/>
      </w:r>
      <w:r>
        <w:rPr>
          <w:color w:val="auto"/>
        </w:rPr>
        <w:instrText xml:space="preserve"> HYPERLINK \l "_Toc417914521" </w:instrText>
      </w:r>
      <w:r>
        <w:rPr>
          <w:color w:val="auto"/>
        </w:rPr>
        <w:fldChar w:fldCharType="separate"/>
      </w:r>
      <w:r>
        <w:rPr>
          <w:rStyle w:val="41"/>
          <w:rFonts w:hint="eastAsia" w:ascii="宋体" w:hAnsi="宋体"/>
          <w:color w:val="auto"/>
          <w:sz w:val="30"/>
          <w:szCs w:val="30"/>
        </w:rPr>
        <w:t>第五章</w:t>
      </w:r>
      <w:r>
        <w:rPr>
          <w:rStyle w:val="41"/>
          <w:rFonts w:ascii="宋体" w:hAnsi="宋体"/>
          <w:color w:val="auto"/>
          <w:sz w:val="30"/>
          <w:szCs w:val="30"/>
        </w:rPr>
        <w:t xml:space="preserve">  </w:t>
      </w:r>
      <w:r>
        <w:rPr>
          <w:rStyle w:val="41"/>
          <w:rFonts w:hint="eastAsia" w:ascii="宋体" w:hAnsi="宋体"/>
          <w:color w:val="auto"/>
          <w:sz w:val="30"/>
          <w:szCs w:val="30"/>
        </w:rPr>
        <w:t>投标文件格式</w:t>
      </w:r>
      <w:r>
        <w:rPr>
          <w:color w:val="auto"/>
          <w:sz w:val="30"/>
          <w:szCs w:val="30"/>
        </w:rPr>
        <w:tab/>
      </w:r>
      <w:r>
        <w:rPr>
          <w:color w:val="auto"/>
          <w:sz w:val="30"/>
          <w:szCs w:val="30"/>
        </w:rPr>
        <w:fldChar w:fldCharType="begin"/>
      </w:r>
      <w:r>
        <w:rPr>
          <w:color w:val="auto"/>
          <w:sz w:val="30"/>
          <w:szCs w:val="30"/>
        </w:rPr>
        <w:instrText xml:space="preserve"> PAGEREF _Toc417914521 \h </w:instrText>
      </w:r>
      <w:r>
        <w:rPr>
          <w:color w:val="auto"/>
          <w:sz w:val="30"/>
          <w:szCs w:val="30"/>
        </w:rPr>
        <w:fldChar w:fldCharType="separate"/>
      </w:r>
      <w:r>
        <w:rPr>
          <w:color w:val="auto"/>
          <w:sz w:val="30"/>
          <w:szCs w:val="30"/>
        </w:rPr>
        <w:t>35</w:t>
      </w:r>
      <w:r>
        <w:rPr>
          <w:color w:val="auto"/>
          <w:sz w:val="30"/>
          <w:szCs w:val="30"/>
        </w:rPr>
        <w:fldChar w:fldCharType="end"/>
      </w:r>
      <w:r>
        <w:rPr>
          <w:color w:val="auto"/>
          <w:sz w:val="30"/>
          <w:szCs w:val="30"/>
        </w:rPr>
        <w:fldChar w:fldCharType="end"/>
      </w:r>
    </w:p>
    <w:p>
      <w:pPr>
        <w:spacing w:line="360" w:lineRule="auto"/>
        <w:rPr>
          <w:rFonts w:ascii="宋体" w:hAnsi="宋体"/>
          <w:color w:val="auto"/>
        </w:rPr>
      </w:pPr>
      <w:r>
        <w:rPr>
          <w:rFonts w:ascii="宋体" w:hAnsi="宋体"/>
          <w:b/>
          <w:color w:val="auto"/>
          <w:sz w:val="30"/>
          <w:szCs w:val="30"/>
        </w:rPr>
        <w:fldChar w:fldCharType="end"/>
      </w:r>
    </w:p>
    <w:p>
      <w:pPr>
        <w:spacing w:line="360" w:lineRule="auto"/>
        <w:rPr>
          <w:rFonts w:ascii="宋体" w:hAnsi="宋体"/>
          <w:color w:val="auto"/>
        </w:rPr>
      </w:pPr>
      <w:r>
        <w:rPr>
          <w:rFonts w:ascii="宋体" w:hAnsi="宋体"/>
          <w:color w:val="auto"/>
        </w:rPr>
        <w:br w:type="page"/>
      </w: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pStyle w:val="2"/>
        <w:spacing w:line="360" w:lineRule="auto"/>
        <w:rPr>
          <w:rFonts w:ascii="宋体" w:hAnsi="宋体" w:eastAsia="宋体"/>
          <w:color w:val="auto"/>
        </w:rPr>
      </w:pPr>
      <w:bookmarkStart w:id="0" w:name="_Toc50737285"/>
      <w:bookmarkStart w:id="1" w:name="_Toc50737317"/>
      <w:bookmarkStart w:id="2" w:name="_Toc50736465"/>
      <w:bookmarkStart w:id="3" w:name="_Toc50691018"/>
      <w:bookmarkStart w:id="4" w:name="_Toc385939527"/>
      <w:bookmarkStart w:id="5" w:name="_Toc76354913"/>
      <w:bookmarkStart w:id="6" w:name="_Toc385940868"/>
      <w:bookmarkStart w:id="7" w:name="_Toc417914517"/>
      <w:r>
        <w:rPr>
          <w:rFonts w:hint="eastAsia" w:ascii="宋体" w:hAnsi="宋体" w:eastAsia="宋体"/>
          <w:color w:val="auto"/>
        </w:rPr>
        <w:t xml:space="preserve">第一章  投 标 邀 </w:t>
      </w:r>
      <w:bookmarkEnd w:id="0"/>
      <w:bookmarkEnd w:id="1"/>
      <w:bookmarkEnd w:id="2"/>
      <w:bookmarkEnd w:id="3"/>
      <w:r>
        <w:rPr>
          <w:rFonts w:hint="eastAsia" w:ascii="宋体" w:hAnsi="宋体" w:eastAsia="宋体"/>
          <w:color w:val="auto"/>
        </w:rPr>
        <w:t>请</w:t>
      </w:r>
      <w:bookmarkEnd w:id="4"/>
      <w:bookmarkEnd w:id="5"/>
      <w:bookmarkEnd w:id="6"/>
      <w:r>
        <w:rPr>
          <w:rFonts w:hint="eastAsia" w:ascii="宋体" w:hAnsi="宋体" w:eastAsia="宋体"/>
          <w:color w:val="auto"/>
        </w:rPr>
        <w:t xml:space="preserve"> 函</w:t>
      </w:r>
      <w:bookmarkEnd w:id="7"/>
    </w:p>
    <w:p>
      <w:pPr>
        <w:widowControl/>
        <w:jc w:val="center"/>
        <w:rPr>
          <w:rFonts w:ascii="宋体" w:hAnsi="宋体"/>
          <w:b/>
          <w:bCs/>
          <w:color w:val="auto"/>
          <w:kern w:val="44"/>
          <w:sz w:val="36"/>
          <w:szCs w:val="36"/>
        </w:rPr>
      </w:pPr>
      <w:r>
        <w:rPr>
          <w:rFonts w:ascii="宋体" w:hAnsi="宋体"/>
          <w:b/>
          <w:bCs/>
          <w:color w:val="auto"/>
          <w:kern w:val="44"/>
          <w:sz w:val="36"/>
          <w:szCs w:val="36"/>
        </w:rPr>
        <w:br w:type="page"/>
      </w:r>
      <w:r>
        <w:rPr>
          <w:rFonts w:hint="eastAsia" w:ascii="宋体" w:hAnsi="宋体"/>
          <w:b/>
          <w:bCs/>
          <w:color w:val="auto"/>
          <w:kern w:val="44"/>
          <w:sz w:val="36"/>
          <w:szCs w:val="36"/>
        </w:rPr>
        <w:t>投 标 邀 请 函</w:t>
      </w:r>
    </w:p>
    <w:p>
      <w:pPr>
        <w:spacing w:line="360" w:lineRule="auto"/>
        <w:rPr>
          <w:rFonts w:ascii="宋体" w:hAnsi="宋体"/>
          <w:bCs/>
          <w:color w:val="auto"/>
          <w:szCs w:val="20"/>
        </w:rPr>
      </w:pPr>
      <w:bookmarkStart w:id="8" w:name="_Toc23927923"/>
      <w:r>
        <w:rPr>
          <w:rFonts w:hint="eastAsia" w:ascii="宋体" w:hAnsi="宋体"/>
          <w:bCs/>
          <w:color w:val="auto"/>
          <w:szCs w:val="20"/>
        </w:rPr>
        <w:t>各（潜在）投标人：</w:t>
      </w:r>
    </w:p>
    <w:p>
      <w:pPr>
        <w:widowControl/>
        <w:spacing w:line="360" w:lineRule="auto"/>
        <w:ind w:firstLine="420" w:firstLineChars="200"/>
        <w:jc w:val="left"/>
        <w:rPr>
          <w:rFonts w:ascii="宋体" w:hAnsi="宋体"/>
          <w:bCs/>
          <w:color w:val="auto"/>
          <w:szCs w:val="20"/>
        </w:rPr>
      </w:pPr>
      <w:r>
        <w:rPr>
          <w:rFonts w:hint="eastAsia" w:ascii="宋体" w:hAnsi="宋体"/>
          <w:bCs/>
          <w:color w:val="auto"/>
          <w:szCs w:val="20"/>
        </w:rPr>
        <w:t>广东中程招标代理有限公司（以下简称“招标代理机构”）受</w:t>
      </w:r>
      <w:r>
        <w:rPr>
          <w:rFonts w:ascii="宋体" w:hAnsi="宋体"/>
          <w:bCs/>
          <w:color w:val="auto"/>
          <w:szCs w:val="20"/>
        </w:rPr>
        <w:t>广东省外语艺术职业学院</w:t>
      </w:r>
      <w:r>
        <w:rPr>
          <w:rFonts w:hint="eastAsia" w:ascii="宋体" w:hAnsi="宋体"/>
          <w:bCs/>
          <w:color w:val="auto"/>
          <w:szCs w:val="20"/>
        </w:rPr>
        <w:t>（以下简称“招标人”）委托，对</w:t>
      </w:r>
      <w:r>
        <w:rPr>
          <w:rFonts w:ascii="宋体" w:hAnsi="宋体"/>
          <w:bCs/>
          <w:color w:val="auto"/>
          <w:szCs w:val="20"/>
        </w:rPr>
        <w:t>广东省外语艺术职业学院校园网出口带宽服务项目定点议价供应商资格遴选</w:t>
      </w:r>
      <w:r>
        <w:rPr>
          <w:rFonts w:hint="eastAsia" w:ascii="宋体" w:hAnsi="宋体"/>
          <w:bCs/>
          <w:color w:val="auto"/>
          <w:szCs w:val="20"/>
        </w:rPr>
        <w:t>进行公开招标采购，</w:t>
      </w:r>
      <w:r>
        <w:rPr>
          <w:rFonts w:hint="eastAsia" w:ascii="宋体" w:hAnsi="宋体"/>
          <w:color w:val="auto"/>
        </w:rPr>
        <w:t>欢迎符合条件的投标人参加投标。</w:t>
      </w:r>
    </w:p>
    <w:p>
      <w:pPr>
        <w:numPr>
          <w:ilvl w:val="0"/>
          <w:numId w:val="2"/>
        </w:numPr>
        <w:spacing w:line="360" w:lineRule="auto"/>
        <w:rPr>
          <w:rFonts w:ascii="宋体" w:hAnsi="宋体"/>
          <w:color w:val="auto"/>
        </w:rPr>
      </w:pPr>
      <w:r>
        <w:rPr>
          <w:rFonts w:hint="eastAsia" w:ascii="宋体" w:hAnsi="宋体"/>
          <w:bCs/>
          <w:color w:val="auto"/>
          <w:szCs w:val="20"/>
        </w:rPr>
        <w:t>项目编号</w:t>
      </w:r>
      <w:r>
        <w:rPr>
          <w:rFonts w:hint="eastAsia" w:ascii="宋体" w:hAnsi="宋体"/>
          <w:color w:val="auto"/>
        </w:rPr>
        <w:t>：GDZC24DB1010Z</w:t>
      </w:r>
    </w:p>
    <w:p>
      <w:pPr>
        <w:numPr>
          <w:ilvl w:val="0"/>
          <w:numId w:val="2"/>
        </w:numPr>
        <w:spacing w:line="360" w:lineRule="auto"/>
        <w:rPr>
          <w:rFonts w:ascii="宋体" w:hAnsi="宋体"/>
          <w:bCs/>
          <w:color w:val="auto"/>
          <w:szCs w:val="20"/>
        </w:rPr>
      </w:pPr>
      <w:r>
        <w:rPr>
          <w:rFonts w:hint="eastAsia" w:ascii="宋体" w:hAnsi="宋体"/>
          <w:bCs/>
          <w:color w:val="auto"/>
          <w:szCs w:val="20"/>
        </w:rPr>
        <w:t>项目名称：</w:t>
      </w:r>
      <w:r>
        <w:rPr>
          <w:rFonts w:cs="宋体"/>
          <w:color w:val="auto"/>
        </w:rPr>
        <w:t>广东省外语艺术职业学院校园网出口带宽服务项目定点议价供应商资格遴选</w:t>
      </w:r>
      <w:r>
        <w:rPr>
          <w:rFonts w:hint="eastAsia" w:ascii="宋体" w:hAnsi="宋体"/>
          <w:bCs/>
          <w:color w:val="auto"/>
          <w:szCs w:val="20"/>
        </w:rPr>
        <w:t xml:space="preserve"> </w:t>
      </w:r>
    </w:p>
    <w:p>
      <w:pPr>
        <w:numPr>
          <w:ilvl w:val="0"/>
          <w:numId w:val="2"/>
        </w:numPr>
        <w:spacing w:line="360" w:lineRule="auto"/>
        <w:rPr>
          <w:rFonts w:ascii="宋体" w:hAnsi="宋体"/>
          <w:color w:val="auto"/>
        </w:rPr>
      </w:pPr>
      <w:r>
        <w:rPr>
          <w:rFonts w:hint="eastAsia" w:ascii="宋体" w:hAnsi="宋体"/>
          <w:bCs/>
          <w:color w:val="auto"/>
          <w:szCs w:val="20"/>
        </w:rPr>
        <w:t>招标内容及需求</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271"/>
        <w:gridCol w:w="3019"/>
        <w:gridCol w:w="3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58" w:hRule="atLeast"/>
          <w:jc w:val="center"/>
        </w:trPr>
        <w:tc>
          <w:tcPr>
            <w:tcW w:w="1735" w:type="pct"/>
            <w:noWrap w:val="0"/>
            <w:vAlign w:val="center"/>
          </w:tcPr>
          <w:p>
            <w:pPr>
              <w:tabs>
                <w:tab w:val="right" w:leader="dot" w:pos="9628"/>
              </w:tabs>
              <w:autoSpaceDE w:val="0"/>
              <w:autoSpaceDN w:val="0"/>
              <w:adjustRightInd w:val="0"/>
              <w:spacing w:line="360" w:lineRule="auto"/>
              <w:jc w:val="center"/>
              <w:rPr>
                <w:rFonts w:ascii="宋体" w:hAnsi="宋体"/>
                <w:color w:val="auto"/>
                <w:szCs w:val="21"/>
                <w:lang w:val="zh-CN"/>
              </w:rPr>
            </w:pPr>
            <w:r>
              <w:rPr>
                <w:rFonts w:hint="eastAsia" w:ascii="宋体" w:hAnsi="宋体"/>
                <w:color w:val="auto"/>
                <w:szCs w:val="21"/>
                <w:lang w:val="zh-CN"/>
              </w:rPr>
              <w:t>招标内容</w:t>
            </w:r>
          </w:p>
        </w:tc>
        <w:tc>
          <w:tcPr>
            <w:tcW w:w="1601" w:type="pct"/>
            <w:noWrap w:val="0"/>
            <w:vAlign w:val="center"/>
          </w:tcPr>
          <w:p>
            <w:pPr>
              <w:tabs>
                <w:tab w:val="right" w:leader="dot" w:pos="9628"/>
              </w:tabs>
              <w:autoSpaceDE w:val="0"/>
              <w:autoSpaceDN w:val="0"/>
              <w:adjustRightInd w:val="0"/>
              <w:spacing w:line="360" w:lineRule="auto"/>
              <w:jc w:val="center"/>
              <w:rPr>
                <w:rFonts w:hint="eastAsia" w:ascii="宋体" w:hAnsi="宋体"/>
                <w:color w:val="auto"/>
                <w:szCs w:val="21"/>
                <w:lang w:val="zh-CN"/>
              </w:rPr>
            </w:pPr>
            <w:r>
              <w:rPr>
                <w:rFonts w:hint="eastAsia" w:ascii="宋体" w:hAnsi="宋体"/>
                <w:color w:val="auto"/>
                <w:szCs w:val="21"/>
                <w:lang w:val="zh-CN"/>
              </w:rPr>
              <w:t>交付期限</w:t>
            </w:r>
          </w:p>
        </w:tc>
        <w:tc>
          <w:tcPr>
            <w:tcW w:w="1664" w:type="pct"/>
            <w:noWrap w:val="0"/>
            <w:vAlign w:val="center"/>
          </w:tcPr>
          <w:p>
            <w:pPr>
              <w:tabs>
                <w:tab w:val="right" w:leader="dot" w:pos="9628"/>
              </w:tabs>
              <w:autoSpaceDE w:val="0"/>
              <w:autoSpaceDN w:val="0"/>
              <w:adjustRightInd w:val="0"/>
              <w:spacing w:line="360" w:lineRule="auto"/>
              <w:jc w:val="center"/>
              <w:rPr>
                <w:rFonts w:ascii="宋体" w:hAnsi="宋体"/>
                <w:color w:val="auto"/>
                <w:szCs w:val="21"/>
                <w:lang w:val="zh-CN"/>
              </w:rPr>
            </w:pPr>
            <w:r>
              <w:rPr>
                <w:rFonts w:hint="eastAsia" w:ascii="宋体" w:hAnsi="宋体"/>
                <w:color w:val="auto"/>
                <w:szCs w:val="21"/>
                <w:lang w:val="zh-CN"/>
              </w:rPr>
              <w:t>招标预算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4" w:hRule="atLeast"/>
          <w:jc w:val="center"/>
        </w:trPr>
        <w:tc>
          <w:tcPr>
            <w:tcW w:w="1735" w:type="pct"/>
            <w:noWrap w:val="0"/>
            <w:vAlign w:val="center"/>
          </w:tcPr>
          <w:p>
            <w:pPr>
              <w:spacing w:line="360" w:lineRule="auto"/>
              <w:jc w:val="center"/>
              <w:rPr>
                <w:rFonts w:hint="eastAsia" w:cs="宋体"/>
                <w:color w:val="auto"/>
              </w:rPr>
            </w:pPr>
            <w:r>
              <w:rPr>
                <w:rFonts w:cs="宋体"/>
                <w:color w:val="auto"/>
              </w:rPr>
              <w:t>校园网出口带宽服务</w:t>
            </w:r>
          </w:p>
        </w:tc>
        <w:tc>
          <w:tcPr>
            <w:tcW w:w="1601" w:type="pct"/>
            <w:noWrap w:val="0"/>
            <w:vAlign w:val="center"/>
          </w:tcPr>
          <w:p>
            <w:pPr>
              <w:tabs>
                <w:tab w:val="left" w:pos="979"/>
              </w:tabs>
              <w:spacing w:line="420" w:lineRule="exact"/>
              <w:jc w:val="center"/>
              <w:rPr>
                <w:rFonts w:hint="eastAsia" w:ascii="宋体" w:hAnsi="宋体" w:cs="宋体"/>
                <w:color w:val="auto"/>
                <w:kern w:val="1"/>
                <w:szCs w:val="21"/>
              </w:rPr>
            </w:pPr>
            <w:r>
              <w:rPr>
                <w:rFonts w:hint="eastAsia" w:ascii="宋体" w:hAnsi="宋体" w:cs="宋体"/>
                <w:color w:val="auto"/>
                <w:kern w:val="1"/>
                <w:szCs w:val="21"/>
              </w:rPr>
              <w:t>自合同签订之日起7个工作日内</w:t>
            </w:r>
          </w:p>
        </w:tc>
        <w:tc>
          <w:tcPr>
            <w:tcW w:w="1664" w:type="pct"/>
            <w:noWrap w:val="0"/>
            <w:vAlign w:val="center"/>
          </w:tcPr>
          <w:p>
            <w:pPr>
              <w:spacing w:line="420" w:lineRule="exact"/>
              <w:ind w:left="-2"/>
              <w:jc w:val="center"/>
              <w:rPr>
                <w:rFonts w:hint="eastAsia" w:ascii="宋体" w:hAnsi="宋体" w:cs="宋体"/>
                <w:color w:val="auto"/>
                <w:kern w:val="1"/>
                <w:szCs w:val="21"/>
              </w:rPr>
            </w:pPr>
            <w:r>
              <w:rPr>
                <w:rFonts w:hint="eastAsia" w:ascii="宋体" w:hAnsi="宋体" w:cs="宋体"/>
                <w:color w:val="auto"/>
                <w:kern w:val="1"/>
                <w:szCs w:val="21"/>
              </w:rPr>
              <w:t>人民币1</w:t>
            </w:r>
            <w:r>
              <w:rPr>
                <w:rFonts w:ascii="宋体" w:hAnsi="宋体" w:cs="宋体"/>
                <w:color w:val="auto"/>
                <w:kern w:val="1"/>
                <w:szCs w:val="21"/>
              </w:rPr>
              <w:t>0</w:t>
            </w:r>
            <w:r>
              <w:rPr>
                <w:rFonts w:hint="eastAsia" w:ascii="宋体" w:hAnsi="宋体" w:cs="宋体"/>
                <w:color w:val="auto"/>
                <w:kern w:val="1"/>
                <w:szCs w:val="21"/>
                <w:lang w:val="en-US" w:eastAsia="zh-CN"/>
              </w:rPr>
              <w:t>2</w:t>
            </w:r>
            <w:r>
              <w:rPr>
                <w:rFonts w:hint="eastAsia" w:ascii="宋体" w:hAnsi="宋体" w:cs="宋体"/>
                <w:color w:val="auto"/>
                <w:kern w:val="1"/>
                <w:szCs w:val="21"/>
              </w:rPr>
              <w:t>万元</w:t>
            </w:r>
          </w:p>
        </w:tc>
      </w:tr>
    </w:tbl>
    <w:p>
      <w:pPr>
        <w:spacing w:line="160" w:lineRule="exact"/>
        <w:rPr>
          <w:rFonts w:ascii="宋体" w:hAnsi="宋体"/>
          <w:color w:val="auto"/>
        </w:rPr>
      </w:pPr>
    </w:p>
    <w:p>
      <w:pPr>
        <w:numPr>
          <w:ilvl w:val="0"/>
          <w:numId w:val="3"/>
        </w:numPr>
        <w:tabs>
          <w:tab w:val="clear" w:pos="1455"/>
        </w:tabs>
        <w:spacing w:line="360" w:lineRule="auto"/>
        <w:ind w:left="0" w:firstLine="420" w:firstLineChars="200"/>
        <w:rPr>
          <w:rFonts w:ascii="宋体" w:hAnsi="宋体"/>
          <w:bCs/>
          <w:color w:val="auto"/>
        </w:rPr>
      </w:pPr>
      <w:r>
        <w:rPr>
          <w:rFonts w:hint="eastAsia" w:ascii="宋体" w:hAnsi="宋体"/>
          <w:bCs/>
          <w:color w:val="auto"/>
        </w:rPr>
        <w:t>详细技术要求请参阅招标文件中第二章“用户需求书”；</w:t>
      </w:r>
    </w:p>
    <w:p>
      <w:pPr>
        <w:numPr>
          <w:ilvl w:val="0"/>
          <w:numId w:val="3"/>
        </w:numPr>
        <w:tabs>
          <w:tab w:val="clear" w:pos="1455"/>
        </w:tabs>
        <w:spacing w:line="360" w:lineRule="auto"/>
        <w:ind w:left="0" w:firstLine="420" w:firstLineChars="200"/>
        <w:rPr>
          <w:rFonts w:ascii="宋体" w:hAnsi="宋体" w:cs="宋体"/>
          <w:color w:val="auto"/>
          <w:kern w:val="1"/>
          <w:szCs w:val="21"/>
        </w:rPr>
      </w:pPr>
      <w:r>
        <w:rPr>
          <w:rFonts w:hint="eastAsia" w:ascii="宋体" w:hAnsi="宋体" w:cs="Tahoma"/>
          <w:color w:val="auto"/>
          <w:kern w:val="28"/>
          <w:szCs w:val="21"/>
        </w:rPr>
        <w:t>合格的</w:t>
      </w:r>
      <w:r>
        <w:rPr>
          <w:rFonts w:hint="eastAsia" w:ascii="宋体" w:hAnsi="宋体"/>
          <w:color w:val="auto"/>
          <w:szCs w:val="21"/>
        </w:rPr>
        <w:t>投标人</w:t>
      </w:r>
      <w:r>
        <w:rPr>
          <w:rFonts w:hint="eastAsia" w:ascii="宋体" w:hAnsi="宋体" w:cs="Tahoma"/>
          <w:color w:val="auto"/>
          <w:kern w:val="28"/>
          <w:szCs w:val="21"/>
        </w:rPr>
        <w:t>应对所有招标内容进行响应和报价，不允许只对部分内容进行响应和报价</w:t>
      </w:r>
      <w:r>
        <w:rPr>
          <w:rFonts w:hint="eastAsia" w:ascii="宋体" w:hAnsi="宋体" w:cs="Tahoma"/>
          <w:color w:val="auto"/>
          <w:szCs w:val="21"/>
        </w:rPr>
        <w:t>。</w:t>
      </w:r>
    </w:p>
    <w:p>
      <w:pPr>
        <w:numPr>
          <w:ilvl w:val="0"/>
          <w:numId w:val="2"/>
        </w:numPr>
        <w:spacing w:line="360" w:lineRule="auto"/>
        <w:rPr>
          <w:rFonts w:ascii="宋体" w:hAnsi="宋体"/>
          <w:bCs/>
          <w:color w:val="auto"/>
          <w:szCs w:val="20"/>
        </w:rPr>
      </w:pPr>
      <w:r>
        <w:rPr>
          <w:rFonts w:hint="eastAsia" w:ascii="宋体" w:hAnsi="宋体"/>
          <w:bCs/>
          <w:color w:val="auto"/>
          <w:szCs w:val="20"/>
        </w:rPr>
        <w:t>投标人资格要求：</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s="Tahoma"/>
          <w:color w:val="auto"/>
          <w:kern w:val="28"/>
          <w:szCs w:val="21"/>
        </w:rPr>
      </w:pPr>
      <w:r>
        <w:rPr>
          <w:rFonts w:hint="eastAsia" w:ascii="宋体" w:hAnsi="宋体"/>
          <w:bCs/>
          <w:color w:val="auto"/>
          <w:kern w:val="28"/>
        </w:rPr>
        <w:t>具有独立承担民事责任能力的在中华人民共和国境内注册的法人或其他组织（提供有效的营业执照或事业单位法人证书，或社会团体法人登记证书，或执业许可证复印件；分支机构投标的，还须提供具有法人资格的总公司的营业执照副本复印件及授权书，授权书须加盖总公司公章）</w:t>
      </w:r>
      <w:r>
        <w:rPr>
          <w:rFonts w:hint="eastAsia" w:ascii="宋体" w:hAnsi="宋体"/>
          <w:bCs/>
          <w:color w:val="auto"/>
          <w:szCs w:val="21"/>
        </w:rPr>
        <w:t>；</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s="Tahoma"/>
          <w:color w:val="auto"/>
          <w:kern w:val="28"/>
          <w:szCs w:val="21"/>
        </w:rPr>
      </w:pPr>
      <w:r>
        <w:rPr>
          <w:rFonts w:hint="eastAsia" w:ascii="宋体" w:hAnsi="宋体" w:cs="Tahoma"/>
          <w:color w:val="auto"/>
          <w:kern w:val="28"/>
          <w:szCs w:val="21"/>
        </w:rPr>
        <w:t>具有良好的商业信誉和健全的财务会计制度（提供20</w:t>
      </w:r>
      <w:r>
        <w:rPr>
          <w:rFonts w:ascii="宋体" w:hAnsi="宋体" w:cs="Tahoma"/>
          <w:color w:val="auto"/>
          <w:kern w:val="28"/>
          <w:szCs w:val="21"/>
        </w:rPr>
        <w:t>22</w:t>
      </w:r>
      <w:r>
        <w:rPr>
          <w:rFonts w:hint="eastAsia" w:ascii="宋体" w:hAnsi="宋体" w:cs="Tahoma"/>
          <w:color w:val="auto"/>
          <w:kern w:val="28"/>
          <w:szCs w:val="21"/>
        </w:rPr>
        <w:t>年或2</w:t>
      </w:r>
      <w:r>
        <w:rPr>
          <w:rFonts w:ascii="宋体" w:hAnsi="宋体" w:cs="Tahoma"/>
          <w:color w:val="auto"/>
          <w:kern w:val="28"/>
          <w:szCs w:val="21"/>
        </w:rPr>
        <w:t>023</w:t>
      </w:r>
      <w:r>
        <w:rPr>
          <w:rFonts w:hint="eastAsia" w:ascii="宋体" w:hAnsi="宋体" w:cs="Tahoma"/>
          <w:color w:val="auto"/>
          <w:kern w:val="28"/>
          <w:szCs w:val="21"/>
        </w:rPr>
        <w:t>年财务状况报告或基本开户行出具的资信证明）；</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s="Tahoma"/>
          <w:color w:val="auto"/>
          <w:kern w:val="28"/>
          <w:szCs w:val="21"/>
        </w:rPr>
      </w:pPr>
      <w:r>
        <w:rPr>
          <w:rFonts w:hint="eastAsia" w:ascii="宋体" w:hAnsi="宋体" w:cs="Tahoma"/>
          <w:color w:val="auto"/>
          <w:kern w:val="28"/>
          <w:szCs w:val="21"/>
        </w:rPr>
        <w:t>有依法缴纳税收和社会保障资金的良好记录（提供投标截止日前 6个月内任意</w:t>
      </w:r>
      <w:r>
        <w:rPr>
          <w:rFonts w:ascii="宋体" w:hAnsi="宋体" w:cs="Tahoma"/>
          <w:color w:val="auto"/>
          <w:kern w:val="28"/>
          <w:szCs w:val="21"/>
        </w:rPr>
        <w:t>1</w:t>
      </w:r>
      <w:r>
        <w:rPr>
          <w:rFonts w:hint="eastAsia" w:ascii="宋体" w:hAnsi="宋体" w:cs="Tahoma"/>
          <w:color w:val="auto"/>
          <w:kern w:val="28"/>
          <w:szCs w:val="21"/>
        </w:rPr>
        <w:t>个月依法缴纳税收和社会保障资金的相关材料。如依法免税或不需要缴纳社会保障资金的，提供相应证明材料）；</w:t>
      </w:r>
    </w:p>
    <w:p>
      <w:pPr>
        <w:numPr>
          <w:ilvl w:val="0"/>
          <w:numId w:val="4"/>
        </w:numPr>
        <w:tabs>
          <w:tab w:val="left" w:pos="525"/>
          <w:tab w:val="left" w:pos="630"/>
          <w:tab w:val="left" w:pos="840"/>
          <w:tab w:val="left" w:pos="1004"/>
          <w:tab w:val="left" w:pos="1080"/>
        </w:tabs>
        <w:spacing w:line="360" w:lineRule="auto"/>
        <w:ind w:left="420"/>
        <w:rPr>
          <w:rFonts w:hint="eastAsia" w:ascii="宋体" w:hAnsi="宋体" w:cs="Tahoma"/>
          <w:color w:val="auto"/>
          <w:kern w:val="28"/>
          <w:szCs w:val="21"/>
        </w:rPr>
      </w:pPr>
      <w:r>
        <w:rPr>
          <w:rFonts w:hint="eastAsia" w:ascii="宋体" w:hAnsi="宋体" w:cs="Tahoma"/>
          <w:color w:val="auto"/>
          <w:kern w:val="28"/>
          <w:szCs w:val="21"/>
        </w:rPr>
        <w:tab/>
      </w:r>
      <w:r>
        <w:rPr>
          <w:rFonts w:hint="eastAsia" w:ascii="宋体" w:hAnsi="宋体" w:cs="Tahoma"/>
          <w:color w:val="auto"/>
          <w:kern w:val="28"/>
          <w:szCs w:val="21"/>
        </w:rPr>
        <w:t>具有履行合同所必需的设备和专业技术能力（提供书面声明函）；</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s="Tahoma"/>
          <w:color w:val="auto"/>
          <w:kern w:val="28"/>
          <w:szCs w:val="21"/>
        </w:rPr>
      </w:pPr>
      <w:r>
        <w:rPr>
          <w:rFonts w:hint="eastAsia" w:ascii="宋体" w:hAnsi="宋体" w:cs="Tahoma"/>
          <w:color w:val="auto"/>
          <w:kern w:val="28"/>
          <w:szCs w:val="21"/>
        </w:rPr>
        <w:t>投标人承诺在过往三年内没有违法违规行为或违反合同约定行为（提供书面声明函）；</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s="Tahoma"/>
          <w:color w:val="auto"/>
          <w:kern w:val="28"/>
          <w:szCs w:val="21"/>
        </w:rPr>
      </w:pPr>
      <w:r>
        <w:rPr>
          <w:rFonts w:hint="eastAsia" w:ascii="宋体" w:hAnsi="宋体" w:cs="Tahoma"/>
          <w:color w:val="auto"/>
          <w:kern w:val="28"/>
          <w:szCs w:val="21"/>
        </w:rPr>
        <w:t>单位负责人为同一人或者存在控股、管理关系的不同投标人，不得同时参加本采购项目同一合同项下的投标（提供书面承诺）</w:t>
      </w:r>
      <w:r>
        <w:rPr>
          <w:rFonts w:hint="eastAsia" w:ascii="宋体" w:hAnsi="宋体"/>
          <w:bCs/>
          <w:color w:val="auto"/>
          <w:szCs w:val="21"/>
        </w:rPr>
        <w:t>；</w:t>
      </w:r>
    </w:p>
    <w:p>
      <w:pPr>
        <w:numPr>
          <w:ilvl w:val="0"/>
          <w:numId w:val="4"/>
        </w:numPr>
        <w:tabs>
          <w:tab w:val="left" w:pos="525"/>
          <w:tab w:val="left" w:pos="630"/>
          <w:tab w:val="left" w:pos="840"/>
          <w:tab w:val="left" w:pos="1004"/>
          <w:tab w:val="left" w:pos="1287"/>
        </w:tabs>
        <w:spacing w:line="360" w:lineRule="auto"/>
        <w:ind w:left="420"/>
        <w:rPr>
          <w:rFonts w:ascii="宋体" w:hAnsi="宋体" w:cs="Tahoma"/>
          <w:color w:val="auto"/>
          <w:kern w:val="28"/>
          <w:szCs w:val="21"/>
        </w:rPr>
      </w:pPr>
      <w:r>
        <w:rPr>
          <w:rFonts w:hint="eastAsia" w:ascii="宋体" w:hAnsi="宋体" w:cs="Tahoma"/>
          <w:color w:val="auto"/>
          <w:kern w:val="28"/>
          <w:szCs w:val="21"/>
        </w:rPr>
        <w:t>为采购项目提供整体设计、规范编制或者项目管理、监理、检测等服务的投标人，不得再参加本采购项目的其他采购活动（提供书面承诺）；</w:t>
      </w:r>
    </w:p>
    <w:p>
      <w:pPr>
        <w:numPr>
          <w:ilvl w:val="0"/>
          <w:numId w:val="4"/>
        </w:numPr>
        <w:tabs>
          <w:tab w:val="left" w:pos="525"/>
          <w:tab w:val="left" w:pos="630"/>
          <w:tab w:val="left" w:pos="840"/>
          <w:tab w:val="left" w:pos="1004"/>
          <w:tab w:val="left" w:pos="1287"/>
        </w:tabs>
        <w:spacing w:line="360" w:lineRule="auto"/>
        <w:ind w:left="420"/>
        <w:rPr>
          <w:rFonts w:ascii="宋体" w:hAnsi="宋体" w:cs="Tahoma"/>
          <w:color w:val="auto"/>
          <w:kern w:val="28"/>
          <w:szCs w:val="21"/>
        </w:rPr>
      </w:pPr>
      <w:r>
        <w:rPr>
          <w:rFonts w:hint="eastAsia" w:ascii="宋体" w:hAnsi="宋体"/>
          <w:color w:val="auto"/>
          <w:szCs w:val="21"/>
        </w:rPr>
        <w:t>投标人已进驻广东政府采购智慧云平台电子卖场（定点集市互联网接入服务类），提供已进驻电子卖场的相关平台截图作为证明材料；</w:t>
      </w:r>
    </w:p>
    <w:p>
      <w:pPr>
        <w:numPr>
          <w:ilvl w:val="0"/>
          <w:numId w:val="4"/>
        </w:numPr>
        <w:tabs>
          <w:tab w:val="left" w:pos="525"/>
          <w:tab w:val="left" w:pos="630"/>
          <w:tab w:val="left" w:pos="840"/>
          <w:tab w:val="left" w:pos="1004"/>
          <w:tab w:val="left" w:pos="1287"/>
        </w:tabs>
        <w:spacing w:line="360" w:lineRule="auto"/>
        <w:ind w:left="420"/>
        <w:rPr>
          <w:rFonts w:hint="eastAsia" w:ascii="宋体" w:hAnsi="宋体"/>
          <w:color w:val="auto"/>
          <w:szCs w:val="21"/>
        </w:rPr>
      </w:pPr>
      <w:r>
        <w:rPr>
          <w:rFonts w:hint="eastAsia" w:ascii="宋体" w:hAnsi="宋体"/>
          <w:color w:val="auto"/>
          <w:szCs w:val="21"/>
        </w:rPr>
        <w:t>本项目不属于专门面向中小企业采购的项目。投标人为小型、微型企业的（监狱企业、残疾人福利性单位视同为小、微企业），按要求提交相关证明材料后可按相关法规享受价格扣除的优惠政策（本项目采购标的对应行业为信息传输业）；</w:t>
      </w:r>
    </w:p>
    <w:p>
      <w:pPr>
        <w:tabs>
          <w:tab w:val="left" w:pos="525"/>
          <w:tab w:val="left" w:pos="630"/>
          <w:tab w:val="left" w:pos="840"/>
          <w:tab w:val="left" w:pos="1004"/>
          <w:tab w:val="left" w:pos="1287"/>
        </w:tabs>
        <w:spacing w:line="360" w:lineRule="auto"/>
        <w:ind w:firstLine="420" w:firstLineChars="200"/>
        <w:rPr>
          <w:rFonts w:hint="eastAsia" w:ascii="宋体" w:hAnsi="宋体"/>
          <w:color w:val="auto"/>
          <w:szCs w:val="21"/>
        </w:rPr>
      </w:pPr>
      <w:r>
        <w:rPr>
          <w:rFonts w:hint="eastAsia" w:ascii="宋体" w:hAnsi="宋体"/>
          <w:color w:val="auto"/>
          <w:szCs w:val="21"/>
        </w:rPr>
        <w:t>注：小微企业以供应商填写的《中小企业声明函》（见投标格式）为判定标准，残疾人福利性单位以供应商填写的《残疾人福利性单位声明函》（见投标格式）为判定标准，监狱企业须供应商提供由省级以上监狱管理局、戒毒管理局（含新疆生产建设兵团）出具的属于监狱企业的证明文件，否则不予认定。</w:t>
      </w:r>
    </w:p>
    <w:p>
      <w:pPr>
        <w:numPr>
          <w:ilvl w:val="0"/>
          <w:numId w:val="4"/>
        </w:numPr>
        <w:tabs>
          <w:tab w:val="left" w:pos="525"/>
          <w:tab w:val="left" w:pos="630"/>
          <w:tab w:val="left" w:pos="840"/>
          <w:tab w:val="left" w:pos="1004"/>
          <w:tab w:val="left" w:pos="1287"/>
        </w:tabs>
        <w:spacing w:line="360" w:lineRule="auto"/>
        <w:ind w:left="420"/>
        <w:rPr>
          <w:rFonts w:ascii="宋体" w:hAnsi="宋体" w:cs="Tahoma"/>
          <w:color w:val="auto"/>
          <w:kern w:val="28"/>
          <w:szCs w:val="21"/>
        </w:rPr>
      </w:pPr>
      <w:r>
        <w:rPr>
          <w:rFonts w:ascii="宋体" w:hAnsi="宋体" w:cs="Tahoma"/>
          <w:color w:val="auto"/>
          <w:kern w:val="28"/>
          <w:szCs w:val="21"/>
        </w:rPr>
        <w:t>本项目不接受联合体投标；</w:t>
      </w:r>
    </w:p>
    <w:p>
      <w:pPr>
        <w:numPr>
          <w:ilvl w:val="0"/>
          <w:numId w:val="4"/>
        </w:numPr>
        <w:tabs>
          <w:tab w:val="left" w:pos="525"/>
          <w:tab w:val="left" w:pos="630"/>
          <w:tab w:val="left" w:pos="840"/>
          <w:tab w:val="left" w:pos="1004"/>
          <w:tab w:val="left" w:pos="1287"/>
        </w:tabs>
        <w:spacing w:line="360" w:lineRule="auto"/>
        <w:ind w:left="420"/>
        <w:rPr>
          <w:rFonts w:ascii="宋体" w:hAnsi="宋体" w:cs="Tahoma"/>
          <w:color w:val="auto"/>
          <w:kern w:val="28"/>
          <w:szCs w:val="21"/>
        </w:rPr>
      </w:pPr>
      <w:r>
        <w:rPr>
          <w:rFonts w:ascii="宋体" w:hAnsi="宋体" w:cs="Tahoma"/>
          <w:color w:val="auto"/>
          <w:kern w:val="28"/>
          <w:szCs w:val="21"/>
        </w:rPr>
        <w:t>已登记报名并购买了招标文件</w:t>
      </w:r>
      <w:r>
        <w:rPr>
          <w:rFonts w:hint="eastAsia" w:ascii="宋体" w:hAnsi="宋体" w:cs="Tahoma"/>
          <w:color w:val="auto"/>
          <w:kern w:val="28"/>
          <w:szCs w:val="21"/>
        </w:rPr>
        <w:t>。</w:t>
      </w:r>
      <w:r>
        <w:rPr>
          <w:rFonts w:ascii="宋体" w:hAnsi="宋体" w:cs="Tahoma"/>
          <w:color w:val="auto"/>
          <w:kern w:val="28"/>
          <w:szCs w:val="21"/>
        </w:rPr>
        <w:t xml:space="preserve"> </w:t>
      </w:r>
    </w:p>
    <w:p>
      <w:pPr>
        <w:pStyle w:val="82"/>
        <w:spacing w:before="0" w:after="0" w:line="360" w:lineRule="auto"/>
        <w:ind w:left="462" w:hanging="462" w:hangingChars="200"/>
        <w:rPr>
          <w:rFonts w:hint="eastAsia" w:ascii="宋体" w:hAnsi="宋体" w:cs="宋体"/>
          <w:b/>
          <w:color w:val="auto"/>
          <w:spacing w:val="0"/>
          <w:kern w:val="1"/>
          <w:sz w:val="21"/>
          <w:szCs w:val="21"/>
        </w:rPr>
      </w:pPr>
      <w:r>
        <w:rPr>
          <w:rFonts w:ascii="宋体" w:hAnsi="宋体" w:cs="宋体"/>
          <w:b/>
          <w:color w:val="auto"/>
          <w:sz w:val="21"/>
          <w:szCs w:val="21"/>
        </w:rPr>
        <w:t>注：</w:t>
      </w:r>
      <w:r>
        <w:rPr>
          <w:rFonts w:hint="eastAsia" w:ascii="宋体" w:hAnsi="宋体" w:cs="宋体"/>
          <w:b/>
          <w:color w:val="auto"/>
          <w:sz w:val="21"/>
          <w:szCs w:val="21"/>
        </w:rPr>
        <w:t>（1）</w:t>
      </w:r>
      <w:r>
        <w:rPr>
          <w:rFonts w:hint="eastAsia" w:ascii="宋体" w:hAnsi="宋体" w:cs="宋体"/>
          <w:b/>
          <w:color w:val="auto"/>
          <w:spacing w:val="0"/>
          <w:kern w:val="1"/>
          <w:sz w:val="21"/>
          <w:szCs w:val="21"/>
        </w:rPr>
        <w:t>符合资格的供应商需提供以下资料并加盖公章登记购买招标文件：提供有效的营业执照或事业单位法人证书，或社会团体法人登记证书，或执业许可证复印件；分支机构投标的，还须提供具有法人资格的总公司的营业执照副本复印件及授权书，授权书须加盖总公司公章。</w:t>
      </w:r>
    </w:p>
    <w:p>
      <w:pPr>
        <w:pStyle w:val="82"/>
        <w:spacing w:before="0" w:after="0" w:line="360" w:lineRule="auto"/>
        <w:ind w:left="420" w:leftChars="200" w:firstLine="105" w:firstLineChars="50"/>
        <w:rPr>
          <w:rFonts w:ascii="宋体" w:hAnsi="宋体" w:cs="宋体"/>
          <w:color w:val="auto"/>
          <w:spacing w:val="0"/>
          <w:kern w:val="1"/>
          <w:sz w:val="21"/>
          <w:szCs w:val="21"/>
        </w:rPr>
      </w:pPr>
      <w:r>
        <w:rPr>
          <w:rFonts w:ascii="宋体" w:hAnsi="宋体" w:cs="宋体"/>
          <w:color w:val="auto"/>
          <w:spacing w:val="0"/>
          <w:kern w:val="1"/>
          <w:sz w:val="21"/>
          <w:szCs w:val="21"/>
        </w:rPr>
        <w:t>（2）潜在投标人须保证所提交资料真实、完整、有效、一致，否则自行承担由此导致的与本项目有关的任何损失。投标人参加响应需购买招标代理机构正式对外发售的招标文件，并在招标代理机构办理有关报名登记手续后才有资格参加响应。</w:t>
      </w:r>
    </w:p>
    <w:p>
      <w:pPr>
        <w:spacing w:line="360" w:lineRule="auto"/>
        <w:ind w:left="420" w:firstLine="120"/>
        <w:rPr>
          <w:rFonts w:ascii="宋体" w:hAnsi="宋体" w:cs="宋体"/>
          <w:color w:val="auto"/>
          <w:kern w:val="1"/>
          <w:szCs w:val="21"/>
        </w:rPr>
      </w:pPr>
      <w:r>
        <w:rPr>
          <w:rFonts w:ascii="宋体" w:hAnsi="宋体" w:cs="宋体"/>
          <w:color w:val="auto"/>
          <w:kern w:val="1"/>
          <w:szCs w:val="21"/>
        </w:rPr>
        <w:t>（3）为了提高效率，投标人可先在招标代理机构网站上</w:t>
      </w:r>
      <w:r>
        <w:rPr>
          <w:rFonts w:ascii="宋体" w:hAnsi="宋体" w:cs="宋体"/>
          <w:b/>
          <w:color w:val="auto"/>
          <w:kern w:val="1"/>
          <w:szCs w:val="21"/>
        </w:rPr>
        <w:t>“购买文件登记表”</w:t>
      </w:r>
      <w:r>
        <w:rPr>
          <w:rFonts w:ascii="宋体" w:hAnsi="宋体" w:cs="宋体"/>
          <w:color w:val="auto"/>
          <w:kern w:val="1"/>
          <w:szCs w:val="21"/>
        </w:rPr>
        <w:t>，填写后打印并与以上资料一并携带购买招标文件。</w:t>
      </w:r>
    </w:p>
    <w:p>
      <w:pPr>
        <w:numPr>
          <w:ilvl w:val="0"/>
          <w:numId w:val="2"/>
        </w:numPr>
        <w:spacing w:line="360" w:lineRule="auto"/>
        <w:rPr>
          <w:rFonts w:ascii="宋体" w:hAnsi="宋体"/>
          <w:color w:val="auto"/>
          <w:szCs w:val="18"/>
        </w:rPr>
      </w:pPr>
      <w:r>
        <w:rPr>
          <w:rFonts w:hint="eastAsia" w:ascii="宋体" w:hAnsi="宋体"/>
          <w:color w:val="auto"/>
          <w:szCs w:val="18"/>
        </w:rPr>
        <w:t>招标文件获取时间：2024年</w:t>
      </w:r>
      <w:r>
        <w:rPr>
          <w:rFonts w:hint="eastAsia" w:ascii="宋体" w:hAnsi="宋体"/>
          <w:color w:val="auto"/>
          <w:szCs w:val="18"/>
          <w:lang w:val="en-US" w:eastAsia="zh-CN"/>
        </w:rPr>
        <w:t>7</w:t>
      </w:r>
      <w:r>
        <w:rPr>
          <w:rFonts w:hint="eastAsia" w:ascii="宋体" w:hAnsi="宋体"/>
          <w:color w:val="auto"/>
          <w:szCs w:val="18"/>
        </w:rPr>
        <w:t>月</w:t>
      </w:r>
      <w:r>
        <w:rPr>
          <w:rFonts w:hint="eastAsia" w:ascii="宋体" w:hAnsi="宋体"/>
          <w:color w:val="auto"/>
          <w:szCs w:val="18"/>
          <w:lang w:val="en-US" w:eastAsia="zh-CN"/>
        </w:rPr>
        <w:t>5</w:t>
      </w:r>
      <w:r>
        <w:rPr>
          <w:rFonts w:hint="eastAsia" w:ascii="宋体" w:hAnsi="宋体"/>
          <w:color w:val="auto"/>
          <w:szCs w:val="18"/>
        </w:rPr>
        <w:t>日起至2024年</w:t>
      </w:r>
      <w:r>
        <w:rPr>
          <w:rFonts w:hint="eastAsia" w:ascii="宋体" w:hAnsi="宋体"/>
          <w:color w:val="auto"/>
          <w:szCs w:val="18"/>
          <w:lang w:val="en-US" w:eastAsia="zh-CN"/>
        </w:rPr>
        <w:t>7</w:t>
      </w:r>
      <w:r>
        <w:rPr>
          <w:rFonts w:hint="eastAsia" w:ascii="宋体" w:hAnsi="宋体"/>
          <w:color w:val="auto"/>
          <w:szCs w:val="18"/>
        </w:rPr>
        <w:t>月</w:t>
      </w:r>
      <w:r>
        <w:rPr>
          <w:rFonts w:hint="eastAsia" w:ascii="宋体" w:hAnsi="宋体"/>
          <w:color w:val="auto"/>
          <w:szCs w:val="18"/>
          <w:lang w:val="en-US" w:eastAsia="zh-CN"/>
        </w:rPr>
        <w:t>12</w:t>
      </w:r>
      <w:r>
        <w:rPr>
          <w:rFonts w:hint="eastAsia" w:ascii="宋体" w:hAnsi="宋体"/>
          <w:color w:val="auto"/>
          <w:szCs w:val="18"/>
        </w:rPr>
        <w:t>日止（工作日上午9：00-12：00，下午14：00-17：00，</w:t>
      </w:r>
      <w:r>
        <w:rPr>
          <w:rFonts w:ascii="宋体" w:hAnsi="宋体"/>
          <w:color w:val="auto"/>
          <w:szCs w:val="18"/>
        </w:rPr>
        <w:t>法定节假日除外）</w:t>
      </w:r>
    </w:p>
    <w:p>
      <w:pPr>
        <w:numPr>
          <w:ilvl w:val="0"/>
          <w:numId w:val="2"/>
        </w:numPr>
        <w:spacing w:line="360" w:lineRule="auto"/>
        <w:rPr>
          <w:rFonts w:ascii="宋体" w:hAnsi="宋体"/>
          <w:color w:val="auto"/>
          <w:szCs w:val="18"/>
        </w:rPr>
      </w:pPr>
      <w:r>
        <w:rPr>
          <w:rFonts w:hint="eastAsia" w:ascii="宋体" w:hAnsi="宋体"/>
          <w:bCs/>
          <w:color w:val="auto"/>
          <w:szCs w:val="20"/>
        </w:rPr>
        <w:t>招标文件获取方式：现场获取或邮箱获取。现场获取地址：</w:t>
      </w:r>
      <w:r>
        <w:rPr>
          <w:rFonts w:hint="eastAsia" w:ascii="宋体" w:hAnsi="宋体"/>
          <w:color w:val="auto"/>
        </w:rPr>
        <w:t>广州市越秀区应元路34、36号四层之一房(进越秀山体育场内乘左边电梯上四楼)；</w:t>
      </w:r>
      <w:r>
        <w:rPr>
          <w:rFonts w:ascii="宋体" w:hAnsi="宋体"/>
          <w:bCs/>
          <w:color w:val="auto"/>
          <w:szCs w:val="20"/>
        </w:rPr>
        <w:t>电子邮箱：</w:t>
      </w:r>
      <w:r>
        <w:rPr>
          <w:rFonts w:ascii="宋体" w:hAnsi="宋体"/>
          <w:bCs/>
          <w:color w:val="auto"/>
          <w:szCs w:val="20"/>
        </w:rPr>
        <w:fldChar w:fldCharType="begin"/>
      </w:r>
      <w:r>
        <w:rPr>
          <w:rFonts w:ascii="宋体" w:hAnsi="宋体"/>
          <w:bCs/>
          <w:color w:val="auto"/>
          <w:szCs w:val="20"/>
        </w:rPr>
        <w:instrText xml:space="preserve"> HYPERLINK "mailto:</w:instrText>
      </w:r>
      <w:r>
        <w:rPr>
          <w:rFonts w:hint="eastAsia" w:ascii="宋体" w:hAnsi="宋体"/>
          <w:bCs/>
          <w:color w:val="auto"/>
          <w:szCs w:val="20"/>
        </w:rPr>
        <w:instrText xml:space="preserve">gdzcbidding@163.com</w:instrText>
      </w:r>
      <w:r>
        <w:rPr>
          <w:rFonts w:ascii="宋体" w:hAnsi="宋体"/>
          <w:bCs/>
          <w:color w:val="auto"/>
          <w:szCs w:val="20"/>
        </w:rPr>
        <w:instrText xml:space="preserve">" </w:instrText>
      </w:r>
      <w:r>
        <w:rPr>
          <w:rFonts w:ascii="宋体" w:hAnsi="宋体"/>
          <w:bCs/>
          <w:color w:val="auto"/>
          <w:szCs w:val="20"/>
        </w:rPr>
        <w:fldChar w:fldCharType="separate"/>
      </w:r>
      <w:r>
        <w:rPr>
          <w:rStyle w:val="41"/>
          <w:rFonts w:hint="eastAsia" w:ascii="宋体" w:hAnsi="宋体"/>
          <w:bCs/>
          <w:color w:val="auto"/>
          <w:szCs w:val="20"/>
        </w:rPr>
        <w:t>gdzcbidding@163.com</w:t>
      </w:r>
      <w:r>
        <w:rPr>
          <w:rFonts w:ascii="宋体" w:hAnsi="宋体"/>
          <w:bCs/>
          <w:color w:val="auto"/>
          <w:szCs w:val="20"/>
        </w:rPr>
        <w:fldChar w:fldCharType="end"/>
      </w:r>
      <w:r>
        <w:rPr>
          <w:rFonts w:hint="eastAsia" w:ascii="宋体" w:hAnsi="宋体"/>
          <w:bCs/>
          <w:color w:val="auto"/>
          <w:szCs w:val="20"/>
        </w:rPr>
        <w:t>，</w:t>
      </w:r>
      <w:r>
        <w:rPr>
          <w:rFonts w:hint="eastAsia" w:ascii="宋体" w:hAnsi="宋体"/>
          <w:color w:val="auto"/>
        </w:rPr>
        <w:t>联系人：赵</w:t>
      </w:r>
      <w:r>
        <w:rPr>
          <w:rFonts w:hint="eastAsia" w:hAnsi="宋体"/>
          <w:color w:val="auto"/>
        </w:rPr>
        <w:t>小姐，联系电话：020-83526429</w:t>
      </w:r>
      <w:r>
        <w:rPr>
          <w:rFonts w:hint="eastAsia" w:ascii="宋体" w:hAnsi="宋体"/>
          <w:color w:val="auto"/>
          <w:szCs w:val="18"/>
        </w:rPr>
        <w:t>。购买招标文件账户：广东中程招标代理有限公司，</w:t>
      </w:r>
      <w:r>
        <w:rPr>
          <w:rFonts w:hint="eastAsia" w:hAnsi="宋体"/>
          <w:color w:val="auto"/>
          <w:szCs w:val="18"/>
        </w:rPr>
        <w:t>账号：9550 8802 0988 9200 108，开户银行：广发银行起义路支行</w:t>
      </w:r>
      <w:r>
        <w:rPr>
          <w:rFonts w:hint="eastAsia" w:ascii="宋体" w:hAnsi="宋体"/>
          <w:color w:val="auto"/>
          <w:szCs w:val="18"/>
        </w:rPr>
        <w:t>。招标文件每套售价人民币</w:t>
      </w:r>
      <w:r>
        <w:rPr>
          <w:rFonts w:hint="eastAsia" w:ascii="宋体" w:hAnsi="宋体"/>
          <w:color w:val="auto"/>
          <w:szCs w:val="18"/>
          <w:lang w:val="en-US" w:eastAsia="zh-CN"/>
        </w:rPr>
        <w:t>3</w:t>
      </w:r>
      <w:r>
        <w:rPr>
          <w:rFonts w:ascii="宋体" w:hAnsi="宋体"/>
          <w:color w:val="auto"/>
          <w:szCs w:val="18"/>
        </w:rPr>
        <w:t>00</w:t>
      </w:r>
      <w:r>
        <w:rPr>
          <w:rFonts w:hint="eastAsia" w:ascii="宋体" w:hAnsi="宋体"/>
          <w:color w:val="auto"/>
          <w:szCs w:val="18"/>
        </w:rPr>
        <w:t>元整（售后不退）</w:t>
      </w:r>
      <w:r>
        <w:rPr>
          <w:rFonts w:hint="eastAsia" w:ascii="宋体" w:hAnsi="宋体"/>
          <w:color w:val="auto"/>
          <w:szCs w:val="18"/>
          <w:lang w:eastAsia="zh-CN"/>
        </w:rPr>
        <w:t>。</w:t>
      </w:r>
    </w:p>
    <w:p>
      <w:pPr>
        <w:numPr>
          <w:ilvl w:val="0"/>
          <w:numId w:val="2"/>
        </w:numPr>
        <w:spacing w:line="360" w:lineRule="auto"/>
        <w:rPr>
          <w:rFonts w:ascii="宋体" w:hAnsi="宋体"/>
          <w:color w:val="auto"/>
          <w:szCs w:val="18"/>
        </w:rPr>
      </w:pPr>
      <w:r>
        <w:rPr>
          <w:rFonts w:hint="eastAsia" w:ascii="宋体" w:hAnsi="宋体"/>
          <w:color w:val="auto"/>
          <w:szCs w:val="18"/>
        </w:rPr>
        <w:t>投标文件递交方式：纸质文件现场递交。</w:t>
      </w:r>
    </w:p>
    <w:p>
      <w:pPr>
        <w:numPr>
          <w:ilvl w:val="0"/>
          <w:numId w:val="2"/>
        </w:numPr>
        <w:spacing w:line="360" w:lineRule="auto"/>
        <w:rPr>
          <w:rFonts w:ascii="宋体" w:hAnsi="宋体"/>
          <w:color w:val="auto"/>
          <w:szCs w:val="18"/>
        </w:rPr>
      </w:pPr>
      <w:r>
        <w:rPr>
          <w:rFonts w:hint="eastAsia" w:ascii="宋体" w:hAnsi="宋体"/>
          <w:color w:val="auto"/>
          <w:szCs w:val="18"/>
        </w:rPr>
        <w:t>投标文件递交时间：2024年</w:t>
      </w:r>
      <w:r>
        <w:rPr>
          <w:rFonts w:hint="eastAsia" w:ascii="宋体" w:hAnsi="宋体"/>
          <w:color w:val="auto"/>
          <w:szCs w:val="18"/>
          <w:lang w:val="en-US" w:eastAsia="zh-CN"/>
        </w:rPr>
        <w:t>7</w:t>
      </w:r>
      <w:r>
        <w:rPr>
          <w:rFonts w:hint="eastAsia" w:ascii="宋体" w:hAnsi="宋体"/>
          <w:color w:val="auto"/>
          <w:szCs w:val="18"/>
        </w:rPr>
        <w:t>月</w:t>
      </w:r>
      <w:r>
        <w:rPr>
          <w:rFonts w:hint="eastAsia" w:ascii="宋体" w:hAnsi="宋体"/>
          <w:color w:val="auto"/>
          <w:szCs w:val="18"/>
          <w:lang w:val="en-US" w:eastAsia="zh-CN"/>
        </w:rPr>
        <w:t>26</w:t>
      </w:r>
      <w:r>
        <w:rPr>
          <w:rFonts w:hint="eastAsia" w:ascii="宋体" w:hAnsi="宋体"/>
          <w:color w:val="auto"/>
          <w:szCs w:val="18"/>
        </w:rPr>
        <w:t>日14:00～14:30（北京时间）。</w:t>
      </w:r>
    </w:p>
    <w:p>
      <w:pPr>
        <w:pStyle w:val="17"/>
        <w:numPr>
          <w:ilvl w:val="0"/>
          <w:numId w:val="2"/>
        </w:numPr>
        <w:spacing w:line="360" w:lineRule="auto"/>
        <w:rPr>
          <w:rFonts w:hAnsi="宋体"/>
          <w:color w:val="auto"/>
        </w:rPr>
      </w:pPr>
      <w:r>
        <w:rPr>
          <w:rFonts w:hint="eastAsia" w:hAnsi="宋体"/>
          <w:color w:val="auto"/>
        </w:rPr>
        <w:t>投标文件递交地址：广州市越秀区应元路34、36号四层之一房(进越秀山体育场内乘左边电梯上四楼)。</w:t>
      </w:r>
    </w:p>
    <w:p>
      <w:pPr>
        <w:numPr>
          <w:ilvl w:val="0"/>
          <w:numId w:val="2"/>
        </w:numPr>
        <w:spacing w:line="360" w:lineRule="auto"/>
        <w:rPr>
          <w:rFonts w:ascii="宋体" w:hAnsi="宋体"/>
          <w:color w:val="auto"/>
          <w:szCs w:val="18"/>
        </w:rPr>
      </w:pPr>
      <w:r>
        <w:rPr>
          <w:rFonts w:hint="eastAsia" w:ascii="宋体" w:hAnsi="宋体"/>
          <w:color w:val="auto"/>
          <w:szCs w:val="18"/>
        </w:rPr>
        <w:t>投标截止时间及开标时间：2024年</w:t>
      </w:r>
      <w:r>
        <w:rPr>
          <w:rFonts w:hint="eastAsia" w:ascii="宋体" w:hAnsi="宋体"/>
          <w:color w:val="auto"/>
          <w:szCs w:val="18"/>
          <w:lang w:val="en-US" w:eastAsia="zh-CN"/>
        </w:rPr>
        <w:t>7</w:t>
      </w:r>
      <w:r>
        <w:rPr>
          <w:rFonts w:hint="eastAsia" w:ascii="宋体" w:hAnsi="宋体"/>
          <w:color w:val="auto"/>
          <w:szCs w:val="18"/>
        </w:rPr>
        <w:t>月</w:t>
      </w:r>
      <w:r>
        <w:rPr>
          <w:rFonts w:hint="eastAsia" w:ascii="宋体" w:hAnsi="宋体"/>
          <w:color w:val="auto"/>
          <w:szCs w:val="18"/>
          <w:lang w:val="en-US" w:eastAsia="zh-CN"/>
        </w:rPr>
        <w:t>26</w:t>
      </w:r>
      <w:r>
        <w:rPr>
          <w:rFonts w:hint="eastAsia" w:ascii="宋体" w:hAnsi="宋体"/>
          <w:color w:val="auto"/>
          <w:szCs w:val="18"/>
        </w:rPr>
        <w:t>日14:30（北京时间）。</w:t>
      </w:r>
    </w:p>
    <w:p>
      <w:pPr>
        <w:numPr>
          <w:ilvl w:val="0"/>
          <w:numId w:val="2"/>
        </w:numPr>
        <w:spacing w:line="360" w:lineRule="auto"/>
        <w:rPr>
          <w:rFonts w:ascii="宋体" w:hAnsi="宋体"/>
          <w:color w:val="auto"/>
          <w:szCs w:val="18"/>
        </w:rPr>
      </w:pPr>
      <w:r>
        <w:rPr>
          <w:rFonts w:hint="eastAsia" w:ascii="宋体" w:hAnsi="宋体"/>
          <w:color w:val="auto"/>
          <w:szCs w:val="18"/>
        </w:rPr>
        <w:t>开标地点：</w:t>
      </w:r>
      <w:r>
        <w:rPr>
          <w:rFonts w:hint="eastAsia" w:ascii="宋体" w:hAnsi="宋体"/>
          <w:color w:val="auto"/>
        </w:rPr>
        <w:t>广州市越秀区应元路34、36号四层之一房(进越秀山体育场内乘左边电梯上四楼)</w:t>
      </w:r>
      <w:r>
        <w:rPr>
          <w:rFonts w:hint="eastAsia" w:ascii="宋体" w:hAnsi="宋体"/>
          <w:color w:val="auto"/>
          <w:szCs w:val="18"/>
        </w:rPr>
        <w:t>。</w:t>
      </w:r>
    </w:p>
    <w:p>
      <w:pPr>
        <w:numPr>
          <w:ilvl w:val="0"/>
          <w:numId w:val="2"/>
        </w:numPr>
        <w:spacing w:line="360" w:lineRule="auto"/>
        <w:jc w:val="left"/>
        <w:rPr>
          <w:rFonts w:ascii="宋体" w:hAnsi="宋体"/>
          <w:color w:val="auto"/>
          <w:szCs w:val="18"/>
        </w:rPr>
      </w:pPr>
      <w:r>
        <w:rPr>
          <w:rFonts w:hint="eastAsia" w:ascii="宋体" w:hAnsi="宋体"/>
          <w:color w:val="auto"/>
          <w:szCs w:val="18"/>
        </w:rPr>
        <w:t>本项目招标公告等信息在中国政府采购网(</w:t>
      </w:r>
      <w:r>
        <w:rPr>
          <w:rFonts w:ascii="宋体" w:hAnsi="宋体"/>
          <w:color w:val="auto"/>
          <w:szCs w:val="18"/>
        </w:rPr>
        <w:fldChar w:fldCharType="begin"/>
      </w:r>
      <w:r>
        <w:rPr>
          <w:rFonts w:ascii="宋体" w:hAnsi="宋体"/>
          <w:color w:val="auto"/>
          <w:szCs w:val="18"/>
        </w:rPr>
        <w:instrText xml:space="preserve"> HYPERLINK "http://</w:instrText>
      </w:r>
      <w:r>
        <w:rPr>
          <w:rFonts w:hint="eastAsia" w:ascii="宋体" w:hAnsi="宋体"/>
          <w:color w:val="auto"/>
          <w:szCs w:val="18"/>
        </w:rPr>
        <w:instrText xml:space="preserve">www.ccgp.gov.cn</w:instrText>
      </w:r>
      <w:r>
        <w:rPr>
          <w:rFonts w:ascii="宋体" w:hAnsi="宋体"/>
          <w:color w:val="auto"/>
          <w:szCs w:val="18"/>
        </w:rPr>
        <w:instrText xml:space="preserve">" </w:instrText>
      </w:r>
      <w:r>
        <w:rPr>
          <w:rFonts w:ascii="宋体" w:hAnsi="宋体"/>
          <w:color w:val="auto"/>
          <w:szCs w:val="18"/>
        </w:rPr>
        <w:fldChar w:fldCharType="separate"/>
      </w:r>
      <w:r>
        <w:rPr>
          <w:rFonts w:hint="eastAsia" w:ascii="宋体" w:hAnsi="宋体"/>
          <w:color w:val="auto"/>
          <w:szCs w:val="18"/>
        </w:rPr>
        <w:t>www.ccgp.gov.cn</w:t>
      </w:r>
      <w:r>
        <w:rPr>
          <w:rFonts w:ascii="宋体" w:hAnsi="宋体"/>
          <w:color w:val="auto"/>
          <w:szCs w:val="18"/>
        </w:rPr>
        <w:fldChar w:fldCharType="end"/>
      </w:r>
      <w:r>
        <w:rPr>
          <w:rFonts w:hint="eastAsia" w:ascii="宋体" w:hAnsi="宋体"/>
          <w:color w:val="auto"/>
          <w:szCs w:val="18"/>
        </w:rPr>
        <w:t>)、广东中程招标代理有限公司网（www.gdzcbidding.com）上公布，并视为有效送达。</w:t>
      </w:r>
    </w:p>
    <w:p>
      <w:pPr>
        <w:numPr>
          <w:ilvl w:val="0"/>
          <w:numId w:val="2"/>
        </w:numPr>
        <w:spacing w:line="360" w:lineRule="auto"/>
        <w:rPr>
          <w:rFonts w:ascii="宋体" w:hAnsi="宋体"/>
          <w:color w:val="auto"/>
          <w:szCs w:val="18"/>
        </w:rPr>
      </w:pPr>
      <w:r>
        <w:rPr>
          <w:rFonts w:hint="eastAsia" w:ascii="宋体" w:hAnsi="宋体"/>
          <w:color w:val="auto"/>
          <w:szCs w:val="18"/>
        </w:rPr>
        <w:t>招标人及招标代理机构联系方式：</w:t>
      </w:r>
    </w:p>
    <w:p>
      <w:pPr>
        <w:spacing w:line="360" w:lineRule="auto"/>
        <w:ind w:left="-88" w:leftChars="-42" w:firstLine="512" w:firstLineChars="244"/>
        <w:rPr>
          <w:rFonts w:ascii="宋体" w:hAnsi="宋体"/>
          <w:color w:val="auto"/>
        </w:rPr>
      </w:pPr>
      <w:r>
        <w:rPr>
          <w:rFonts w:hint="eastAsia" w:ascii="宋体" w:hAnsi="宋体"/>
          <w:color w:val="auto"/>
        </w:rPr>
        <w:t>招标人：广东省外语艺术职业学院</w:t>
      </w:r>
    </w:p>
    <w:p>
      <w:pPr>
        <w:spacing w:line="360" w:lineRule="auto"/>
        <w:ind w:left="-88" w:leftChars="-42" w:firstLine="512" w:firstLineChars="2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林老师</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eastAsia="宋体" w:cs="宋体"/>
          <w:bCs/>
          <w:color w:val="auto"/>
          <w:sz w:val="21"/>
          <w:szCs w:val="21"/>
          <w:highlight w:val="none"/>
          <w:lang w:eastAsia="zh-CN"/>
        </w:rPr>
        <w:t>：020-38457415</w:t>
      </w:r>
    </w:p>
    <w:p>
      <w:pPr>
        <w:spacing w:line="360" w:lineRule="auto"/>
        <w:ind w:firstLine="424" w:firstLineChars="202"/>
        <w:rPr>
          <w:rFonts w:ascii="宋体" w:hAnsi="宋体"/>
          <w:color w:val="auto"/>
        </w:rPr>
      </w:pPr>
      <w:r>
        <w:rPr>
          <w:rFonts w:hint="eastAsia" w:ascii="宋体" w:hAnsi="宋体"/>
          <w:color w:val="auto"/>
        </w:rPr>
        <w:t>联系地址：广州市天河区瘦狗岭路463号</w:t>
      </w:r>
    </w:p>
    <w:p>
      <w:pPr>
        <w:spacing w:line="360" w:lineRule="auto"/>
        <w:ind w:left="-88" w:leftChars="-42" w:firstLine="512" w:firstLineChars="244"/>
        <w:rPr>
          <w:rFonts w:hint="eastAsia" w:ascii="宋体" w:hAnsi="宋体"/>
          <w:bCs/>
          <w:color w:val="auto"/>
          <w:szCs w:val="20"/>
        </w:rPr>
      </w:pPr>
      <w:r>
        <w:rPr>
          <w:rFonts w:hint="eastAsia" w:ascii="宋体" w:hAnsi="宋体"/>
          <w:bCs/>
          <w:color w:val="auto"/>
          <w:szCs w:val="20"/>
        </w:rPr>
        <w:t>招标代理机构：广东中程招标代理有限公司</w:t>
      </w:r>
    </w:p>
    <w:p>
      <w:pPr>
        <w:spacing w:line="360" w:lineRule="auto"/>
        <w:ind w:left="-88" w:leftChars="-42" w:firstLine="512" w:firstLineChars="244"/>
        <w:rPr>
          <w:rFonts w:hint="eastAsia" w:ascii="宋体" w:hAnsi="宋体"/>
          <w:bCs/>
          <w:color w:val="auto"/>
        </w:rPr>
      </w:pPr>
      <w:r>
        <w:rPr>
          <w:rFonts w:hint="eastAsia" w:ascii="宋体" w:hAnsi="宋体"/>
          <w:bCs/>
          <w:color w:val="auto"/>
          <w:szCs w:val="20"/>
        </w:rPr>
        <w:t>招标代理机构联系人：</w:t>
      </w:r>
      <w:r>
        <w:rPr>
          <w:rFonts w:hint="eastAsia" w:ascii="宋体" w:hAnsi="宋体"/>
          <w:bCs/>
          <w:color w:val="auto"/>
        </w:rPr>
        <w:t>李小姐</w:t>
      </w:r>
    </w:p>
    <w:p>
      <w:pPr>
        <w:spacing w:line="360" w:lineRule="auto"/>
        <w:ind w:left="-88" w:leftChars="-42" w:firstLine="512" w:firstLineChars="244"/>
        <w:rPr>
          <w:rFonts w:hint="eastAsia" w:ascii="宋体" w:hAnsi="宋体"/>
          <w:bCs/>
          <w:color w:val="auto"/>
          <w:szCs w:val="20"/>
        </w:rPr>
      </w:pPr>
      <w:r>
        <w:rPr>
          <w:rFonts w:hint="eastAsia" w:ascii="宋体" w:hAnsi="宋体"/>
          <w:color w:val="auto"/>
        </w:rPr>
        <w:t>联系电话：</w:t>
      </w:r>
      <w:r>
        <w:rPr>
          <w:rFonts w:ascii="宋体" w:hAnsi="宋体"/>
          <w:color w:val="auto"/>
        </w:rPr>
        <w:t>020-83526425</w:t>
      </w:r>
    </w:p>
    <w:p>
      <w:pPr>
        <w:tabs>
          <w:tab w:val="left" w:pos="180"/>
        </w:tabs>
        <w:spacing w:line="360" w:lineRule="auto"/>
        <w:ind w:firstLine="424" w:firstLineChars="202"/>
        <w:rPr>
          <w:rFonts w:hint="eastAsia" w:ascii="宋体" w:hAnsi="宋体"/>
          <w:color w:val="auto"/>
        </w:rPr>
      </w:pPr>
      <w:r>
        <w:rPr>
          <w:rFonts w:hint="eastAsia" w:ascii="宋体" w:hAnsi="宋体"/>
          <w:color w:val="auto"/>
        </w:rPr>
        <w:t>传真号码：020-83526429</w:t>
      </w:r>
    </w:p>
    <w:p>
      <w:pPr>
        <w:spacing w:line="360" w:lineRule="auto"/>
        <w:ind w:firstLine="424" w:firstLineChars="202"/>
        <w:rPr>
          <w:rFonts w:hint="eastAsia" w:ascii="宋体" w:hAnsi="宋体"/>
          <w:bCs/>
          <w:color w:val="auto"/>
          <w:szCs w:val="20"/>
        </w:rPr>
      </w:pPr>
      <w:r>
        <w:rPr>
          <w:rFonts w:ascii="宋体" w:hAnsi="宋体"/>
          <w:bCs/>
          <w:color w:val="auto"/>
          <w:szCs w:val="20"/>
        </w:rPr>
        <w:t>电子邮箱：</w:t>
      </w:r>
      <w:r>
        <w:rPr>
          <w:rFonts w:hint="eastAsia" w:ascii="宋体" w:hAnsi="宋体"/>
          <w:bCs/>
          <w:color w:val="auto"/>
          <w:szCs w:val="20"/>
        </w:rPr>
        <w:t>gdzcbidding@163.com</w:t>
      </w:r>
    </w:p>
    <w:p>
      <w:pPr>
        <w:tabs>
          <w:tab w:val="left" w:pos="180"/>
        </w:tabs>
        <w:spacing w:line="360" w:lineRule="auto"/>
        <w:ind w:firstLine="424" w:firstLineChars="202"/>
        <w:rPr>
          <w:rFonts w:hint="eastAsia" w:ascii="宋体" w:hAnsi="宋体"/>
          <w:bCs/>
          <w:color w:val="auto"/>
          <w:szCs w:val="20"/>
        </w:rPr>
      </w:pPr>
      <w:r>
        <w:rPr>
          <w:rFonts w:hint="eastAsia" w:ascii="宋体" w:hAnsi="宋体"/>
          <w:bCs/>
          <w:color w:val="auto"/>
          <w:szCs w:val="20"/>
        </w:rPr>
        <w:t>联系地址：</w:t>
      </w:r>
      <w:r>
        <w:rPr>
          <w:rFonts w:hint="eastAsia" w:ascii="宋体" w:hAnsi="宋体"/>
          <w:color w:val="auto"/>
        </w:rPr>
        <w:t>广州市越秀区应元路34、36号四层之一房(进越秀山体育场内乘左边电梯上四楼)</w:t>
      </w:r>
    </w:p>
    <w:p>
      <w:pPr>
        <w:spacing w:line="360" w:lineRule="auto"/>
        <w:ind w:firstLine="424" w:firstLineChars="202"/>
        <w:rPr>
          <w:rFonts w:ascii="宋体" w:hAnsi="宋体"/>
          <w:bCs/>
          <w:color w:val="auto"/>
          <w:szCs w:val="20"/>
        </w:rPr>
      </w:pPr>
      <w:r>
        <w:rPr>
          <w:rFonts w:hint="eastAsia" w:ascii="宋体" w:hAnsi="宋体"/>
          <w:bCs/>
          <w:color w:val="auto"/>
          <w:szCs w:val="20"/>
        </w:rPr>
        <w:t>邮政编码：510070                 网址：www.gdzcbidding.com</w:t>
      </w:r>
    </w:p>
    <w:p>
      <w:pPr>
        <w:ind w:firstLine="525" w:firstLineChars="250"/>
        <w:jc w:val="right"/>
        <w:rPr>
          <w:rFonts w:ascii="宋体" w:hAnsi="宋体"/>
          <w:color w:val="auto"/>
        </w:rPr>
      </w:pPr>
      <w:r>
        <w:rPr>
          <w:rFonts w:hint="eastAsia" w:ascii="宋体" w:hAnsi="宋体"/>
          <w:color w:val="auto"/>
        </w:rPr>
        <w:t>广东中程招标代理有限公司</w:t>
      </w:r>
    </w:p>
    <w:p>
      <w:pPr>
        <w:ind w:firstLine="525" w:firstLineChars="250"/>
        <w:jc w:val="left"/>
        <w:rPr>
          <w:rFonts w:hint="eastAsia" w:ascii="宋体" w:hAnsi="宋体"/>
          <w:b/>
          <w:bCs/>
          <w:color w:val="auto"/>
        </w:rPr>
      </w:pPr>
      <w:r>
        <w:rPr>
          <w:rFonts w:hint="eastAsia" w:ascii="宋体" w:hAnsi="宋体"/>
          <w:color w:val="auto"/>
        </w:rPr>
        <w:t xml:space="preserve">                                                             </w:t>
      </w:r>
      <w:r>
        <w:rPr>
          <w:rFonts w:hint="eastAsia" w:ascii="宋体" w:hAnsi="宋体"/>
          <w:color w:val="auto"/>
          <w:lang w:val="en-US" w:eastAsia="zh-CN"/>
        </w:rPr>
        <w:t xml:space="preserve">  </w:t>
      </w:r>
      <w:r>
        <w:rPr>
          <w:rFonts w:hint="eastAsia" w:ascii="宋体" w:hAnsi="宋体"/>
          <w:color w:val="auto"/>
        </w:rPr>
        <w:t xml:space="preserve">  </w:t>
      </w:r>
      <w:r>
        <w:rPr>
          <w:rFonts w:hint="eastAsia" w:ascii="宋体" w:hAnsi="宋体"/>
          <w:color w:val="auto"/>
          <w:szCs w:val="18"/>
        </w:rPr>
        <w:t>2024年</w:t>
      </w:r>
      <w:r>
        <w:rPr>
          <w:rFonts w:hint="eastAsia" w:ascii="宋体" w:hAnsi="宋体"/>
          <w:color w:val="auto"/>
          <w:szCs w:val="18"/>
          <w:lang w:val="en-US" w:eastAsia="zh-CN"/>
        </w:rPr>
        <w:t>7</w:t>
      </w:r>
      <w:r>
        <w:rPr>
          <w:rFonts w:hint="eastAsia" w:ascii="宋体" w:hAnsi="宋体"/>
          <w:color w:val="auto"/>
          <w:szCs w:val="18"/>
        </w:rPr>
        <w:t>月</w:t>
      </w:r>
      <w:r>
        <w:rPr>
          <w:rFonts w:hint="eastAsia" w:ascii="宋体" w:hAnsi="宋体"/>
          <w:color w:val="auto"/>
          <w:szCs w:val="18"/>
          <w:lang w:val="en-US" w:eastAsia="zh-CN"/>
        </w:rPr>
        <w:t>5</w:t>
      </w:r>
      <w:r>
        <w:rPr>
          <w:rFonts w:hint="eastAsia" w:ascii="宋体" w:hAnsi="宋体"/>
          <w:color w:val="auto"/>
          <w:szCs w:val="18"/>
        </w:rPr>
        <w:t>日</w:t>
      </w:r>
    </w:p>
    <w:p>
      <w:pPr>
        <w:jc w:val="left"/>
        <w:rPr>
          <w:color w:val="auto"/>
        </w:rPr>
      </w:pPr>
      <w:r>
        <w:rPr>
          <w:color w:val="auto"/>
        </w:rPr>
        <w:t xml:space="preserve"> </w:t>
      </w:r>
    </w:p>
    <w:p>
      <w:pPr>
        <w:jc w:val="center"/>
        <w:rPr>
          <w:color w:val="auto"/>
        </w:rPr>
      </w:pPr>
    </w:p>
    <w:p>
      <w:pPr>
        <w:spacing w:line="360" w:lineRule="auto"/>
        <w:rPr>
          <w:rFonts w:ascii="宋体" w:hAnsi="宋体"/>
          <w:color w:val="auto"/>
        </w:rPr>
      </w:pPr>
      <w:r>
        <w:rPr>
          <w:rFonts w:ascii="宋体" w:hAnsi="宋体"/>
          <w:color w:val="auto"/>
        </w:rPr>
        <w:br w:type="page"/>
      </w: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pStyle w:val="2"/>
        <w:spacing w:line="360" w:lineRule="auto"/>
        <w:rPr>
          <w:rFonts w:ascii="宋体" w:hAnsi="宋体" w:eastAsia="宋体"/>
          <w:color w:val="auto"/>
        </w:rPr>
      </w:pPr>
      <w:bookmarkStart w:id="9" w:name="_Toc50691021"/>
      <w:bookmarkStart w:id="10" w:name="_Toc50737288"/>
      <w:bookmarkStart w:id="11" w:name="_Toc50737320"/>
      <w:bookmarkStart w:id="12" w:name="_Toc76354916"/>
      <w:bookmarkStart w:id="13" w:name="_Toc50736468"/>
      <w:bookmarkStart w:id="14" w:name="_Toc385939528"/>
      <w:bookmarkStart w:id="15" w:name="_Toc385940869"/>
      <w:bookmarkStart w:id="16" w:name="_Toc417914518"/>
      <w:r>
        <w:rPr>
          <w:rFonts w:hint="eastAsia" w:ascii="宋体" w:hAnsi="宋体" w:eastAsia="宋体"/>
          <w:color w:val="auto"/>
        </w:rPr>
        <w:t xml:space="preserve">第二章  </w:t>
      </w:r>
      <w:bookmarkEnd w:id="9"/>
      <w:bookmarkEnd w:id="10"/>
      <w:bookmarkEnd w:id="11"/>
      <w:bookmarkEnd w:id="12"/>
      <w:bookmarkEnd w:id="13"/>
      <w:r>
        <w:rPr>
          <w:rFonts w:hint="eastAsia" w:ascii="宋体" w:hAnsi="宋体" w:eastAsia="宋体"/>
          <w:color w:val="auto"/>
        </w:rPr>
        <w:t>用 户 需 求</w:t>
      </w:r>
      <w:bookmarkEnd w:id="14"/>
      <w:bookmarkEnd w:id="15"/>
      <w:r>
        <w:rPr>
          <w:rFonts w:hint="eastAsia" w:ascii="宋体" w:hAnsi="宋体" w:eastAsia="宋体"/>
          <w:color w:val="auto"/>
        </w:rPr>
        <w:t xml:space="preserve"> 书</w:t>
      </w:r>
      <w:bookmarkEnd w:id="16"/>
    </w:p>
    <w:p>
      <w:pPr>
        <w:spacing w:line="360" w:lineRule="auto"/>
        <w:rPr>
          <w:rFonts w:ascii="宋体" w:hAnsi="宋体"/>
          <w:b/>
          <w:color w:val="auto"/>
        </w:rPr>
      </w:pPr>
    </w:p>
    <w:p>
      <w:pPr>
        <w:spacing w:before="312" w:beforeLines="100" w:after="312" w:afterLines="100" w:line="360" w:lineRule="auto"/>
        <w:jc w:val="center"/>
        <w:rPr>
          <w:rFonts w:ascii="宋体" w:hAnsi="宋体"/>
          <w:b/>
          <w:bCs/>
          <w:color w:val="auto"/>
          <w:kern w:val="44"/>
          <w:sz w:val="36"/>
          <w:szCs w:val="36"/>
        </w:rPr>
      </w:pPr>
      <w:r>
        <w:rPr>
          <w:rFonts w:ascii="宋体" w:hAnsi="宋体"/>
          <w:b/>
          <w:bCs/>
          <w:color w:val="auto"/>
          <w:kern w:val="44"/>
          <w:sz w:val="36"/>
          <w:szCs w:val="36"/>
        </w:rPr>
        <w:br w:type="page"/>
      </w:r>
      <w:r>
        <w:rPr>
          <w:rFonts w:hint="eastAsia" w:ascii="宋体" w:hAnsi="宋体"/>
          <w:b/>
          <w:bCs/>
          <w:color w:val="auto"/>
          <w:kern w:val="44"/>
          <w:sz w:val="36"/>
          <w:szCs w:val="36"/>
        </w:rPr>
        <w:t>用户需求书</w:t>
      </w:r>
    </w:p>
    <w:bookmarkEnd w:id="8"/>
    <w:p>
      <w:pPr>
        <w:spacing w:before="156" w:beforeLines="50" w:after="156" w:afterLines="50" w:line="360" w:lineRule="auto"/>
        <w:outlineLvl w:val="1"/>
        <w:rPr>
          <w:rFonts w:ascii="宋体" w:hAnsi="宋体" w:cs="宋体"/>
          <w:b/>
          <w:color w:val="auto"/>
          <w:kern w:val="44"/>
          <w:szCs w:val="21"/>
        </w:rPr>
      </w:pPr>
      <w:bookmarkStart w:id="17" w:name="_Toc50691022"/>
      <w:bookmarkStart w:id="18" w:name="_Toc50737321"/>
      <w:bookmarkStart w:id="19" w:name="_Toc50736469"/>
      <w:bookmarkStart w:id="20" w:name="_Toc50737289"/>
      <w:bookmarkStart w:id="21" w:name="_Toc76354917"/>
      <w:r>
        <w:rPr>
          <w:rFonts w:hint="eastAsia" w:ascii="宋体" w:hAnsi="宋体" w:cs="宋体"/>
          <w:b/>
          <w:color w:val="auto"/>
          <w:kern w:val="44"/>
          <w:szCs w:val="21"/>
        </w:rPr>
        <w:t>一、总体说明</w:t>
      </w:r>
    </w:p>
    <w:p>
      <w:pPr>
        <w:spacing w:line="360" w:lineRule="auto"/>
        <w:ind w:firstLine="420" w:firstLineChars="200"/>
        <w:rPr>
          <w:rFonts w:ascii="宋体" w:hAnsi="宋体" w:cs="宋体"/>
          <w:color w:val="auto"/>
          <w:szCs w:val="21"/>
        </w:rPr>
      </w:pPr>
      <w:r>
        <w:rPr>
          <w:rFonts w:hint="eastAsia" w:ascii="宋体" w:hAnsi="宋体" w:cs="宋体"/>
          <w:color w:val="auto"/>
          <w:szCs w:val="21"/>
        </w:rPr>
        <w:t>1</w:t>
      </w:r>
      <w:r>
        <w:rPr>
          <w:rFonts w:ascii="宋体" w:hAnsi="宋体" w:cs="宋体"/>
          <w:color w:val="auto"/>
          <w:szCs w:val="21"/>
        </w:rPr>
        <w:t>.本项目采用总价包干，本项目的总价包含</w:t>
      </w:r>
      <w:r>
        <w:rPr>
          <w:rFonts w:hint="eastAsia" w:ascii="宋体" w:hAnsi="宋体" w:cs="宋体"/>
          <w:color w:val="auto"/>
          <w:szCs w:val="21"/>
        </w:rPr>
        <w:t>投标人</w:t>
      </w:r>
      <w:r>
        <w:rPr>
          <w:rFonts w:ascii="宋体" w:hAnsi="宋体" w:cs="宋体"/>
          <w:color w:val="auto"/>
          <w:szCs w:val="21"/>
        </w:rPr>
        <w:t>完成本项目约定所有工作内容所必需的所有成本费用和</w:t>
      </w:r>
      <w:r>
        <w:rPr>
          <w:rFonts w:hint="eastAsia" w:ascii="宋体" w:hAnsi="宋体" w:cs="宋体"/>
          <w:color w:val="auto"/>
          <w:szCs w:val="21"/>
        </w:rPr>
        <w:t>投标人</w:t>
      </w:r>
      <w:r>
        <w:rPr>
          <w:rFonts w:ascii="宋体" w:hAnsi="宋体" w:cs="宋体"/>
          <w:color w:val="auto"/>
          <w:szCs w:val="21"/>
        </w:rPr>
        <w:t>应承担的一切税费，包括但不限于全部人工、软件模块、源代码、材料、随机零配件、耗材、安全生产措施费用、利润、税费及采购实施过程中不可预见费用等所有其他有关事项的全部费用。除此之外，招标人不再支付任何费用。</w:t>
      </w:r>
    </w:p>
    <w:p>
      <w:pPr>
        <w:spacing w:line="360" w:lineRule="auto"/>
        <w:ind w:firstLine="420" w:firstLineChars="200"/>
        <w:rPr>
          <w:rFonts w:ascii="宋体" w:hAnsi="宋体" w:cs="宋体"/>
          <w:color w:val="auto"/>
          <w:szCs w:val="21"/>
        </w:rPr>
      </w:pPr>
      <w:r>
        <w:rPr>
          <w:rFonts w:hint="eastAsia" w:ascii="宋体" w:hAnsi="宋体" w:cs="宋体"/>
          <w:color w:val="auto"/>
          <w:szCs w:val="21"/>
        </w:rPr>
        <w:t>2</w:t>
      </w:r>
      <w:r>
        <w:rPr>
          <w:rFonts w:ascii="宋体" w:hAnsi="宋体" w:cs="宋体"/>
          <w:color w:val="auto"/>
          <w:szCs w:val="21"/>
        </w:rPr>
        <w:t>.</w:t>
      </w:r>
      <w:r>
        <w:rPr>
          <w:rFonts w:hint="eastAsia" w:ascii="宋体" w:hAnsi="宋体" w:cs="宋体"/>
          <w:color w:val="auto"/>
          <w:szCs w:val="21"/>
        </w:rPr>
        <w:t>本项目的预算：</w:t>
      </w:r>
    </w:p>
    <w:p>
      <w:pPr>
        <w:spacing w:line="360" w:lineRule="auto"/>
        <w:ind w:firstLine="420" w:firstLineChars="200"/>
        <w:rPr>
          <w:rFonts w:ascii="宋体" w:hAnsi="宋体" w:cs="宋体"/>
          <w:color w:val="auto"/>
          <w:szCs w:val="21"/>
        </w:rPr>
      </w:pPr>
      <w:r>
        <w:rPr>
          <w:rFonts w:hint="eastAsia" w:ascii="宋体" w:hAnsi="宋体" w:cs="宋体"/>
          <w:color w:val="auto"/>
          <w:szCs w:val="21"/>
        </w:rPr>
        <w:t>人民币:</w:t>
      </w:r>
      <w:r>
        <w:rPr>
          <w:rFonts w:ascii="宋体" w:hAnsi="宋体" w:cs="宋体"/>
          <w:color w:val="auto"/>
          <w:szCs w:val="21"/>
        </w:rPr>
        <w:t xml:space="preserve"> </w:t>
      </w:r>
      <w:r>
        <w:rPr>
          <w:rFonts w:hint="eastAsia" w:ascii="宋体" w:hAnsi="宋体" w:cs="宋体"/>
          <w:color w:val="auto"/>
          <w:szCs w:val="21"/>
        </w:rPr>
        <w:t>10</w:t>
      </w:r>
      <w:r>
        <w:rPr>
          <w:rFonts w:hint="eastAsia" w:ascii="宋体" w:hAnsi="宋体" w:cs="宋体"/>
          <w:color w:val="auto"/>
          <w:szCs w:val="21"/>
          <w:lang w:val="en-US" w:eastAsia="zh-CN"/>
        </w:rPr>
        <w:t>2</w:t>
      </w:r>
      <w:r>
        <w:rPr>
          <w:rFonts w:hint="eastAsia" w:ascii="宋体" w:hAnsi="宋体" w:cs="宋体"/>
          <w:color w:val="auto"/>
          <w:szCs w:val="21"/>
        </w:rPr>
        <w:t>万元。超出预算的报价将视为无效报价。</w:t>
      </w:r>
    </w:p>
    <w:p>
      <w:pPr>
        <w:adjustRightInd w:val="0"/>
        <w:spacing w:line="360" w:lineRule="auto"/>
        <w:ind w:firstLine="420" w:firstLineChars="200"/>
        <w:rPr>
          <w:rFonts w:ascii="宋体" w:hAnsi="宋体" w:cs="宋体"/>
          <w:color w:val="auto"/>
          <w:szCs w:val="21"/>
        </w:rPr>
      </w:pPr>
      <w:r>
        <w:rPr>
          <w:rFonts w:ascii="宋体" w:hAnsi="宋体" w:cs="宋体"/>
          <w:color w:val="auto"/>
          <w:szCs w:val="21"/>
        </w:rPr>
        <w:t>3.</w:t>
      </w:r>
      <w:r>
        <w:rPr>
          <w:rFonts w:hint="eastAsia" w:ascii="宋体" w:hAnsi="宋体" w:cs="宋体"/>
          <w:color w:val="auto"/>
          <w:szCs w:val="21"/>
        </w:rPr>
        <w:t>本项目需求清单中所列的技术要求仅起参考作用，投标人可用其他参数替代，但替代的技术参数在实质性要求和条件上要相当于或优于原技术指标。</w:t>
      </w:r>
    </w:p>
    <w:p>
      <w:pPr>
        <w:spacing w:line="360" w:lineRule="auto"/>
        <w:ind w:firstLine="420" w:firstLineChars="200"/>
        <w:rPr>
          <w:rFonts w:hint="eastAsia" w:ascii="宋体" w:hAnsi="宋体" w:cs="宋体"/>
          <w:color w:val="auto"/>
          <w:szCs w:val="21"/>
          <w:lang w:val="zh-CN"/>
        </w:rPr>
      </w:pPr>
      <w:r>
        <w:rPr>
          <w:rFonts w:hint="eastAsia" w:ascii="宋体" w:hAnsi="宋体" w:cs="宋体"/>
          <w:color w:val="auto"/>
          <w:szCs w:val="21"/>
        </w:rPr>
        <w:t>4</w:t>
      </w:r>
      <w:r>
        <w:rPr>
          <w:rFonts w:ascii="宋体" w:hAnsi="宋体" w:cs="宋体"/>
          <w:color w:val="auto"/>
          <w:szCs w:val="21"/>
        </w:rPr>
        <w:t>.</w:t>
      </w:r>
      <w:r>
        <w:rPr>
          <w:rFonts w:hint="eastAsia" w:ascii="宋体" w:hAnsi="宋体" w:cs="宋体"/>
          <w:color w:val="auto"/>
          <w:szCs w:val="21"/>
        </w:rPr>
        <w:t>招标文件用户需求书中，凡标有“★”的地方均被视为实质性条款。投标人要特别加以注意，必须对此回答并完全满足或优于这些要求。若有一项带“★”的条款未响应或不满足，将按无效标处理。凡标</w:t>
      </w:r>
      <w:r>
        <w:rPr>
          <w:rFonts w:hint="eastAsia" w:ascii="宋体" w:hAnsi="宋体" w:cs="宋体"/>
          <w:color w:val="auto"/>
          <w:szCs w:val="21"/>
          <w:lang w:val="zh-CN"/>
        </w:rPr>
        <w:t>有“▲”的地方为用户重点关注的参数和条款，如不满足将严重影响评分。</w:t>
      </w:r>
    </w:p>
    <w:p>
      <w:pPr>
        <w:spacing w:line="360" w:lineRule="auto"/>
        <w:ind w:firstLine="420" w:firstLineChars="200"/>
        <w:rPr>
          <w:rFonts w:ascii="宋体" w:hAnsi="宋体" w:cs="宋体"/>
          <w:color w:val="auto"/>
          <w:szCs w:val="21"/>
          <w:lang w:val="zh-CN"/>
        </w:rPr>
      </w:pPr>
      <w:r>
        <w:rPr>
          <w:rFonts w:hint="eastAsia" w:ascii="宋体" w:hAnsi="宋体" w:cs="宋体"/>
          <w:color w:val="auto"/>
          <w:szCs w:val="21"/>
        </w:rPr>
        <w:t>★5.</w:t>
      </w:r>
      <w:r>
        <w:rPr>
          <w:rFonts w:hint="eastAsia"/>
          <w:color w:val="auto"/>
        </w:rPr>
        <w:t xml:space="preserve"> </w:t>
      </w:r>
      <w:r>
        <w:rPr>
          <w:rFonts w:hint="eastAsia" w:ascii="宋体" w:hAnsi="宋体" w:cs="宋体"/>
          <w:color w:val="auto"/>
          <w:szCs w:val="21"/>
        </w:rPr>
        <w:t>本项目采购内容属于政府集中采购品目，按照招标人单位招标采购内控要求，招标人须根据本次公开招标遴选结果，在广东政府采购智慧云平台电子卖场按照定点议价的方式进行下单采购。本次招标不再另行签订合同，并以广东政府采购智慧云平台电子卖场自动生成的定稿合同稿为准。若电子卖场生成的定稿合同稿条款与招标要求有差异的，以电子卖场生成的定稿合同稿条款为准。</w:t>
      </w:r>
    </w:p>
    <w:p>
      <w:pPr>
        <w:spacing w:before="156" w:beforeLines="50" w:after="156" w:afterLines="50" w:line="360" w:lineRule="auto"/>
        <w:outlineLvl w:val="1"/>
        <w:rPr>
          <w:rFonts w:ascii="宋体" w:hAnsi="宋体" w:cs="宋体"/>
          <w:b/>
          <w:color w:val="auto"/>
          <w:kern w:val="44"/>
          <w:szCs w:val="21"/>
        </w:rPr>
      </w:pPr>
      <w:bookmarkStart w:id="22" w:name="_Toc393644924"/>
      <w:r>
        <w:rPr>
          <w:rFonts w:hint="eastAsia" w:ascii="宋体" w:hAnsi="宋体" w:cs="宋体"/>
          <w:b/>
          <w:color w:val="auto"/>
          <w:kern w:val="44"/>
          <w:szCs w:val="21"/>
        </w:rPr>
        <w:t>二、具体需求</w:t>
      </w:r>
    </w:p>
    <w:p>
      <w:pPr>
        <w:spacing w:line="360" w:lineRule="auto"/>
        <w:outlineLvl w:val="2"/>
        <w:rPr>
          <w:rFonts w:ascii="宋体" w:hAnsi="宋体" w:cs="宋体"/>
          <w:b/>
          <w:bCs/>
          <w:color w:val="auto"/>
          <w:szCs w:val="21"/>
        </w:rPr>
      </w:pPr>
      <w:r>
        <w:rPr>
          <w:rFonts w:hint="eastAsia" w:ascii="宋体" w:hAnsi="宋体" w:cs="宋体"/>
          <w:b/>
          <w:bCs/>
          <w:color w:val="auto"/>
          <w:szCs w:val="21"/>
        </w:rPr>
        <w:t>（一）项目背景及目标</w:t>
      </w:r>
    </w:p>
    <w:p>
      <w:pPr>
        <w:spacing w:line="360" w:lineRule="auto"/>
        <w:ind w:firstLine="420" w:firstLineChars="200"/>
        <w:rPr>
          <w:rFonts w:ascii="宋体" w:hAnsi="宋体"/>
          <w:color w:val="auto"/>
          <w:kern w:val="0"/>
          <w:szCs w:val="21"/>
        </w:rPr>
      </w:pPr>
      <w:r>
        <w:rPr>
          <w:rFonts w:hint="eastAsia" w:ascii="宋体" w:hAnsi="宋体"/>
          <w:color w:val="auto"/>
          <w:kern w:val="0"/>
          <w:szCs w:val="21"/>
        </w:rPr>
        <w:t>基于学校信息化建设要求、日常教职工办公场景，互联网带宽作为信息化建设基础之一，面对互联网应用和数据逐年的提升、应用产品的升级，对互联网线路的要求也不断提高。</w:t>
      </w:r>
      <w:r>
        <w:rPr>
          <w:rFonts w:hint="eastAsia" w:ascii="宋体" w:hAnsi="宋体" w:cs="宋体"/>
          <w:color w:val="auto"/>
          <w:szCs w:val="21"/>
        </w:rPr>
        <w:t>广东省外语艺术职业学院</w:t>
      </w:r>
      <w:r>
        <w:rPr>
          <w:rFonts w:hint="eastAsia" w:ascii="宋体" w:hAnsi="宋体"/>
          <w:color w:val="auto"/>
          <w:kern w:val="0"/>
          <w:szCs w:val="21"/>
        </w:rPr>
        <w:t>网络教学平台以及各二级学院教学资源库的推广和学习资源需要对学生免费开放，各实训室、多媒体教室的网络使用需求，以及推动建设智慧校园的发展路线，也同时确定了互联网带宽的高质量和稳定的必须性。本项目旨在为广大师生提供更高质量的网络服务以及安全优质的智慧校园环境。项目实施需遵循以下原则：</w:t>
      </w:r>
    </w:p>
    <w:p>
      <w:pPr>
        <w:widowControl/>
        <w:spacing w:line="360" w:lineRule="auto"/>
        <w:ind w:left="422"/>
        <w:jc w:val="left"/>
        <w:rPr>
          <w:b/>
          <w:bCs/>
          <w:color w:val="auto"/>
          <w:szCs w:val="21"/>
        </w:rPr>
      </w:pPr>
      <w:r>
        <w:rPr>
          <w:rFonts w:hint="eastAsia"/>
          <w:b/>
          <w:bCs/>
          <w:color w:val="auto"/>
          <w:szCs w:val="21"/>
        </w:rPr>
        <w:t>1</w:t>
      </w:r>
      <w:r>
        <w:rPr>
          <w:b/>
          <w:bCs/>
          <w:color w:val="auto"/>
          <w:szCs w:val="21"/>
        </w:rPr>
        <w:t>.</w:t>
      </w:r>
      <w:r>
        <w:rPr>
          <w:rFonts w:hint="eastAsia"/>
          <w:b/>
          <w:bCs/>
          <w:color w:val="auto"/>
          <w:szCs w:val="21"/>
        </w:rPr>
        <w:t>先进性</w:t>
      </w:r>
    </w:p>
    <w:p>
      <w:pPr>
        <w:spacing w:line="360" w:lineRule="auto"/>
        <w:ind w:firstLine="420" w:firstLineChars="200"/>
        <w:rPr>
          <w:color w:val="auto"/>
          <w:szCs w:val="21"/>
        </w:rPr>
      </w:pPr>
      <w:r>
        <w:rPr>
          <w:rFonts w:hint="eastAsia"/>
          <w:color w:val="auto"/>
          <w:szCs w:val="21"/>
        </w:rPr>
        <w:t>从较高的起点对网络建设进行规划，充分采用先进成熟的网络技术，满足各种业务实时数据、非实时数据传输需要。在方案中采用新技术、新功能，提供全面的解决方案，形成统一、先进的通信系统。</w:t>
      </w:r>
    </w:p>
    <w:p>
      <w:pPr>
        <w:widowControl/>
        <w:spacing w:line="360" w:lineRule="auto"/>
        <w:ind w:left="422"/>
        <w:jc w:val="left"/>
        <w:rPr>
          <w:b/>
          <w:bCs/>
          <w:color w:val="auto"/>
          <w:szCs w:val="21"/>
        </w:rPr>
      </w:pPr>
      <w:r>
        <w:rPr>
          <w:rFonts w:hint="eastAsia"/>
          <w:b/>
          <w:bCs/>
          <w:color w:val="auto"/>
          <w:szCs w:val="21"/>
        </w:rPr>
        <w:t>2</w:t>
      </w:r>
      <w:r>
        <w:rPr>
          <w:b/>
          <w:bCs/>
          <w:color w:val="auto"/>
          <w:szCs w:val="21"/>
        </w:rPr>
        <w:t>.</w:t>
      </w:r>
      <w:r>
        <w:rPr>
          <w:rFonts w:hint="eastAsia"/>
          <w:b/>
          <w:bCs/>
          <w:color w:val="auto"/>
          <w:szCs w:val="21"/>
        </w:rPr>
        <w:t>可靠性</w:t>
      </w:r>
    </w:p>
    <w:p>
      <w:pPr>
        <w:spacing w:line="360" w:lineRule="auto"/>
        <w:ind w:firstLine="420" w:firstLineChars="200"/>
        <w:rPr>
          <w:color w:val="auto"/>
          <w:szCs w:val="21"/>
        </w:rPr>
      </w:pPr>
      <w:r>
        <w:rPr>
          <w:rFonts w:hint="eastAsia"/>
          <w:color w:val="auto"/>
          <w:szCs w:val="21"/>
        </w:rPr>
        <w:t>网络设计过程中从网络技术、骨干路由、电路保护、传输设备等多方面考虑</w:t>
      </w:r>
      <w:r>
        <w:rPr>
          <w:rFonts w:hint="eastAsia" w:ascii="宋体" w:hAnsi="宋体" w:cs="宋体"/>
          <w:color w:val="auto"/>
          <w:szCs w:val="21"/>
        </w:rPr>
        <w:t>广东省外语艺术职业学院</w:t>
      </w:r>
      <w:r>
        <w:rPr>
          <w:rFonts w:hint="eastAsia"/>
          <w:color w:val="auto"/>
          <w:szCs w:val="21"/>
        </w:rPr>
        <w:t>通信网的可靠性，保证数据传输的安全可靠。同时需通过对</w:t>
      </w:r>
      <w:r>
        <w:rPr>
          <w:rFonts w:hint="eastAsia" w:ascii="宋体" w:hAnsi="宋体" w:cs="宋体"/>
          <w:color w:val="auto"/>
          <w:szCs w:val="21"/>
        </w:rPr>
        <w:t>广东省外语艺术职业学院</w:t>
      </w:r>
      <w:r>
        <w:rPr>
          <w:rFonts w:hint="eastAsia"/>
          <w:color w:val="auto"/>
          <w:szCs w:val="21"/>
        </w:rPr>
        <w:t>通信网络提供的24×365的服务保障，从技术和服务两方面保证</w:t>
      </w:r>
      <w:r>
        <w:rPr>
          <w:rFonts w:hint="eastAsia" w:ascii="宋体" w:hAnsi="宋体" w:cs="宋体"/>
          <w:color w:val="auto"/>
          <w:szCs w:val="21"/>
        </w:rPr>
        <w:t>广东省外语艺术职业学院</w:t>
      </w:r>
      <w:r>
        <w:rPr>
          <w:rFonts w:hint="eastAsia"/>
          <w:color w:val="auto"/>
          <w:szCs w:val="21"/>
        </w:rPr>
        <w:t>互联网出口专线的可用性达到使用要求。</w:t>
      </w:r>
    </w:p>
    <w:p>
      <w:pPr>
        <w:widowControl/>
        <w:spacing w:line="360" w:lineRule="auto"/>
        <w:ind w:left="422"/>
        <w:jc w:val="left"/>
        <w:rPr>
          <w:b/>
          <w:bCs/>
          <w:color w:val="auto"/>
          <w:szCs w:val="21"/>
        </w:rPr>
      </w:pPr>
      <w:r>
        <w:rPr>
          <w:rFonts w:hint="eastAsia"/>
          <w:b/>
          <w:bCs/>
          <w:color w:val="auto"/>
          <w:szCs w:val="21"/>
        </w:rPr>
        <w:t>3</w:t>
      </w:r>
      <w:r>
        <w:rPr>
          <w:b/>
          <w:bCs/>
          <w:color w:val="auto"/>
          <w:szCs w:val="21"/>
        </w:rPr>
        <w:t>.</w:t>
      </w:r>
      <w:r>
        <w:rPr>
          <w:rFonts w:hint="eastAsia"/>
          <w:b/>
          <w:bCs/>
          <w:color w:val="auto"/>
          <w:szCs w:val="21"/>
        </w:rPr>
        <w:t>经济性</w:t>
      </w:r>
    </w:p>
    <w:p>
      <w:pPr>
        <w:spacing w:line="360" w:lineRule="auto"/>
        <w:ind w:firstLine="420" w:firstLineChars="200"/>
        <w:rPr>
          <w:color w:val="auto"/>
          <w:szCs w:val="21"/>
        </w:rPr>
      </w:pPr>
      <w:r>
        <w:rPr>
          <w:rFonts w:hint="eastAsia"/>
          <w:color w:val="auto"/>
          <w:szCs w:val="21"/>
        </w:rPr>
        <w:t>通过技术经济比较、性能价格比较，选择优化的网络结构和网络技术，尽可能利用和保护现有设备和投资，做到从实际出发，制定经济、合理的方案，以最小的网络建设和网络维护成本建设一个高可用、高安全的</w:t>
      </w:r>
      <w:r>
        <w:rPr>
          <w:rFonts w:hint="eastAsia" w:ascii="宋体" w:hAnsi="宋体" w:cs="宋体"/>
          <w:color w:val="auto"/>
          <w:szCs w:val="21"/>
        </w:rPr>
        <w:t>广东省外语艺术职业学院</w:t>
      </w:r>
      <w:r>
        <w:rPr>
          <w:rFonts w:hint="eastAsia"/>
          <w:color w:val="auto"/>
          <w:szCs w:val="21"/>
        </w:rPr>
        <w:t>互联网出口专线。</w:t>
      </w:r>
    </w:p>
    <w:p>
      <w:pPr>
        <w:widowControl/>
        <w:spacing w:line="360" w:lineRule="auto"/>
        <w:ind w:left="422"/>
        <w:jc w:val="left"/>
        <w:rPr>
          <w:b/>
          <w:bCs/>
          <w:color w:val="auto"/>
          <w:szCs w:val="21"/>
        </w:rPr>
      </w:pPr>
      <w:r>
        <w:rPr>
          <w:rFonts w:hint="eastAsia"/>
          <w:b/>
          <w:bCs/>
          <w:color w:val="auto"/>
          <w:szCs w:val="21"/>
        </w:rPr>
        <w:t>4</w:t>
      </w:r>
      <w:r>
        <w:rPr>
          <w:b/>
          <w:bCs/>
          <w:color w:val="auto"/>
          <w:szCs w:val="21"/>
        </w:rPr>
        <w:t>.</w:t>
      </w:r>
      <w:r>
        <w:rPr>
          <w:rFonts w:hint="eastAsia"/>
          <w:b/>
          <w:bCs/>
          <w:color w:val="auto"/>
          <w:szCs w:val="21"/>
        </w:rPr>
        <w:t>可扩充性</w:t>
      </w:r>
    </w:p>
    <w:p>
      <w:pPr>
        <w:spacing w:line="360" w:lineRule="auto"/>
        <w:ind w:firstLine="420" w:firstLineChars="200"/>
        <w:rPr>
          <w:color w:val="auto"/>
          <w:szCs w:val="21"/>
        </w:rPr>
      </w:pPr>
      <w:r>
        <w:rPr>
          <w:rFonts w:hint="eastAsia"/>
          <w:color w:val="auto"/>
          <w:szCs w:val="21"/>
        </w:rPr>
        <w:t>考虑到互联网应用的飞速发展，特别是大规模业务系统的应用，网络承载的信息流量不断增加，</w:t>
      </w:r>
      <w:r>
        <w:rPr>
          <w:rFonts w:hint="eastAsia" w:ascii="宋体" w:hAnsi="宋体" w:cs="宋体"/>
          <w:color w:val="auto"/>
          <w:szCs w:val="21"/>
        </w:rPr>
        <w:t>广东省外语艺术职业学院</w:t>
      </w:r>
      <w:r>
        <w:rPr>
          <w:rFonts w:hint="eastAsia"/>
          <w:color w:val="auto"/>
          <w:szCs w:val="21"/>
        </w:rPr>
        <w:t>互联网出口专线的设计中须考虑未来带宽扩容的需要，从网络和设备的配置上都要保留一定的扩充余地，便于融入随着新技术发展带来的新功能，满足校园网络不断发展的业务需要。</w:t>
      </w:r>
    </w:p>
    <w:p>
      <w:pPr>
        <w:spacing w:line="360" w:lineRule="auto"/>
        <w:outlineLvl w:val="2"/>
        <w:rPr>
          <w:rFonts w:ascii="宋体" w:hAnsi="宋体" w:cs="宋体"/>
          <w:b/>
          <w:bCs/>
          <w:color w:val="auto"/>
          <w:szCs w:val="21"/>
        </w:rPr>
      </w:pPr>
      <w:r>
        <w:rPr>
          <w:rFonts w:hint="eastAsia" w:ascii="宋体" w:hAnsi="宋体" w:cs="宋体"/>
          <w:b/>
          <w:bCs/>
          <w:color w:val="auto"/>
          <w:szCs w:val="21"/>
        </w:rPr>
        <w:t>（二）建设内容概述</w:t>
      </w:r>
    </w:p>
    <w:p>
      <w:pPr>
        <w:spacing w:line="360" w:lineRule="auto"/>
        <w:ind w:firstLine="420" w:firstLineChars="200"/>
        <w:rPr>
          <w:rFonts w:ascii="宋体" w:hAnsi="宋体"/>
          <w:color w:val="auto"/>
          <w:kern w:val="0"/>
          <w:szCs w:val="21"/>
        </w:rPr>
      </w:pPr>
      <w:r>
        <w:rPr>
          <w:rFonts w:hint="eastAsia" w:ascii="宋体" w:hAnsi="宋体"/>
          <w:color w:val="auto"/>
          <w:kern w:val="0"/>
          <w:szCs w:val="21"/>
        </w:rPr>
        <w:t>提供上下行均为2Gbps互联网宽带接入线路，含256个IPv4地址、</w:t>
      </w:r>
      <w:r>
        <w:rPr>
          <w:rFonts w:hint="eastAsia"/>
          <w:color w:val="auto"/>
          <w:szCs w:val="21"/>
        </w:rPr>
        <w:t>3段IPV6（/64）地址</w:t>
      </w:r>
      <w:r>
        <w:rPr>
          <w:rFonts w:hint="eastAsia" w:ascii="宋体" w:hAnsi="宋体"/>
          <w:color w:val="auto"/>
          <w:kern w:val="0"/>
          <w:szCs w:val="21"/>
        </w:rPr>
        <w:t>，可以提供光口，使用期为贰年。主要用于教研人员及办公访问互联网；必须具有良好的扩展性和可升级性，确保满足将来因业务发展而产生的升级扩展需求。</w:t>
      </w:r>
    </w:p>
    <w:p>
      <w:pPr>
        <w:spacing w:line="360" w:lineRule="auto"/>
        <w:outlineLvl w:val="2"/>
        <w:rPr>
          <w:b/>
          <w:bCs/>
          <w:color w:val="auto"/>
          <w:szCs w:val="21"/>
        </w:rPr>
      </w:pPr>
      <w:r>
        <w:rPr>
          <w:rFonts w:hint="eastAsia" w:ascii="宋体" w:hAnsi="宋体" w:cs="宋体"/>
          <w:b/>
          <w:bCs/>
          <w:color w:val="auto"/>
          <w:szCs w:val="21"/>
        </w:rPr>
        <w:t>（三）需求清单及规格要求</w:t>
      </w:r>
      <w:bookmarkEnd w:id="22"/>
    </w:p>
    <w:tbl>
      <w:tblPr>
        <w:tblStyle w:val="36"/>
        <w:tblW w:w="5000" w:type="pct"/>
        <w:tblInd w:w="0" w:type="dxa"/>
        <w:tblLayout w:type="autofit"/>
        <w:tblCellMar>
          <w:top w:w="0" w:type="dxa"/>
          <w:left w:w="108" w:type="dxa"/>
          <w:bottom w:w="0" w:type="dxa"/>
          <w:right w:w="108" w:type="dxa"/>
        </w:tblCellMar>
      </w:tblPr>
      <w:tblGrid>
        <w:gridCol w:w="824"/>
        <w:gridCol w:w="2419"/>
        <w:gridCol w:w="4386"/>
        <w:gridCol w:w="1097"/>
        <w:gridCol w:w="897"/>
      </w:tblGrid>
      <w:tr>
        <w:tblPrEx>
          <w:tblCellMar>
            <w:top w:w="0" w:type="dxa"/>
            <w:left w:w="108" w:type="dxa"/>
            <w:bottom w:w="0" w:type="dxa"/>
            <w:right w:w="108" w:type="dxa"/>
          </w:tblCellMar>
        </w:tblPrEx>
        <w:trPr>
          <w:trHeight w:val="292" w:hRule="atLeast"/>
        </w:trPr>
        <w:tc>
          <w:tcPr>
            <w:tcW w:w="428" w:type="pct"/>
            <w:tcBorders>
              <w:top w:val="single" w:color="000000" w:sz="4" w:space="0"/>
              <w:left w:val="single" w:color="000000" w:sz="4" w:space="0"/>
              <w:bottom w:val="single" w:color="000000" w:sz="4" w:space="0"/>
              <w:right w:val="single" w:color="000000" w:sz="4" w:space="0"/>
            </w:tcBorders>
            <w:noWrap w:val="0"/>
            <w:vAlign w:val="center"/>
          </w:tcPr>
          <w:p>
            <w:pPr>
              <w:rPr>
                <w:color w:val="auto"/>
                <w:szCs w:val="21"/>
              </w:rPr>
            </w:pPr>
            <w:r>
              <w:rPr>
                <w:rFonts w:hint="eastAsia"/>
                <w:color w:val="auto"/>
                <w:szCs w:val="21"/>
              </w:rPr>
              <w:t>序号</w:t>
            </w:r>
          </w:p>
        </w:tc>
        <w:tc>
          <w:tcPr>
            <w:tcW w:w="1257" w:type="pct"/>
            <w:tcBorders>
              <w:top w:val="single" w:color="000000" w:sz="4" w:space="0"/>
              <w:left w:val="single" w:color="000000" w:sz="4" w:space="0"/>
              <w:bottom w:val="single" w:color="000000" w:sz="4" w:space="0"/>
              <w:right w:val="single" w:color="000000" w:sz="4" w:space="0"/>
            </w:tcBorders>
            <w:noWrap w:val="0"/>
            <w:vAlign w:val="center"/>
          </w:tcPr>
          <w:p>
            <w:pPr>
              <w:rPr>
                <w:color w:val="auto"/>
                <w:szCs w:val="21"/>
              </w:rPr>
            </w:pPr>
            <w:r>
              <w:rPr>
                <w:rFonts w:hint="eastAsia" w:ascii="宋体" w:hAnsi="宋体" w:cs="宋体"/>
                <w:color w:val="auto"/>
                <w:kern w:val="0"/>
                <w:szCs w:val="21"/>
              </w:rPr>
              <w:t>需求名称</w:t>
            </w:r>
          </w:p>
        </w:tc>
        <w:tc>
          <w:tcPr>
            <w:tcW w:w="2279" w:type="pct"/>
            <w:tcBorders>
              <w:top w:val="single" w:color="000000" w:sz="4" w:space="0"/>
              <w:left w:val="single" w:color="000000" w:sz="4" w:space="0"/>
              <w:bottom w:val="single" w:color="000000" w:sz="4" w:space="0"/>
              <w:right w:val="single" w:color="000000" w:sz="4" w:space="0"/>
            </w:tcBorders>
            <w:noWrap w:val="0"/>
            <w:vAlign w:val="top"/>
          </w:tcPr>
          <w:p>
            <w:pPr>
              <w:rPr>
                <w:color w:val="auto"/>
                <w:szCs w:val="21"/>
              </w:rPr>
            </w:pPr>
            <w:r>
              <w:rPr>
                <w:rFonts w:hint="eastAsia"/>
                <w:color w:val="auto"/>
                <w:szCs w:val="21"/>
              </w:rPr>
              <w:t>规格参数</w:t>
            </w:r>
          </w:p>
        </w:tc>
        <w:tc>
          <w:tcPr>
            <w:tcW w:w="570"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auto"/>
                <w:szCs w:val="21"/>
              </w:rPr>
            </w:pPr>
            <w:r>
              <w:rPr>
                <w:rFonts w:hint="eastAsia"/>
                <w:color w:val="auto"/>
                <w:szCs w:val="21"/>
              </w:rPr>
              <w:t>单位</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pPr>
              <w:rPr>
                <w:color w:val="auto"/>
                <w:szCs w:val="21"/>
              </w:rPr>
            </w:pPr>
            <w:r>
              <w:rPr>
                <w:rFonts w:hint="eastAsia"/>
                <w:color w:val="auto"/>
                <w:szCs w:val="21"/>
              </w:rPr>
              <w:t>数量</w:t>
            </w:r>
          </w:p>
        </w:tc>
      </w:tr>
      <w:tr>
        <w:tblPrEx>
          <w:tblCellMar>
            <w:top w:w="0" w:type="dxa"/>
            <w:left w:w="108" w:type="dxa"/>
            <w:bottom w:w="0" w:type="dxa"/>
            <w:right w:w="108" w:type="dxa"/>
          </w:tblCellMar>
        </w:tblPrEx>
        <w:trPr>
          <w:trHeight w:val="471" w:hRule="atLeast"/>
        </w:trPr>
        <w:tc>
          <w:tcPr>
            <w:tcW w:w="428" w:type="pct"/>
            <w:tcBorders>
              <w:top w:val="single" w:color="000000" w:sz="4" w:space="0"/>
              <w:left w:val="single" w:color="000000" w:sz="4" w:space="0"/>
              <w:bottom w:val="single" w:color="000000" w:sz="4" w:space="0"/>
              <w:right w:val="single" w:color="000000" w:sz="4" w:space="0"/>
            </w:tcBorders>
            <w:noWrap w:val="0"/>
            <w:vAlign w:val="center"/>
          </w:tcPr>
          <w:p>
            <w:pPr>
              <w:rPr>
                <w:color w:val="auto"/>
                <w:szCs w:val="21"/>
              </w:rPr>
            </w:pPr>
            <w:r>
              <w:rPr>
                <w:rFonts w:hint="eastAsia"/>
                <w:color w:val="auto"/>
                <w:szCs w:val="21"/>
              </w:rPr>
              <w:t>1</w:t>
            </w:r>
          </w:p>
        </w:tc>
        <w:tc>
          <w:tcPr>
            <w:tcW w:w="1257" w:type="pct"/>
            <w:tcBorders>
              <w:top w:val="single" w:color="000000" w:sz="4" w:space="0"/>
              <w:left w:val="single" w:color="000000" w:sz="4" w:space="0"/>
              <w:bottom w:val="single" w:color="000000" w:sz="4" w:space="0"/>
              <w:right w:val="single" w:color="000000" w:sz="4" w:space="0"/>
            </w:tcBorders>
            <w:noWrap w:val="0"/>
            <w:vAlign w:val="center"/>
          </w:tcPr>
          <w:p>
            <w:pPr>
              <w:jc w:val="left"/>
              <w:rPr>
                <w:color w:val="auto"/>
                <w:szCs w:val="21"/>
              </w:rPr>
            </w:pPr>
            <w:r>
              <w:rPr>
                <w:rFonts w:hint="eastAsia"/>
                <w:color w:val="auto"/>
                <w:szCs w:val="21"/>
              </w:rPr>
              <w:t>2Gbps</w:t>
            </w:r>
            <w:r>
              <w:rPr>
                <w:rFonts w:hint="eastAsia" w:ascii="宋体" w:hAnsi="宋体" w:cs="宋体"/>
                <w:color w:val="auto"/>
                <w:szCs w:val="21"/>
              </w:rPr>
              <w:t>互联网专线</w:t>
            </w:r>
          </w:p>
        </w:tc>
        <w:tc>
          <w:tcPr>
            <w:tcW w:w="2279" w:type="pct"/>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auto"/>
                <w:szCs w:val="21"/>
              </w:rPr>
            </w:pPr>
            <w:r>
              <w:rPr>
                <w:rFonts w:hint="eastAsia" w:ascii="宋体" w:hAnsi="宋体" w:cs="宋体"/>
                <w:color w:val="auto"/>
                <w:szCs w:val="21"/>
              </w:rPr>
              <w:t>1、上下行对等；</w:t>
            </w:r>
          </w:p>
          <w:p>
            <w:pPr>
              <w:rPr>
                <w:rFonts w:ascii="宋体" w:hAnsi="宋体" w:cs="宋体"/>
                <w:color w:val="auto"/>
                <w:szCs w:val="21"/>
              </w:rPr>
            </w:pPr>
            <w:r>
              <w:rPr>
                <w:rFonts w:hint="eastAsia" w:ascii="宋体" w:hAnsi="宋体" w:cs="宋体"/>
                <w:color w:val="auto"/>
                <w:szCs w:val="21"/>
              </w:rPr>
              <w:t>2、独享带宽；</w:t>
            </w:r>
          </w:p>
          <w:p>
            <w:pPr>
              <w:rPr>
                <w:rFonts w:ascii="宋体" w:hAnsi="宋体" w:cs="宋体"/>
                <w:color w:val="auto"/>
                <w:szCs w:val="21"/>
              </w:rPr>
            </w:pPr>
            <w:r>
              <w:rPr>
                <w:rFonts w:hint="eastAsia" w:ascii="宋体" w:hAnsi="宋体" w:cs="宋体"/>
                <w:color w:val="auto"/>
                <w:szCs w:val="21"/>
              </w:rPr>
              <w:t>3、拥有固定IP地址；</w:t>
            </w:r>
          </w:p>
          <w:p>
            <w:pPr>
              <w:rPr>
                <w:rFonts w:ascii="宋体" w:hAnsi="宋体" w:cs="宋体"/>
                <w:color w:val="auto"/>
                <w:szCs w:val="21"/>
              </w:rPr>
            </w:pPr>
            <w:r>
              <w:rPr>
                <w:rFonts w:hint="eastAsia" w:ascii="宋体" w:hAnsi="宋体" w:cs="宋体"/>
                <w:color w:val="auto"/>
                <w:szCs w:val="21"/>
              </w:rPr>
              <w:t>4、可以提供光口；</w:t>
            </w:r>
          </w:p>
          <w:p>
            <w:pPr>
              <w:rPr>
                <w:rFonts w:ascii="宋体" w:hAnsi="宋体" w:cs="宋体"/>
                <w:color w:val="auto"/>
                <w:szCs w:val="21"/>
              </w:rPr>
            </w:pPr>
            <w:r>
              <w:rPr>
                <w:rFonts w:hint="eastAsia" w:ascii="宋体" w:hAnsi="宋体" w:cs="宋体"/>
                <w:color w:val="auto"/>
                <w:szCs w:val="21"/>
              </w:rPr>
              <w:t>5、使用期为</w:t>
            </w:r>
            <w:r>
              <w:rPr>
                <w:rFonts w:hint="eastAsia"/>
                <w:color w:val="auto"/>
                <w:szCs w:val="21"/>
              </w:rPr>
              <w:t>贰</w:t>
            </w:r>
            <w:r>
              <w:rPr>
                <w:rFonts w:hint="eastAsia" w:ascii="宋体" w:hAnsi="宋体" w:cs="宋体"/>
                <w:color w:val="auto"/>
                <w:szCs w:val="21"/>
              </w:rPr>
              <w:t>年。</w:t>
            </w:r>
          </w:p>
          <w:p>
            <w:pPr>
              <w:rPr>
                <w:rFonts w:ascii="宋体" w:hAnsi="宋体" w:cs="宋体"/>
                <w:color w:val="auto"/>
                <w:szCs w:val="21"/>
              </w:rPr>
            </w:pPr>
            <w:r>
              <w:rPr>
                <w:rFonts w:hint="eastAsia" w:ascii="宋体" w:hAnsi="宋体" w:cs="宋体"/>
                <w:color w:val="auto"/>
                <w:szCs w:val="21"/>
              </w:rPr>
              <w:t>6、</w:t>
            </w:r>
            <w:r>
              <w:rPr>
                <w:rFonts w:hint="eastAsia"/>
                <w:color w:val="auto"/>
                <w:szCs w:val="21"/>
              </w:rPr>
              <w:t>含256个IPv4地址、3段IPV6（/64）地址。</w:t>
            </w:r>
            <w:r>
              <w:rPr>
                <w:rFonts w:hint="eastAsia" w:ascii="宋体" w:hAnsi="宋体" w:cs="宋体"/>
                <w:color w:val="auto"/>
                <w:szCs w:val="21"/>
              </w:rPr>
              <w:t>详见主要技术指标要求</w:t>
            </w:r>
          </w:p>
        </w:tc>
        <w:tc>
          <w:tcPr>
            <w:tcW w:w="570"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auto"/>
                <w:szCs w:val="21"/>
              </w:rPr>
            </w:pPr>
            <w:r>
              <w:rPr>
                <w:rFonts w:hint="eastAsia"/>
                <w:color w:val="auto"/>
                <w:szCs w:val="21"/>
              </w:rPr>
              <w:t>项</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auto"/>
                <w:szCs w:val="21"/>
              </w:rPr>
            </w:pPr>
            <w:r>
              <w:rPr>
                <w:rFonts w:hint="eastAsia"/>
                <w:color w:val="auto"/>
                <w:szCs w:val="21"/>
              </w:rPr>
              <w:t>1</w:t>
            </w:r>
          </w:p>
        </w:tc>
      </w:tr>
      <w:tr>
        <w:tblPrEx>
          <w:tblCellMar>
            <w:top w:w="0" w:type="dxa"/>
            <w:left w:w="108" w:type="dxa"/>
            <w:bottom w:w="0" w:type="dxa"/>
            <w:right w:w="108" w:type="dxa"/>
          </w:tblCellMar>
        </w:tblPrEx>
        <w:trPr>
          <w:trHeight w:val="475" w:hRule="atLeast"/>
        </w:trPr>
        <w:tc>
          <w:tcPr>
            <w:tcW w:w="428" w:type="pct"/>
            <w:tcBorders>
              <w:top w:val="single" w:color="000000" w:sz="4" w:space="0"/>
              <w:left w:val="single" w:color="000000" w:sz="4" w:space="0"/>
              <w:bottom w:val="single" w:color="000000" w:sz="4" w:space="0"/>
              <w:right w:val="single" w:color="000000" w:sz="4" w:space="0"/>
            </w:tcBorders>
            <w:noWrap w:val="0"/>
            <w:vAlign w:val="center"/>
          </w:tcPr>
          <w:p>
            <w:pPr>
              <w:rPr>
                <w:color w:val="auto"/>
                <w:szCs w:val="21"/>
              </w:rPr>
            </w:pPr>
            <w:r>
              <w:rPr>
                <w:rFonts w:hint="eastAsia"/>
                <w:color w:val="auto"/>
                <w:szCs w:val="21"/>
              </w:rPr>
              <w:t>2</w:t>
            </w:r>
          </w:p>
        </w:tc>
        <w:tc>
          <w:tcPr>
            <w:tcW w:w="1257" w:type="pct"/>
            <w:tcBorders>
              <w:top w:val="single" w:color="000000" w:sz="4" w:space="0"/>
              <w:left w:val="single" w:color="000000" w:sz="4" w:space="0"/>
              <w:bottom w:val="single" w:color="000000" w:sz="4" w:space="0"/>
              <w:right w:val="single" w:color="000000" w:sz="4" w:space="0"/>
            </w:tcBorders>
            <w:noWrap w:val="0"/>
            <w:vAlign w:val="center"/>
          </w:tcPr>
          <w:p>
            <w:pPr>
              <w:jc w:val="left"/>
              <w:rPr>
                <w:color w:val="auto"/>
                <w:szCs w:val="21"/>
              </w:rPr>
            </w:pPr>
            <w:r>
              <w:rPr>
                <w:rFonts w:hint="eastAsia" w:ascii="宋体" w:hAnsi="宋体" w:cs="宋体"/>
                <w:color w:val="auto"/>
                <w:szCs w:val="21"/>
              </w:rPr>
              <w:t>安装调试</w:t>
            </w:r>
          </w:p>
        </w:tc>
        <w:tc>
          <w:tcPr>
            <w:tcW w:w="2279" w:type="pct"/>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auto"/>
                <w:szCs w:val="21"/>
              </w:rPr>
            </w:pPr>
            <w:r>
              <w:rPr>
                <w:rFonts w:hint="eastAsia" w:ascii="宋体" w:hAnsi="宋体" w:cs="宋体"/>
                <w:color w:val="auto"/>
                <w:szCs w:val="21"/>
              </w:rPr>
              <w:t>提供专线所需设备及配套线缆的安装、调试。</w:t>
            </w:r>
          </w:p>
        </w:tc>
        <w:tc>
          <w:tcPr>
            <w:tcW w:w="570"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auto"/>
                <w:szCs w:val="21"/>
              </w:rPr>
            </w:pPr>
            <w:r>
              <w:rPr>
                <w:rFonts w:hint="eastAsia"/>
                <w:color w:val="auto"/>
                <w:szCs w:val="21"/>
              </w:rPr>
              <w:t>项</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pPr>
              <w:jc w:val="center"/>
              <w:rPr>
                <w:color w:val="auto"/>
                <w:szCs w:val="21"/>
              </w:rPr>
            </w:pPr>
            <w:r>
              <w:rPr>
                <w:rFonts w:hint="eastAsia"/>
                <w:color w:val="auto"/>
                <w:szCs w:val="21"/>
              </w:rPr>
              <w:t>1</w:t>
            </w:r>
          </w:p>
        </w:tc>
      </w:tr>
    </w:tbl>
    <w:p>
      <w:pPr>
        <w:spacing w:line="360" w:lineRule="auto"/>
        <w:outlineLvl w:val="2"/>
        <w:rPr>
          <w:rFonts w:ascii="宋体" w:hAnsi="宋体" w:cs="宋体"/>
          <w:b/>
          <w:bCs/>
          <w:color w:val="auto"/>
          <w:szCs w:val="21"/>
        </w:rPr>
      </w:pPr>
      <w:r>
        <w:rPr>
          <w:rFonts w:hint="eastAsia" w:ascii="宋体" w:hAnsi="宋体" w:cs="宋体"/>
          <w:b/>
          <w:bCs/>
          <w:color w:val="auto"/>
          <w:szCs w:val="21"/>
        </w:rPr>
        <w:t>（四）主要技术指标要求</w:t>
      </w:r>
    </w:p>
    <w:tbl>
      <w:tblPr>
        <w:tblStyle w:val="36"/>
        <w:tblW w:w="5000" w:type="pct"/>
        <w:jc w:val="center"/>
        <w:tblLayout w:type="autofit"/>
        <w:tblCellMar>
          <w:top w:w="0" w:type="dxa"/>
          <w:left w:w="108" w:type="dxa"/>
          <w:bottom w:w="0" w:type="dxa"/>
          <w:right w:w="108" w:type="dxa"/>
        </w:tblCellMar>
      </w:tblPr>
      <w:tblGrid>
        <w:gridCol w:w="449"/>
        <w:gridCol w:w="1277"/>
        <w:gridCol w:w="7897"/>
      </w:tblGrid>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color w:val="auto"/>
                <w:kern w:val="0"/>
                <w:szCs w:val="21"/>
              </w:rPr>
            </w:pPr>
            <w:r>
              <w:rPr>
                <w:rFonts w:hint="eastAsia" w:ascii="宋体" w:hAnsi="宋体" w:cs="宋体"/>
                <w:color w:val="auto"/>
                <w:kern w:val="0"/>
                <w:szCs w:val="21"/>
              </w:rPr>
              <w:t>序号</w:t>
            </w:r>
          </w:p>
        </w:tc>
        <w:tc>
          <w:tcPr>
            <w:tcW w:w="718" w:type="pct"/>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color w:val="auto"/>
                <w:kern w:val="0"/>
                <w:szCs w:val="21"/>
              </w:rPr>
            </w:pPr>
            <w:r>
              <w:rPr>
                <w:rFonts w:hint="eastAsia" w:ascii="宋体" w:hAnsi="宋体" w:cs="宋体"/>
                <w:color w:val="auto"/>
                <w:kern w:val="0"/>
                <w:szCs w:val="21"/>
              </w:rPr>
              <w:t>指标项</w:t>
            </w:r>
          </w:p>
        </w:tc>
        <w:tc>
          <w:tcPr>
            <w:tcW w:w="3994" w:type="pct"/>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color w:val="auto"/>
                <w:kern w:val="0"/>
                <w:szCs w:val="21"/>
              </w:rPr>
            </w:pPr>
            <w:r>
              <w:rPr>
                <w:rFonts w:hint="eastAsia" w:ascii="宋体" w:hAnsi="宋体" w:cs="宋体"/>
                <w:color w:val="auto"/>
                <w:kern w:val="0"/>
                <w:szCs w:val="21"/>
              </w:rPr>
              <w:t>指标要求</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restart"/>
            <w:tcBorders>
              <w:top w:val="single" w:color="auto" w:sz="4" w:space="0"/>
              <w:left w:val="nil"/>
              <w:right w:val="single" w:color="auto" w:sz="4" w:space="0"/>
            </w:tcBorders>
            <w:noWrap w:val="0"/>
            <w:vAlign w:val="center"/>
          </w:tcPr>
          <w:p>
            <w:pPr>
              <w:spacing w:line="400" w:lineRule="atLeast"/>
              <w:jc w:val="center"/>
              <w:rPr>
                <w:rFonts w:ascii="宋体" w:hAnsi="宋体"/>
                <w:color w:val="auto"/>
                <w:szCs w:val="21"/>
              </w:rPr>
            </w:pPr>
            <w:r>
              <w:rPr>
                <w:rFonts w:hint="eastAsia" w:ascii="宋体" w:hAnsi="宋体"/>
                <w:color w:val="auto"/>
                <w:szCs w:val="21"/>
              </w:rPr>
              <w:t>服务要求</w:t>
            </w:r>
          </w:p>
        </w:tc>
        <w:tc>
          <w:tcPr>
            <w:tcW w:w="3994" w:type="pct"/>
            <w:tcBorders>
              <w:top w:val="single" w:color="auto" w:sz="4" w:space="0"/>
              <w:left w:val="nil"/>
              <w:bottom w:val="single" w:color="auto" w:sz="4" w:space="0"/>
              <w:right w:val="single" w:color="auto" w:sz="4" w:space="0"/>
            </w:tcBorders>
            <w:noWrap w:val="0"/>
            <w:vAlign w:val="center"/>
          </w:tcPr>
          <w:p>
            <w:pPr>
              <w:spacing w:line="360" w:lineRule="auto"/>
              <w:jc w:val="left"/>
              <w:rPr>
                <w:rFonts w:ascii="宋体" w:hAnsi="宋体"/>
                <w:color w:val="auto"/>
                <w:szCs w:val="21"/>
              </w:rPr>
            </w:pPr>
            <w:r>
              <w:rPr>
                <w:rFonts w:hint="eastAsia" w:ascii="宋体" w:hAnsi="宋体"/>
                <w:color w:val="auto"/>
                <w:szCs w:val="21"/>
              </w:rPr>
              <w:t>对2Gbps</w:t>
            </w:r>
            <w:r>
              <w:rPr>
                <w:rFonts w:hint="eastAsia" w:ascii="宋体" w:hAnsi="宋体" w:cs="宋体"/>
                <w:color w:val="auto"/>
                <w:szCs w:val="21"/>
              </w:rPr>
              <w:t>上下行对等</w:t>
            </w:r>
            <w:r>
              <w:rPr>
                <w:rFonts w:hint="eastAsia" w:ascii="宋体" w:hAnsi="宋体"/>
                <w:color w:val="auto"/>
                <w:szCs w:val="21"/>
              </w:rPr>
              <w:t>互联网出口带宽</w:t>
            </w:r>
            <w:r>
              <w:rPr>
                <w:rFonts w:hint="eastAsia" w:ascii="宋体" w:hAnsi="宋体" w:cs="宋体"/>
                <w:bCs/>
                <w:color w:val="auto"/>
                <w:szCs w:val="21"/>
              </w:rPr>
              <w:t>租赁的要求：</w:t>
            </w:r>
          </w:p>
          <w:p>
            <w:pPr>
              <w:numPr>
                <w:ilvl w:val="0"/>
                <w:numId w:val="6"/>
              </w:numPr>
              <w:spacing w:line="360" w:lineRule="auto"/>
              <w:ind w:left="0" w:firstLine="0"/>
              <w:rPr>
                <w:rFonts w:ascii="宋体" w:hAnsi="宋体" w:cs="宋体"/>
                <w:color w:val="auto"/>
                <w:szCs w:val="21"/>
              </w:rPr>
            </w:pPr>
            <w:r>
              <w:rPr>
                <w:rFonts w:hint="eastAsia" w:ascii="宋体" w:hAnsi="宋体" w:cs="宋体"/>
                <w:color w:val="auto"/>
                <w:szCs w:val="21"/>
              </w:rPr>
              <w:t>要求投标人用拓扑图的形式画出运营商的骨干网络，指出本次租用专线的接入点，要求</w:t>
            </w:r>
            <w:r>
              <w:rPr>
                <w:rFonts w:hint="eastAsia" w:ascii="宋体" w:hAnsi="宋体" w:cs="Calibri"/>
                <w:color w:val="auto"/>
                <w:szCs w:val="21"/>
              </w:rPr>
              <w:t>2Gbps</w:t>
            </w:r>
            <w:r>
              <w:rPr>
                <w:rFonts w:hint="eastAsia" w:ascii="宋体" w:hAnsi="宋体" w:cs="宋体"/>
                <w:color w:val="auto"/>
                <w:szCs w:val="21"/>
              </w:rPr>
              <w:t>带宽的Internet接入。</w:t>
            </w:r>
          </w:p>
          <w:p>
            <w:pPr>
              <w:numPr>
                <w:ilvl w:val="0"/>
                <w:numId w:val="6"/>
              </w:numPr>
              <w:spacing w:line="360" w:lineRule="auto"/>
              <w:ind w:left="0" w:firstLine="0"/>
              <w:rPr>
                <w:rFonts w:cs="Calibri"/>
                <w:color w:val="auto"/>
                <w:szCs w:val="21"/>
              </w:rPr>
            </w:pPr>
            <w:r>
              <w:rPr>
                <w:rFonts w:hint="eastAsia" w:ascii="宋体" w:hAnsi="宋体" w:cs="宋体"/>
                <w:color w:val="auto"/>
                <w:szCs w:val="21"/>
              </w:rPr>
              <w:t>要求接到城域网的骨干节点上，平均丢包率不高于1%。</w:t>
            </w:r>
          </w:p>
          <w:p>
            <w:pPr>
              <w:numPr>
                <w:ilvl w:val="0"/>
                <w:numId w:val="6"/>
              </w:numPr>
              <w:spacing w:line="360" w:lineRule="auto"/>
              <w:ind w:left="0" w:firstLine="0"/>
              <w:rPr>
                <w:rFonts w:cs="Calibri"/>
                <w:color w:val="auto"/>
                <w:szCs w:val="21"/>
              </w:rPr>
            </w:pPr>
            <w:r>
              <w:rPr>
                <w:rFonts w:hint="eastAsia" w:ascii="宋体" w:hAnsi="宋体" w:cs="宋体"/>
                <w:color w:val="auto"/>
                <w:szCs w:val="21"/>
              </w:rPr>
              <w:t>提供给客户的上下行对等互联网专线为10G单模光口，单模光纤要求符合ITU-T的G.652标准。</w:t>
            </w:r>
          </w:p>
          <w:p>
            <w:pPr>
              <w:numPr>
                <w:ilvl w:val="0"/>
                <w:numId w:val="6"/>
              </w:numPr>
              <w:spacing w:line="360" w:lineRule="auto"/>
              <w:ind w:left="0" w:firstLine="0"/>
              <w:rPr>
                <w:rFonts w:cs="Calibri"/>
                <w:color w:val="auto"/>
                <w:szCs w:val="21"/>
              </w:rPr>
            </w:pPr>
            <w:r>
              <w:rPr>
                <w:rFonts w:hint="eastAsia" w:ascii="宋体" w:hAnsi="宋体" w:cs="宋体"/>
                <w:color w:val="auto"/>
                <w:szCs w:val="21"/>
              </w:rPr>
              <w:t>保持原有IP地址：219.137.33.0/25;183.63.130.112/30不变，提供3段IPV6（/64）地址)。</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spacing w:line="360" w:lineRule="auto"/>
              <w:jc w:val="left"/>
              <w:rPr>
                <w:color w:val="auto"/>
                <w:szCs w:val="21"/>
              </w:rPr>
            </w:pPr>
            <w:r>
              <w:rPr>
                <w:rFonts w:hint="eastAsia" w:ascii="宋体" w:hAnsi="宋体"/>
                <w:color w:val="auto"/>
                <w:szCs w:val="21"/>
              </w:rPr>
              <w:t>投标人提供维护队伍的配置和维护指标。</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spacing w:line="360" w:lineRule="auto"/>
              <w:jc w:val="left"/>
              <w:rPr>
                <w:rFonts w:ascii="宋体" w:hAnsi="宋体"/>
                <w:color w:val="auto"/>
                <w:szCs w:val="21"/>
              </w:rPr>
            </w:pPr>
            <w:r>
              <w:rPr>
                <w:rFonts w:hint="eastAsia" w:ascii="宋体" w:hAnsi="宋体"/>
                <w:color w:val="auto"/>
                <w:szCs w:val="21"/>
              </w:rPr>
              <w:t>专线必须具有良好的扩展性和可升级性，确保满足将来因业务发展而产生的升级扩展需求。</w:t>
            </w:r>
          </w:p>
        </w:tc>
      </w:tr>
      <w:tr>
        <w:tblPrEx>
          <w:tblCellMar>
            <w:top w:w="0" w:type="dxa"/>
            <w:left w:w="108" w:type="dxa"/>
            <w:bottom w:w="0" w:type="dxa"/>
            <w:right w:w="108" w:type="dxa"/>
          </w:tblCellMar>
        </w:tblPrEx>
        <w:trPr>
          <w:trHeight w:val="9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bottom w:val="single" w:color="auto" w:sz="4" w:space="0"/>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spacing w:line="360" w:lineRule="auto"/>
              <w:jc w:val="left"/>
              <w:rPr>
                <w:rFonts w:ascii="宋体" w:hAnsi="宋体"/>
                <w:color w:val="auto"/>
                <w:szCs w:val="21"/>
              </w:rPr>
            </w:pPr>
            <w:r>
              <w:rPr>
                <w:rFonts w:hint="eastAsia" w:ascii="宋体" w:hAnsi="宋体"/>
                <w:color w:val="auto"/>
                <w:szCs w:val="21"/>
              </w:rPr>
              <w:t>具有可靠的安全机制保证数据的保密性和完整性、安全性。</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restart"/>
            <w:tcBorders>
              <w:top w:val="single" w:color="auto" w:sz="4" w:space="0"/>
              <w:left w:val="nil"/>
              <w:right w:val="single" w:color="auto" w:sz="4" w:space="0"/>
            </w:tcBorders>
            <w:noWrap w:val="0"/>
            <w:vAlign w:val="center"/>
          </w:tcPr>
          <w:p>
            <w:pPr>
              <w:spacing w:line="400" w:lineRule="atLeast"/>
              <w:jc w:val="center"/>
              <w:rPr>
                <w:rFonts w:ascii="宋体" w:hAnsi="宋体"/>
                <w:color w:val="auto"/>
                <w:szCs w:val="21"/>
              </w:rPr>
            </w:pPr>
            <w:r>
              <w:rPr>
                <w:rFonts w:hint="eastAsia" w:ascii="宋体" w:hAnsi="宋体"/>
                <w:color w:val="auto"/>
                <w:szCs w:val="21"/>
              </w:rPr>
              <w:t>测试要求</w:t>
            </w:r>
          </w:p>
        </w:tc>
        <w:tc>
          <w:tcPr>
            <w:tcW w:w="3994" w:type="pct"/>
            <w:tcBorders>
              <w:top w:val="single" w:color="auto" w:sz="4" w:space="0"/>
              <w:left w:val="nil"/>
              <w:bottom w:val="single" w:color="auto" w:sz="4" w:space="0"/>
              <w:right w:val="single" w:color="auto" w:sz="4" w:space="0"/>
            </w:tcBorders>
            <w:noWrap w:val="0"/>
            <w:vAlign w:val="center"/>
          </w:tcPr>
          <w:p>
            <w:pPr>
              <w:spacing w:line="360" w:lineRule="auto"/>
              <w:rPr>
                <w:rFonts w:ascii="宋体" w:hAnsi="宋体"/>
                <w:color w:val="auto"/>
                <w:szCs w:val="21"/>
              </w:rPr>
            </w:pPr>
            <w:r>
              <w:rPr>
                <w:rFonts w:hint="eastAsia" w:ascii="宋体" w:hAnsi="宋体"/>
                <w:color w:val="auto"/>
                <w:szCs w:val="21"/>
              </w:rPr>
              <w:t>要求投标人尽量模拟本次采购的建设环境，在指定的时间段对访问指定网站进行指定所需网络数据的测试。</w:t>
            </w:r>
          </w:p>
          <w:p>
            <w:pPr>
              <w:numPr>
                <w:ilvl w:val="0"/>
                <w:numId w:val="7"/>
              </w:numPr>
              <w:spacing w:line="360" w:lineRule="auto"/>
              <w:rPr>
                <w:rFonts w:ascii="宋体" w:hAnsi="宋体" w:cs="宋体"/>
                <w:color w:val="auto"/>
                <w:szCs w:val="21"/>
              </w:rPr>
            </w:pPr>
            <w:r>
              <w:rPr>
                <w:rFonts w:hint="eastAsia" w:ascii="宋体" w:hAnsi="宋体" w:cs="宋体"/>
                <w:color w:val="auto"/>
                <w:szCs w:val="21"/>
              </w:rPr>
              <w:t>测试环境的要求：</w:t>
            </w:r>
          </w:p>
          <w:p>
            <w:pPr>
              <w:spacing w:line="360" w:lineRule="auto"/>
              <w:ind w:firstLine="420" w:firstLineChars="200"/>
              <w:rPr>
                <w:rFonts w:ascii="宋体" w:hAnsi="宋体" w:cs="宋体"/>
                <w:color w:val="auto"/>
                <w:szCs w:val="21"/>
              </w:rPr>
            </w:pPr>
            <w:r>
              <w:rPr>
                <w:rFonts w:hint="eastAsia" w:ascii="宋体" w:hAnsi="宋体" w:cs="宋体"/>
                <w:color w:val="auto"/>
                <w:szCs w:val="21"/>
              </w:rPr>
              <w:t>要求投标人尽量模拟本项目建设环境，包括专线在运营商网络内接入层的位置要求与本次报价一致，专线的带宽要求稳定为</w:t>
            </w:r>
            <w:r>
              <w:rPr>
                <w:rFonts w:hint="eastAsia" w:ascii="宋体" w:hAnsi="宋体" w:cs="Calibri"/>
                <w:color w:val="auto"/>
                <w:szCs w:val="21"/>
              </w:rPr>
              <w:t>2Gbps</w:t>
            </w:r>
            <w:r>
              <w:rPr>
                <w:rFonts w:hint="eastAsia" w:ascii="宋体" w:hAnsi="宋体" w:cs="宋体"/>
                <w:color w:val="auto"/>
                <w:szCs w:val="21"/>
              </w:rPr>
              <w:t>，并且在客户端为5台接入单机PC的情况下，进行并发测试。</w:t>
            </w:r>
          </w:p>
          <w:p>
            <w:pPr>
              <w:spacing w:line="360" w:lineRule="auto"/>
              <w:ind w:firstLine="420" w:firstLineChars="200"/>
              <w:rPr>
                <w:rFonts w:ascii="宋体" w:hAnsi="宋体" w:cs="Calibri"/>
                <w:color w:val="auto"/>
                <w:szCs w:val="21"/>
              </w:rPr>
            </w:pPr>
            <w:r>
              <w:rPr>
                <w:rFonts w:hint="eastAsia" w:ascii="宋体" w:hAnsi="宋体" w:cs="宋体"/>
                <w:color w:val="auto"/>
                <w:szCs w:val="21"/>
              </w:rPr>
              <w:t>要求投标人在投标文件中明确所使用的测试环境，明确阐述测试环境的的测试地点，测试用的</w:t>
            </w:r>
            <w:r>
              <w:rPr>
                <w:rFonts w:hint="eastAsia" w:ascii="宋体" w:hAnsi="宋体" w:cs="Calibri"/>
                <w:color w:val="auto"/>
                <w:szCs w:val="21"/>
              </w:rPr>
              <w:t>2Gbps</w:t>
            </w:r>
            <w:r>
              <w:rPr>
                <w:rFonts w:hint="eastAsia" w:ascii="宋体" w:hAnsi="宋体" w:cs="宋体"/>
                <w:color w:val="auto"/>
                <w:szCs w:val="21"/>
              </w:rPr>
              <w:t>互联网接入专线的带宽、接入的客户端数量等资料。</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numPr>
                <w:ilvl w:val="0"/>
                <w:numId w:val="7"/>
              </w:numPr>
              <w:spacing w:line="360" w:lineRule="auto"/>
              <w:rPr>
                <w:rFonts w:ascii="宋体" w:hAnsi="宋体" w:cs="宋体"/>
                <w:color w:val="auto"/>
                <w:szCs w:val="21"/>
              </w:rPr>
            </w:pPr>
            <w:r>
              <w:rPr>
                <w:rFonts w:hint="eastAsia" w:ascii="宋体" w:hAnsi="宋体" w:cs="宋体"/>
                <w:color w:val="auto"/>
                <w:szCs w:val="21"/>
              </w:rPr>
              <w:t>测试时间的要求：</w:t>
            </w:r>
          </w:p>
          <w:p>
            <w:pPr>
              <w:spacing w:line="360" w:lineRule="auto"/>
              <w:ind w:firstLine="420" w:firstLineChars="200"/>
              <w:rPr>
                <w:rFonts w:ascii="宋体" w:hAnsi="宋体" w:cs="宋体"/>
                <w:color w:val="auto"/>
                <w:szCs w:val="21"/>
              </w:rPr>
            </w:pPr>
            <w:r>
              <w:rPr>
                <w:rFonts w:hint="eastAsia" w:ascii="宋体" w:hAnsi="宋体" w:cs="宋体"/>
                <w:color w:val="auto"/>
                <w:szCs w:val="21"/>
              </w:rPr>
              <w:t>要求测试时间为正常工作日早上9：00—下午16：00，投标人必须在指定时间段内，对指定的数据进行测试并记录。并在投标文件中清楚注明测试的起止时间。</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numPr>
                <w:ilvl w:val="0"/>
                <w:numId w:val="7"/>
              </w:numPr>
              <w:spacing w:line="360" w:lineRule="auto"/>
              <w:rPr>
                <w:rFonts w:ascii="宋体" w:hAnsi="宋体" w:cs="宋体"/>
                <w:color w:val="auto"/>
                <w:szCs w:val="21"/>
              </w:rPr>
            </w:pPr>
            <w:r>
              <w:rPr>
                <w:rFonts w:hint="eastAsia" w:ascii="宋体" w:hAnsi="宋体" w:cs="宋体"/>
                <w:color w:val="auto"/>
                <w:szCs w:val="21"/>
              </w:rPr>
              <w:t>目的测试站点的要求：</w:t>
            </w:r>
          </w:p>
          <w:p>
            <w:pPr>
              <w:spacing w:line="360" w:lineRule="auto"/>
              <w:ind w:firstLine="420" w:firstLineChars="200"/>
              <w:rPr>
                <w:rFonts w:ascii="宋体" w:hAnsi="宋体" w:cs="宋体"/>
                <w:color w:val="auto"/>
                <w:szCs w:val="21"/>
              </w:rPr>
            </w:pPr>
            <w:r>
              <w:rPr>
                <w:rFonts w:hint="eastAsia" w:ascii="宋体" w:hAnsi="宋体" w:cs="宋体"/>
                <w:color w:val="auto"/>
                <w:szCs w:val="21"/>
              </w:rPr>
              <w:t>要求投标人必须提供到以下3个目的测试站点的网络测试数据。</w:t>
            </w:r>
          </w:p>
          <w:p>
            <w:pPr>
              <w:spacing w:line="360" w:lineRule="auto"/>
              <w:ind w:left="420"/>
              <w:rPr>
                <w:rFonts w:ascii="宋体" w:hAnsi="宋体" w:cs="宋体"/>
                <w:color w:val="auto"/>
                <w:szCs w:val="21"/>
              </w:rPr>
            </w:pPr>
            <w:r>
              <w:rPr>
                <w:rFonts w:hint="eastAsia" w:ascii="宋体" w:hAnsi="宋体" w:cs="宋体"/>
                <w:color w:val="auto"/>
                <w:szCs w:val="21"/>
              </w:rPr>
              <w:t xml:space="preserve">（国内）新浪网：http://www.sina.com.cn </w:t>
            </w:r>
          </w:p>
          <w:p>
            <w:pPr>
              <w:spacing w:line="360" w:lineRule="auto"/>
              <w:ind w:left="420"/>
              <w:rPr>
                <w:rFonts w:ascii="宋体" w:hAnsi="宋体" w:cs="宋体"/>
                <w:color w:val="auto"/>
                <w:szCs w:val="21"/>
              </w:rPr>
            </w:pPr>
            <w:r>
              <w:rPr>
                <w:rFonts w:hint="eastAsia" w:ascii="宋体" w:hAnsi="宋体" w:cs="宋体"/>
                <w:color w:val="auto"/>
                <w:szCs w:val="21"/>
              </w:rPr>
              <w:t>（国内）百度：</w:t>
            </w:r>
            <w:r>
              <w:rPr>
                <w:rFonts w:ascii="宋体" w:hAnsi="宋体" w:cs="宋体"/>
                <w:color w:val="auto"/>
                <w:szCs w:val="21"/>
              </w:rPr>
              <w:t>https://</w:t>
            </w:r>
            <w:r>
              <w:rPr>
                <w:rFonts w:hint="eastAsia" w:ascii="宋体" w:hAnsi="宋体" w:cs="宋体"/>
                <w:color w:val="auto"/>
                <w:szCs w:val="21"/>
              </w:rPr>
              <w:t xml:space="preserve">www.baidu.com </w:t>
            </w:r>
          </w:p>
          <w:p>
            <w:pPr>
              <w:spacing w:line="360" w:lineRule="auto"/>
              <w:ind w:left="420"/>
              <w:rPr>
                <w:rFonts w:ascii="宋体" w:hAnsi="宋体" w:cs="宋体"/>
                <w:color w:val="auto"/>
                <w:szCs w:val="21"/>
              </w:rPr>
            </w:pPr>
            <w:r>
              <w:rPr>
                <w:rFonts w:hint="eastAsia" w:ascii="宋体" w:hAnsi="宋体" w:cs="宋体"/>
                <w:color w:val="auto"/>
                <w:szCs w:val="21"/>
              </w:rPr>
              <w:t>（国内）网易网：http://www.163.com</w:t>
            </w:r>
          </w:p>
        </w:tc>
      </w:tr>
      <w:tr>
        <w:tblPrEx>
          <w:tblCellMar>
            <w:top w:w="0" w:type="dxa"/>
            <w:left w:w="108" w:type="dxa"/>
            <w:bottom w:w="0" w:type="dxa"/>
            <w:right w:w="108" w:type="dxa"/>
          </w:tblCellMar>
        </w:tblPrEx>
        <w:trPr>
          <w:trHeight w:val="280" w:hRule="atLeast"/>
          <w:jc w:val="center"/>
        </w:trPr>
        <w:tc>
          <w:tcPr>
            <w:tcW w:w="288" w:type="pct"/>
            <w:tcBorders>
              <w:top w:val="single" w:color="auto" w:sz="4" w:space="0"/>
              <w:left w:val="single" w:color="auto" w:sz="4" w:space="0"/>
              <w:bottom w:val="single" w:color="auto" w:sz="4" w:space="0"/>
              <w:right w:val="single" w:color="auto" w:sz="4" w:space="0"/>
            </w:tcBorders>
            <w:noWrap w:val="0"/>
            <w:vAlign w:val="center"/>
          </w:tcPr>
          <w:p>
            <w:pPr>
              <w:numPr>
                <w:ilvl w:val="0"/>
                <w:numId w:val="5"/>
              </w:numPr>
              <w:ind w:left="0" w:firstLine="0"/>
              <w:jc w:val="center"/>
              <w:rPr>
                <w:color w:val="auto"/>
                <w:kern w:val="16"/>
                <w:szCs w:val="21"/>
              </w:rPr>
            </w:pPr>
          </w:p>
        </w:tc>
        <w:tc>
          <w:tcPr>
            <w:tcW w:w="718" w:type="pct"/>
            <w:vMerge w:val="continue"/>
            <w:tcBorders>
              <w:left w:val="nil"/>
              <w:bottom w:val="single" w:color="auto" w:sz="4" w:space="0"/>
              <w:right w:val="single" w:color="auto" w:sz="4" w:space="0"/>
            </w:tcBorders>
            <w:noWrap w:val="0"/>
            <w:vAlign w:val="center"/>
          </w:tcPr>
          <w:p>
            <w:pPr>
              <w:spacing w:line="400" w:lineRule="atLeast"/>
              <w:jc w:val="center"/>
              <w:rPr>
                <w:rFonts w:ascii="宋体" w:hAnsi="宋体"/>
                <w:color w:val="auto"/>
                <w:szCs w:val="21"/>
              </w:rPr>
            </w:pPr>
          </w:p>
        </w:tc>
        <w:tc>
          <w:tcPr>
            <w:tcW w:w="3994" w:type="pct"/>
            <w:tcBorders>
              <w:top w:val="single" w:color="auto" w:sz="4" w:space="0"/>
              <w:left w:val="nil"/>
              <w:bottom w:val="single" w:color="auto" w:sz="4" w:space="0"/>
              <w:right w:val="single" w:color="auto" w:sz="4" w:space="0"/>
            </w:tcBorders>
            <w:noWrap w:val="0"/>
            <w:vAlign w:val="center"/>
          </w:tcPr>
          <w:p>
            <w:pPr>
              <w:numPr>
                <w:ilvl w:val="0"/>
                <w:numId w:val="7"/>
              </w:numPr>
              <w:spacing w:line="360" w:lineRule="auto"/>
              <w:rPr>
                <w:rFonts w:ascii="宋体" w:hAnsi="宋体" w:cs="宋体"/>
                <w:color w:val="auto"/>
                <w:szCs w:val="21"/>
              </w:rPr>
            </w:pPr>
            <w:r>
              <w:rPr>
                <w:rFonts w:hint="eastAsia" w:ascii="宋体" w:hAnsi="宋体" w:cs="宋体"/>
                <w:color w:val="auto"/>
                <w:szCs w:val="21"/>
              </w:rPr>
              <w:t>测试工具及测试数据的要求：</w:t>
            </w:r>
          </w:p>
          <w:p>
            <w:pPr>
              <w:spacing w:line="360" w:lineRule="auto"/>
              <w:ind w:firstLine="420" w:firstLineChars="200"/>
              <w:rPr>
                <w:rFonts w:ascii="宋体" w:hAnsi="宋体" w:cs="宋体"/>
                <w:color w:val="auto"/>
                <w:szCs w:val="21"/>
              </w:rPr>
            </w:pPr>
            <w:r>
              <w:rPr>
                <w:rFonts w:hint="eastAsia" w:ascii="宋体" w:hAnsi="宋体" w:cs="宋体"/>
                <w:color w:val="auto"/>
                <w:szCs w:val="21"/>
              </w:rPr>
              <w:t>要求使用的测试工具包括ping、tracert。使用Windows2000或Windows10或以上系列操作系统。</w:t>
            </w:r>
          </w:p>
          <w:p>
            <w:pPr>
              <w:numPr>
                <w:ilvl w:val="0"/>
                <w:numId w:val="8"/>
              </w:numPr>
              <w:spacing w:line="360" w:lineRule="auto"/>
              <w:rPr>
                <w:rFonts w:ascii="宋体" w:hAnsi="宋体" w:cs="宋体"/>
                <w:color w:val="auto"/>
                <w:szCs w:val="21"/>
              </w:rPr>
            </w:pPr>
            <w:r>
              <w:rPr>
                <w:rFonts w:hint="eastAsia" w:ascii="宋体" w:hAnsi="宋体" w:cs="宋体"/>
                <w:b/>
                <w:bCs/>
                <w:color w:val="auto"/>
                <w:szCs w:val="21"/>
              </w:rPr>
              <w:t>Ping命令：</w:t>
            </w:r>
            <w:r>
              <w:rPr>
                <w:rFonts w:hint="eastAsia" w:ascii="宋体" w:hAnsi="宋体" w:cs="宋体"/>
                <w:color w:val="auto"/>
                <w:szCs w:val="21"/>
              </w:rPr>
              <w:t>要求每条命令发送32Bytes大小的包100次，执行ping命令10次，分别记录10次所得的丢包率（loss%）、最长时间、最短时间、平均时间，然后计算算术平均值。参考命令：ping</w:t>
            </w:r>
            <w:r>
              <w:rPr>
                <w:rFonts w:ascii="宋体" w:hAnsi="宋体" w:cs="宋体"/>
                <w:color w:val="auto"/>
                <w:szCs w:val="21"/>
              </w:rPr>
              <w:t xml:space="preserve"> </w:t>
            </w:r>
            <w:r>
              <w:rPr>
                <w:rFonts w:hint="eastAsia" w:ascii="宋体" w:hAnsi="宋体" w:cs="宋体"/>
                <w:color w:val="auto"/>
                <w:szCs w:val="21"/>
              </w:rPr>
              <w:t xml:space="preserve">-n 100 </w:t>
            </w:r>
            <w:r>
              <w:rPr>
                <w:rFonts w:ascii="宋体" w:hAnsi="宋体" w:cs="宋体"/>
                <w:color w:val="auto"/>
                <w:szCs w:val="21"/>
              </w:rPr>
              <w:t>-</w:t>
            </w:r>
            <w:r>
              <w:rPr>
                <w:rFonts w:hint="eastAsia" w:ascii="宋体" w:hAnsi="宋体" w:cs="宋体"/>
                <w:color w:val="auto"/>
                <w:szCs w:val="21"/>
              </w:rPr>
              <w:t>l</w:t>
            </w:r>
            <w:r>
              <w:rPr>
                <w:rFonts w:ascii="宋体" w:hAnsi="宋体" w:cs="宋体"/>
                <w:color w:val="auto"/>
                <w:szCs w:val="21"/>
              </w:rPr>
              <w:t xml:space="preserve"> </w:t>
            </w:r>
            <w:r>
              <w:rPr>
                <w:rFonts w:hint="eastAsia" w:ascii="宋体" w:hAnsi="宋体" w:cs="宋体"/>
                <w:color w:val="auto"/>
                <w:szCs w:val="21"/>
              </w:rPr>
              <w:t>32</w:t>
            </w:r>
            <w:r>
              <w:rPr>
                <w:rFonts w:ascii="宋体" w:hAnsi="宋体" w:cs="宋体"/>
                <w:color w:val="auto"/>
                <w:szCs w:val="21"/>
              </w:rPr>
              <w:t xml:space="preserve"> </w:t>
            </w:r>
            <w:r>
              <w:rPr>
                <w:rFonts w:hint="eastAsia" w:cs="Calibri"/>
                <w:color w:val="auto"/>
                <w:szCs w:val="21"/>
              </w:rPr>
              <w:fldChar w:fldCharType="begin"/>
            </w:r>
            <w:r>
              <w:rPr>
                <w:rFonts w:cs="Calibri"/>
                <w:color w:val="auto"/>
                <w:szCs w:val="21"/>
              </w:rPr>
              <w:instrText xml:space="preserve"> HYPERLINK "http://www.163.com" </w:instrText>
            </w:r>
            <w:r>
              <w:rPr>
                <w:rFonts w:hint="eastAsia" w:cs="Calibri"/>
                <w:color w:val="auto"/>
                <w:szCs w:val="21"/>
              </w:rPr>
              <w:fldChar w:fldCharType="separate"/>
            </w:r>
            <w:r>
              <w:rPr>
                <w:rFonts w:hint="eastAsia" w:ascii="宋体" w:hAnsi="宋体" w:cs="宋体"/>
                <w:color w:val="auto"/>
                <w:szCs w:val="21"/>
                <w:u w:val="single"/>
              </w:rPr>
              <w:t>www.163.com</w:t>
            </w:r>
            <w:r>
              <w:rPr>
                <w:rFonts w:hint="eastAsia" w:ascii="宋体" w:hAnsi="宋体" w:cs="宋体"/>
                <w:color w:val="auto"/>
                <w:szCs w:val="21"/>
                <w:u w:val="single"/>
              </w:rPr>
              <w:fldChar w:fldCharType="end"/>
            </w:r>
            <w:r>
              <w:rPr>
                <w:rFonts w:hint="eastAsia" w:ascii="宋体" w:hAnsi="宋体" w:cs="宋体"/>
                <w:color w:val="auto"/>
                <w:szCs w:val="21"/>
              </w:rPr>
              <w:t>（目的站点）</w:t>
            </w:r>
          </w:p>
          <w:p>
            <w:pPr>
              <w:numPr>
                <w:ilvl w:val="0"/>
                <w:numId w:val="8"/>
              </w:numPr>
              <w:spacing w:line="360" w:lineRule="auto"/>
              <w:rPr>
                <w:rFonts w:ascii="宋体" w:hAnsi="宋体" w:cs="宋体"/>
                <w:color w:val="auto"/>
                <w:szCs w:val="21"/>
              </w:rPr>
            </w:pPr>
            <w:r>
              <w:rPr>
                <w:rFonts w:hint="eastAsia" w:ascii="宋体" w:hAnsi="宋体" w:cs="宋体"/>
                <w:b/>
                <w:bCs/>
                <w:color w:val="auto"/>
                <w:szCs w:val="21"/>
              </w:rPr>
              <w:t>Tracert命令：</w:t>
            </w:r>
            <w:r>
              <w:rPr>
                <w:rFonts w:hint="eastAsia" w:ascii="宋体" w:hAnsi="宋体" w:cs="宋体"/>
                <w:color w:val="auto"/>
                <w:szCs w:val="21"/>
              </w:rPr>
              <w:t xml:space="preserve">命令中允许最大跳数为100。其中的3次测试结果取算术平均值作为平均时延。可进行多次测试，投标人从中选出最有代表性的一次。参考命令：Tracert—h 100 </w:t>
            </w:r>
            <w:r>
              <w:rPr>
                <w:rFonts w:hint="eastAsia" w:cs="Calibri"/>
                <w:color w:val="auto"/>
                <w:szCs w:val="21"/>
              </w:rPr>
              <w:fldChar w:fldCharType="begin"/>
            </w:r>
            <w:r>
              <w:rPr>
                <w:rFonts w:cs="Calibri"/>
                <w:color w:val="auto"/>
                <w:szCs w:val="21"/>
              </w:rPr>
              <w:instrText xml:space="preserve"> HYPERLINK "http://www.163.com" </w:instrText>
            </w:r>
            <w:r>
              <w:rPr>
                <w:rFonts w:hint="eastAsia" w:cs="Calibri"/>
                <w:color w:val="auto"/>
                <w:szCs w:val="21"/>
              </w:rPr>
              <w:fldChar w:fldCharType="separate"/>
            </w:r>
            <w:r>
              <w:rPr>
                <w:rFonts w:hint="eastAsia" w:ascii="宋体" w:hAnsi="宋体" w:cs="宋体"/>
                <w:color w:val="auto"/>
                <w:szCs w:val="21"/>
              </w:rPr>
              <w:t>www.163.com</w:t>
            </w:r>
            <w:r>
              <w:rPr>
                <w:rFonts w:hint="eastAsia" w:ascii="宋体" w:hAnsi="宋体" w:cs="宋体"/>
                <w:color w:val="auto"/>
                <w:szCs w:val="21"/>
              </w:rPr>
              <w:fldChar w:fldCharType="end"/>
            </w:r>
          </w:p>
          <w:p>
            <w:pPr>
              <w:spacing w:line="360" w:lineRule="auto"/>
              <w:ind w:firstLine="420" w:firstLineChars="200"/>
              <w:rPr>
                <w:rFonts w:ascii="宋体" w:hAnsi="宋体" w:cs="宋体"/>
                <w:color w:val="auto"/>
                <w:szCs w:val="21"/>
              </w:rPr>
            </w:pPr>
            <w:r>
              <w:rPr>
                <w:rFonts w:hint="eastAsia" w:ascii="宋体" w:hAnsi="宋体" w:cs="宋体"/>
                <w:color w:val="auto"/>
                <w:szCs w:val="21"/>
              </w:rPr>
              <w:t>要求提供的测试数据包括（以下测试要求连续进行）：</w:t>
            </w:r>
          </w:p>
          <w:p>
            <w:pPr>
              <w:numPr>
                <w:ilvl w:val="0"/>
                <w:numId w:val="9"/>
              </w:numPr>
              <w:spacing w:line="360" w:lineRule="auto"/>
              <w:rPr>
                <w:rFonts w:ascii="宋体" w:hAnsi="宋体" w:cs="宋体"/>
                <w:color w:val="auto"/>
                <w:szCs w:val="21"/>
              </w:rPr>
            </w:pPr>
            <w:r>
              <w:rPr>
                <w:rFonts w:hint="eastAsia" w:ascii="宋体" w:hAnsi="宋体" w:cs="宋体"/>
                <w:color w:val="auto"/>
                <w:szCs w:val="21"/>
              </w:rPr>
              <w:t>到指定站点的平均时间、平均最长时间、平均最短时间、平均丢包率（用指定时间内10次ping命令所得数值算术平均得出）。</w:t>
            </w:r>
          </w:p>
          <w:p>
            <w:pPr>
              <w:numPr>
                <w:ilvl w:val="0"/>
                <w:numId w:val="9"/>
              </w:numPr>
              <w:spacing w:line="360" w:lineRule="auto"/>
              <w:rPr>
                <w:rFonts w:ascii="宋体" w:hAnsi="宋体" w:cs="宋体"/>
                <w:color w:val="auto"/>
                <w:szCs w:val="21"/>
              </w:rPr>
            </w:pPr>
            <w:r>
              <w:rPr>
                <w:rFonts w:hint="eastAsia" w:ascii="宋体" w:hAnsi="宋体" w:cs="宋体"/>
                <w:color w:val="auto"/>
                <w:szCs w:val="21"/>
              </w:rPr>
              <w:t>到指定站点的路由信息（用tracert得出，投标人自行选出最有代表性的一次）。</w:t>
            </w:r>
          </w:p>
          <w:p>
            <w:pPr>
              <w:spacing w:line="360" w:lineRule="auto"/>
              <w:ind w:firstLine="420" w:firstLineChars="200"/>
              <w:rPr>
                <w:rFonts w:ascii="宋体" w:hAnsi="宋体" w:cs="宋体"/>
                <w:color w:val="auto"/>
                <w:szCs w:val="21"/>
              </w:rPr>
            </w:pPr>
            <w:r>
              <w:rPr>
                <w:rFonts w:hint="eastAsia" w:ascii="宋体" w:hAnsi="宋体" w:cs="宋体"/>
                <w:color w:val="auto"/>
                <w:szCs w:val="21"/>
              </w:rPr>
              <w:t>投标人提供的测试结果记录可参考如下格式：</w:t>
            </w:r>
          </w:p>
          <w:p>
            <w:pPr>
              <w:spacing w:line="360" w:lineRule="auto"/>
              <w:ind w:firstLine="420" w:firstLineChars="200"/>
              <w:rPr>
                <w:rFonts w:ascii="宋体" w:hAnsi="宋体" w:cs="宋体"/>
                <w:iCs/>
                <w:color w:val="auto"/>
                <w:szCs w:val="21"/>
              </w:rPr>
            </w:pPr>
            <w:r>
              <w:rPr>
                <w:rFonts w:hint="eastAsia" w:ascii="宋体" w:hAnsi="宋体" w:cs="宋体"/>
                <w:iCs/>
                <w:color w:val="auto"/>
                <w:szCs w:val="21"/>
              </w:rPr>
              <w:t>测试环境：客户端数: 5台PC, 专线接入层: 城域网核心层，接入技术: 专线直联；</w:t>
            </w:r>
          </w:p>
          <w:p>
            <w:pPr>
              <w:spacing w:line="360" w:lineRule="auto"/>
              <w:ind w:left="420"/>
              <w:rPr>
                <w:rFonts w:ascii="宋体" w:hAnsi="宋体" w:cs="宋体"/>
                <w:iCs/>
                <w:color w:val="auto"/>
                <w:szCs w:val="21"/>
              </w:rPr>
            </w:pPr>
            <w:r>
              <w:rPr>
                <w:rFonts w:hint="eastAsia" w:ascii="宋体" w:hAnsi="宋体" w:cs="宋体"/>
                <w:iCs/>
                <w:color w:val="auto"/>
                <w:szCs w:val="21"/>
              </w:rPr>
              <w:t>测试时间段：****年**月**日**时**分；</w:t>
            </w:r>
          </w:p>
          <w:p>
            <w:pPr>
              <w:spacing w:line="360" w:lineRule="auto"/>
              <w:ind w:left="420"/>
              <w:rPr>
                <w:rFonts w:ascii="宋体" w:hAnsi="宋体" w:cs="宋体"/>
                <w:iCs/>
                <w:color w:val="auto"/>
                <w:szCs w:val="21"/>
              </w:rPr>
            </w:pPr>
            <w:r>
              <w:rPr>
                <w:rFonts w:hint="eastAsia" w:ascii="宋体" w:hAnsi="宋体" w:cs="宋体"/>
                <w:iCs/>
                <w:color w:val="auto"/>
                <w:szCs w:val="21"/>
              </w:rPr>
              <w:t>测试客户端的操作系统：Windows 2000</w:t>
            </w:r>
            <w:r>
              <w:rPr>
                <w:rFonts w:hint="eastAsia" w:ascii="宋体" w:hAnsi="宋体" w:cs="宋体"/>
                <w:bCs/>
                <w:color w:val="auto"/>
                <w:szCs w:val="21"/>
              </w:rPr>
              <w:t>（或更高版本）</w:t>
            </w:r>
            <w:r>
              <w:rPr>
                <w:rFonts w:hint="eastAsia" w:ascii="宋体" w:hAnsi="宋体" w:cs="宋体"/>
                <w:iCs/>
                <w:color w:val="auto"/>
                <w:szCs w:val="21"/>
              </w:rPr>
              <w:t>。</w:t>
            </w:r>
          </w:p>
          <w:p>
            <w:pPr>
              <w:spacing w:line="360" w:lineRule="auto"/>
              <w:rPr>
                <w:rFonts w:ascii="宋体" w:hAnsi="宋体" w:cs="宋体"/>
                <w:iCs/>
                <w:color w:val="auto"/>
                <w:szCs w:val="21"/>
              </w:rPr>
            </w:pPr>
            <w:r>
              <w:rPr>
                <w:rFonts w:cs="Calibri"/>
                <w:color w:val="auto"/>
                <w:szCs w:val="21"/>
              </w:rPr>
              <w:drawing>
                <wp:inline distT="0" distB="0" distL="114300" distR="114300">
                  <wp:extent cx="4865370" cy="1572260"/>
                  <wp:effectExtent l="0" t="0" r="1143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4865370" cy="1572260"/>
                          </a:xfrm>
                          <a:prstGeom prst="rect">
                            <a:avLst/>
                          </a:prstGeom>
                          <a:noFill/>
                          <a:ln>
                            <a:noFill/>
                          </a:ln>
                        </pic:spPr>
                      </pic:pic>
                    </a:graphicData>
                  </a:graphic>
                </wp:inline>
              </w:drawing>
            </w:r>
          </w:p>
        </w:tc>
      </w:tr>
    </w:tbl>
    <w:p>
      <w:pPr>
        <w:spacing w:before="156" w:beforeLines="50" w:after="156" w:afterLines="50" w:line="360" w:lineRule="auto"/>
        <w:outlineLvl w:val="1"/>
        <w:rPr>
          <w:rFonts w:ascii="宋体" w:hAnsi="宋体" w:cs="宋体"/>
          <w:b/>
          <w:color w:val="auto"/>
          <w:kern w:val="44"/>
          <w:szCs w:val="21"/>
        </w:rPr>
      </w:pPr>
      <w:r>
        <w:rPr>
          <w:rFonts w:hint="eastAsia" w:ascii="宋体" w:hAnsi="宋体" w:cs="宋体"/>
          <w:b/>
          <w:color w:val="auto"/>
          <w:kern w:val="44"/>
          <w:szCs w:val="21"/>
        </w:rPr>
        <w:t>三、商务需求</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1</w:t>
      </w:r>
      <w:r>
        <w:rPr>
          <w:rFonts w:ascii="宋体" w:hAnsi="宋体" w:cs="宋体"/>
          <w:color w:val="auto"/>
          <w:szCs w:val="21"/>
        </w:rPr>
        <w:t>.</w:t>
      </w:r>
      <w:r>
        <w:rPr>
          <w:rFonts w:hint="eastAsia" w:ascii="宋体" w:hAnsi="宋体" w:cs="宋体"/>
          <w:color w:val="auto"/>
          <w:szCs w:val="21"/>
        </w:rPr>
        <w:t>合同签订期：自中标通知书发出之日起</w:t>
      </w:r>
      <w:r>
        <w:rPr>
          <w:rFonts w:hint="eastAsia" w:ascii="宋体" w:hAnsi="宋体" w:cs="宋体"/>
          <w:color w:val="auto"/>
          <w:szCs w:val="21"/>
          <w:u w:val="single"/>
        </w:rPr>
        <w:t>7</w:t>
      </w:r>
      <w:r>
        <w:rPr>
          <w:rFonts w:hint="eastAsia" w:ascii="宋体" w:hAnsi="宋体" w:cs="宋体"/>
          <w:color w:val="auto"/>
          <w:szCs w:val="21"/>
        </w:rPr>
        <w:t>日内；</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2</w:t>
      </w:r>
      <w:r>
        <w:rPr>
          <w:rFonts w:ascii="宋体" w:hAnsi="宋体" w:cs="宋体"/>
          <w:color w:val="auto"/>
          <w:szCs w:val="21"/>
        </w:rPr>
        <w:t>.</w:t>
      </w:r>
      <w:r>
        <w:rPr>
          <w:rFonts w:hint="eastAsia" w:ascii="宋体" w:hAnsi="宋体" w:cs="宋体"/>
          <w:color w:val="auto"/>
          <w:szCs w:val="21"/>
        </w:rPr>
        <w:t>交付期：自合同签订之日起</w:t>
      </w:r>
      <w:r>
        <w:rPr>
          <w:rFonts w:ascii="宋体" w:hAnsi="宋体" w:cs="宋体"/>
          <w:color w:val="auto"/>
          <w:szCs w:val="21"/>
          <w:u w:val="single"/>
        </w:rPr>
        <w:t>7</w:t>
      </w:r>
      <w:r>
        <w:rPr>
          <w:rFonts w:hint="eastAsia" w:ascii="宋体" w:hAnsi="宋体" w:cs="宋体"/>
          <w:color w:val="auto"/>
          <w:szCs w:val="21"/>
        </w:rPr>
        <w:t>个工作日内；</w:t>
      </w:r>
    </w:p>
    <w:p>
      <w:pPr>
        <w:widowControl/>
        <w:shd w:val="clear" w:color="auto" w:fill="FFFFFF"/>
        <w:spacing w:line="360" w:lineRule="auto"/>
        <w:ind w:firstLine="420" w:firstLineChars="200"/>
        <w:rPr>
          <w:rFonts w:ascii="宋体" w:hAnsi="宋体" w:cs="宋体"/>
          <w:color w:val="auto"/>
          <w:szCs w:val="21"/>
          <w:u w:val="single"/>
        </w:rPr>
      </w:pPr>
      <w:r>
        <w:rPr>
          <w:rFonts w:hint="eastAsia" w:ascii="宋体" w:hAnsi="宋体" w:cs="宋体"/>
          <w:color w:val="auto"/>
          <w:szCs w:val="21"/>
        </w:rPr>
        <w:t>3</w:t>
      </w:r>
      <w:r>
        <w:rPr>
          <w:rFonts w:ascii="宋体" w:hAnsi="宋体" w:cs="宋体"/>
          <w:color w:val="auto"/>
          <w:szCs w:val="21"/>
        </w:rPr>
        <w:t>.</w:t>
      </w:r>
      <w:r>
        <w:rPr>
          <w:rFonts w:hint="eastAsia" w:ascii="宋体" w:hAnsi="宋体" w:cs="宋体"/>
          <w:color w:val="auto"/>
          <w:szCs w:val="21"/>
        </w:rPr>
        <w:t>交付地点：</w:t>
      </w:r>
      <w:r>
        <w:rPr>
          <w:rFonts w:hint="eastAsia" w:ascii="宋体" w:hAnsi="宋体" w:cs="宋体"/>
          <w:color w:val="auto"/>
          <w:szCs w:val="21"/>
          <w:u w:val="single"/>
        </w:rPr>
        <w:t>广东省外语艺术职业学院；</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4</w:t>
      </w:r>
      <w:r>
        <w:rPr>
          <w:rFonts w:ascii="宋体" w:hAnsi="宋体" w:cs="宋体"/>
          <w:color w:val="auto"/>
          <w:szCs w:val="21"/>
        </w:rPr>
        <w:t>.</w:t>
      </w:r>
      <w:r>
        <w:rPr>
          <w:rFonts w:hint="eastAsia" w:ascii="宋体" w:hAnsi="宋体" w:cs="宋体"/>
          <w:color w:val="auto"/>
          <w:szCs w:val="21"/>
        </w:rPr>
        <w:t>其他要求：</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（1）安装：按照招标人要求安装调试完好。</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2）整体验收：提供系统整体验收方案，提交完善的系统文档并接受咨询。中标人在提交齐全的服务过程文件及自检报告后的15个工作日内，招标人应组织验收，服务验收合格的，招标人向中标人签发《验收报告》；不合格的，招标人及时向中标人提出异议并要求中标人整改。验收标准为招标文件采购需求及中标人的响应情况。</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5</w:t>
      </w:r>
      <w:r>
        <w:rPr>
          <w:rFonts w:ascii="宋体" w:hAnsi="宋体" w:cs="宋体"/>
          <w:color w:val="auto"/>
          <w:szCs w:val="21"/>
        </w:rPr>
        <w:t>.</w:t>
      </w:r>
      <w:r>
        <w:rPr>
          <w:rFonts w:hint="eastAsia" w:ascii="宋体" w:hAnsi="宋体" w:cs="宋体"/>
          <w:color w:val="auto"/>
          <w:szCs w:val="21"/>
        </w:rPr>
        <w:t>对于售后服务必须包含如下内容：</w:t>
      </w:r>
    </w:p>
    <w:p>
      <w:pPr>
        <w:tabs>
          <w:tab w:val="left" w:pos="420"/>
        </w:tabs>
        <w:spacing w:line="360" w:lineRule="auto"/>
        <w:ind w:firstLine="420" w:firstLineChars="200"/>
        <w:rPr>
          <w:rFonts w:ascii="宋体" w:hAnsi="宋体" w:cs="宋体"/>
          <w:color w:val="auto"/>
          <w:szCs w:val="21"/>
        </w:rPr>
      </w:pPr>
      <w:r>
        <w:rPr>
          <w:rFonts w:hint="eastAsia" w:ascii="宋体" w:hAnsi="宋体" w:cs="宋体"/>
          <w:color w:val="auto"/>
          <w:szCs w:val="21"/>
        </w:rPr>
        <w:t>（1）中标人拥有不少于10人的本地化技术服务机构，提供7×24小时的维护和服务。</w:t>
      </w:r>
    </w:p>
    <w:p>
      <w:pPr>
        <w:tabs>
          <w:tab w:val="left" w:pos="420"/>
        </w:tabs>
        <w:spacing w:line="360" w:lineRule="auto"/>
        <w:ind w:firstLine="420" w:firstLineChars="200"/>
        <w:rPr>
          <w:rFonts w:ascii="宋体" w:hAnsi="宋体" w:cs="宋体"/>
          <w:color w:val="auto"/>
          <w:szCs w:val="21"/>
        </w:rPr>
      </w:pPr>
      <w:r>
        <w:rPr>
          <w:rFonts w:hint="eastAsia" w:ascii="宋体" w:hAnsi="宋体" w:cs="宋体"/>
          <w:color w:val="auto"/>
          <w:szCs w:val="21"/>
        </w:rPr>
        <w:t>（2）对</w:t>
      </w:r>
      <w:r>
        <w:rPr>
          <w:rFonts w:hint="eastAsia" w:ascii="宋体" w:hAnsi="宋体"/>
          <w:color w:val="auto"/>
          <w:szCs w:val="21"/>
        </w:rPr>
        <w:t>2Gbps</w:t>
      </w:r>
      <w:r>
        <w:rPr>
          <w:rFonts w:hint="eastAsia" w:ascii="宋体" w:hAnsi="宋体" w:cs="宋体"/>
          <w:color w:val="auto"/>
          <w:szCs w:val="21"/>
        </w:rPr>
        <w:t>上下行对等互联网出口带宽维护要求：故障修复时限为6小时（不可抗力原因除外）。</w:t>
      </w:r>
    </w:p>
    <w:p>
      <w:pPr>
        <w:tabs>
          <w:tab w:val="left" w:pos="420"/>
        </w:tabs>
        <w:spacing w:line="360" w:lineRule="auto"/>
        <w:ind w:firstLine="420" w:firstLineChars="200"/>
        <w:rPr>
          <w:rFonts w:ascii="宋体" w:hAnsi="宋体" w:cs="宋体"/>
          <w:color w:val="auto"/>
          <w:szCs w:val="21"/>
        </w:rPr>
      </w:pPr>
      <w:r>
        <w:rPr>
          <w:rFonts w:hint="eastAsia" w:ascii="宋体" w:hAnsi="宋体" w:cs="宋体"/>
          <w:color w:val="auto"/>
          <w:szCs w:val="21"/>
        </w:rPr>
        <w:t>（3）中标人IP骨干网网络设备可用率≥99.9%。</w:t>
      </w:r>
    </w:p>
    <w:p>
      <w:pPr>
        <w:tabs>
          <w:tab w:val="left" w:pos="42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（4）从招标人网络设备端口到中标人局端网络设备网络平均时延≤</w:t>
      </w:r>
      <w:r>
        <w:rPr>
          <w:rFonts w:ascii="宋体" w:hAnsi="宋体" w:cs="宋体"/>
          <w:color w:val="auto"/>
          <w:szCs w:val="21"/>
        </w:rPr>
        <w:t>10</w:t>
      </w:r>
      <w:r>
        <w:rPr>
          <w:rFonts w:hint="eastAsia" w:ascii="宋体" w:hAnsi="宋体" w:cs="宋体"/>
          <w:color w:val="auto"/>
          <w:szCs w:val="21"/>
        </w:rPr>
        <w:t>ms。</w:t>
      </w:r>
    </w:p>
    <w:p>
      <w:pPr>
        <w:tabs>
          <w:tab w:val="left" w:pos="42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（5）从招标人网络设备端口到中标人局端网络设备网络平均丢包率≤1%。</w:t>
      </w:r>
    </w:p>
    <w:p>
      <w:pPr>
        <w:widowControl/>
        <w:shd w:val="clear" w:color="auto" w:fill="FFFFFF"/>
        <w:spacing w:line="360" w:lineRule="auto"/>
        <w:ind w:firstLine="420" w:firstLineChars="200"/>
        <w:rPr>
          <w:rFonts w:ascii="宋体" w:hAnsi="宋体" w:cs="宋体"/>
          <w:color w:val="auto"/>
          <w:szCs w:val="21"/>
        </w:rPr>
      </w:pPr>
      <w:r>
        <w:rPr>
          <w:rFonts w:hint="eastAsia" w:ascii="宋体" w:hAnsi="宋体" w:cs="宋体"/>
          <w:color w:val="auto"/>
          <w:szCs w:val="21"/>
        </w:rPr>
        <w:t>6</w:t>
      </w:r>
      <w:r>
        <w:rPr>
          <w:rFonts w:ascii="宋体" w:hAnsi="宋体" w:cs="宋体"/>
          <w:color w:val="auto"/>
          <w:szCs w:val="21"/>
        </w:rPr>
        <w:t>.</w:t>
      </w:r>
      <w:r>
        <w:rPr>
          <w:rFonts w:hint="eastAsia" w:ascii="宋体" w:hAnsi="宋体" w:cs="宋体"/>
          <w:color w:val="auto"/>
          <w:szCs w:val="21"/>
        </w:rPr>
        <w:t>付款方式：</w:t>
      </w:r>
    </w:p>
    <w:p>
      <w:pPr>
        <w:tabs>
          <w:tab w:val="left" w:pos="0"/>
          <w:tab w:val="left" w:pos="840"/>
        </w:tabs>
        <w:spacing w:line="360" w:lineRule="auto"/>
        <w:ind w:firstLine="420" w:firstLineChars="200"/>
        <w:rPr>
          <w:rFonts w:hint="eastAsia" w:ascii="宋体" w:hAnsi="宋体"/>
          <w:color w:val="auto"/>
        </w:rPr>
      </w:pPr>
      <w:r>
        <w:rPr>
          <w:rFonts w:hint="eastAsia" w:ascii="宋体" w:hAnsi="宋体" w:cs="宋体"/>
          <w:color w:val="auto"/>
          <w:szCs w:val="21"/>
        </w:rPr>
        <w:t xml:space="preserve"> </w:t>
      </w:r>
      <w:r>
        <w:rPr>
          <w:rFonts w:hint="eastAsia" w:ascii="宋体" w:hAnsi="宋体"/>
          <w:color w:val="auto"/>
        </w:rPr>
        <w:t>（1）项目交付使用后1</w:t>
      </w:r>
      <w:r>
        <w:rPr>
          <w:rFonts w:ascii="宋体" w:hAnsi="宋体"/>
          <w:color w:val="auto"/>
        </w:rPr>
        <w:t>0</w:t>
      </w:r>
      <w:r>
        <w:rPr>
          <w:rFonts w:hint="eastAsia" w:ascii="宋体" w:hAnsi="宋体"/>
          <w:color w:val="auto"/>
        </w:rPr>
        <w:t>天内中标人应向招标人提供等额有效发票，招标人收到中标人提供的发票后，5个工作日内按合同总金额的30%支付给中标人。</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（2）余下的70%合同金额将按半年结算的形式，在每年的4月和11月收到中标人提供的等额有效发票后，招标人将在5个工作日内支付给中标人。</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（3）中标人需向招标人提供以下材料办理付款手续：</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1）合同；</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2）中选通知书；</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3）等额有效的增值税发票；</w:t>
      </w:r>
    </w:p>
    <w:p>
      <w:pPr>
        <w:tabs>
          <w:tab w:val="left" w:pos="0"/>
          <w:tab w:val="left" w:pos="840"/>
        </w:tabs>
        <w:spacing w:line="360" w:lineRule="auto"/>
        <w:ind w:firstLine="420" w:firstLineChars="200"/>
        <w:rPr>
          <w:rFonts w:ascii="宋体" w:hAnsi="宋体"/>
          <w:color w:val="auto"/>
        </w:rPr>
      </w:pPr>
      <w:r>
        <w:rPr>
          <w:rFonts w:ascii="宋体" w:hAnsi="宋体"/>
          <w:color w:val="auto"/>
        </w:rPr>
        <w:t>4</w:t>
      </w:r>
      <w:r>
        <w:rPr>
          <w:rFonts w:hint="eastAsia" w:ascii="宋体" w:hAnsi="宋体"/>
          <w:color w:val="auto"/>
        </w:rPr>
        <w:t>）招标人规定的其他请款材料。</w:t>
      </w:r>
    </w:p>
    <w:p>
      <w:pPr>
        <w:tabs>
          <w:tab w:val="left" w:pos="0"/>
          <w:tab w:val="left" w:pos="840"/>
        </w:tabs>
        <w:spacing w:line="360" w:lineRule="auto"/>
        <w:ind w:firstLine="420" w:firstLineChars="200"/>
        <w:rPr>
          <w:rFonts w:hint="eastAsia" w:ascii="宋体" w:hAnsi="宋体"/>
          <w:color w:val="auto"/>
        </w:rPr>
      </w:pPr>
      <w:r>
        <w:rPr>
          <w:rFonts w:hint="eastAsia" w:ascii="宋体" w:hAnsi="宋体"/>
          <w:color w:val="auto"/>
        </w:rPr>
        <w:t>（4）因招标人使用政府财政资金支付，招标人在前款规定的付款时间内向政府采购支付部门提出办理财政支付申请手续 (不含政府财政支付部门审核的时间)，即视为招标人已经按期支付。中标人未及时提交请款材料的，招标人有权顺延付款时间且不承担逾期支付违约责任。</w:t>
      </w:r>
    </w:p>
    <w:p>
      <w:pPr>
        <w:tabs>
          <w:tab w:val="left" w:pos="0"/>
          <w:tab w:val="left" w:pos="840"/>
        </w:tabs>
        <w:spacing w:line="360" w:lineRule="auto"/>
        <w:rPr>
          <w:rFonts w:hint="eastAsia" w:ascii="宋体" w:hAnsi="宋体" w:cs="宋体"/>
          <w:color w:val="auto"/>
          <w:szCs w:val="21"/>
        </w:rPr>
      </w:pPr>
    </w:p>
    <w:p>
      <w:pPr>
        <w:spacing w:line="360" w:lineRule="auto"/>
        <w:ind w:left="105" w:leftChars="50" w:firstLine="316" w:firstLineChars="150"/>
        <w:rPr>
          <w:rFonts w:ascii="宋体" w:hAnsi="宋体"/>
          <w:b/>
          <w:color w:val="auto"/>
        </w:rPr>
      </w:pPr>
      <w:r>
        <w:rPr>
          <w:rFonts w:ascii="宋体" w:hAnsi="宋体"/>
          <w:b/>
          <w:color w:val="auto"/>
        </w:rPr>
        <w:br w:type="page"/>
      </w: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spacing w:line="360" w:lineRule="auto"/>
        <w:rPr>
          <w:rFonts w:ascii="宋体" w:hAnsi="宋体"/>
          <w:b/>
          <w:color w:val="auto"/>
        </w:rPr>
      </w:pPr>
    </w:p>
    <w:p>
      <w:pPr>
        <w:pStyle w:val="2"/>
        <w:spacing w:line="360" w:lineRule="auto"/>
        <w:ind w:hanging="1"/>
        <w:rPr>
          <w:rFonts w:ascii="宋体" w:hAnsi="宋体" w:eastAsia="宋体"/>
          <w:color w:val="auto"/>
        </w:rPr>
      </w:pPr>
      <w:bookmarkStart w:id="23" w:name="_Toc385940875"/>
      <w:bookmarkStart w:id="24" w:name="_Toc417914519"/>
      <w:bookmarkStart w:id="25" w:name="_Toc385939529"/>
      <w:r>
        <w:rPr>
          <w:rFonts w:hint="eastAsia" w:ascii="宋体" w:hAnsi="宋体" w:eastAsia="宋体"/>
          <w:color w:val="auto"/>
        </w:rPr>
        <w:t xml:space="preserve">第三章  </w:t>
      </w:r>
      <w:bookmarkEnd w:id="17"/>
      <w:bookmarkEnd w:id="18"/>
      <w:bookmarkEnd w:id="19"/>
      <w:bookmarkEnd w:id="20"/>
      <w:bookmarkEnd w:id="21"/>
      <w:r>
        <w:rPr>
          <w:rFonts w:hint="eastAsia" w:ascii="宋体" w:hAnsi="宋体" w:eastAsia="宋体"/>
          <w:color w:val="auto"/>
        </w:rPr>
        <w:t>投 标 须 知</w:t>
      </w:r>
      <w:bookmarkEnd w:id="23"/>
      <w:bookmarkEnd w:id="24"/>
      <w:bookmarkEnd w:id="25"/>
    </w:p>
    <w:p>
      <w:pPr>
        <w:spacing w:line="360" w:lineRule="auto"/>
        <w:rPr>
          <w:rFonts w:ascii="宋体" w:hAnsi="宋体"/>
          <w:b/>
          <w:bCs/>
          <w:color w:val="auto"/>
        </w:rPr>
      </w:pPr>
    </w:p>
    <w:p>
      <w:pPr>
        <w:jc w:val="center"/>
        <w:outlineLvl w:val="1"/>
        <w:rPr>
          <w:rFonts w:ascii="宋体" w:hAnsi="宋体"/>
          <w:b/>
          <w:bCs/>
          <w:color w:val="auto"/>
          <w:sz w:val="32"/>
          <w:szCs w:val="32"/>
        </w:rPr>
      </w:pPr>
      <w:bookmarkStart w:id="26" w:name="_Toc385940876"/>
      <w:r>
        <w:rPr>
          <w:rFonts w:ascii="宋体" w:hAnsi="宋体"/>
          <w:b/>
          <w:bCs/>
          <w:color w:val="auto"/>
          <w:sz w:val="32"/>
          <w:szCs w:val="32"/>
        </w:rPr>
        <w:br w:type="page"/>
      </w:r>
      <w:r>
        <w:rPr>
          <w:rFonts w:hint="eastAsia" w:ascii="宋体" w:hAnsi="宋体"/>
          <w:b/>
          <w:bCs/>
          <w:color w:val="auto"/>
          <w:sz w:val="32"/>
          <w:szCs w:val="32"/>
        </w:rPr>
        <w:t>投标须知前附表</w:t>
      </w:r>
      <w:bookmarkEnd w:id="26"/>
    </w:p>
    <w:tbl>
      <w:tblPr>
        <w:tblStyle w:val="36"/>
        <w:tblW w:w="1030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13"/>
        <w:gridCol w:w="901"/>
        <w:gridCol w:w="1913"/>
        <w:gridCol w:w="6879"/>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8" w:hRule="exact"/>
          <w:jc w:val="center"/>
        </w:trPr>
        <w:tc>
          <w:tcPr>
            <w:tcW w:w="613" w:type="dxa"/>
            <w:tcBorders>
              <w:top w:val="single" w:color="auto" w:sz="12" w:space="0"/>
              <w:bottom w:val="single" w:color="auto" w:sz="8" w:space="0"/>
            </w:tcBorders>
            <w:noWrap w:val="0"/>
            <w:vAlign w:val="center"/>
          </w:tcPr>
          <w:p>
            <w:pPr>
              <w:spacing w:line="300" w:lineRule="auto"/>
              <w:jc w:val="center"/>
              <w:rPr>
                <w:rFonts w:ascii="宋体" w:hAnsi="宋体"/>
                <w:color w:val="auto"/>
                <w:spacing w:val="-20"/>
              </w:rPr>
            </w:pPr>
            <w:r>
              <w:rPr>
                <w:rFonts w:hint="eastAsia" w:ascii="宋体" w:hAnsi="宋体"/>
                <w:color w:val="auto"/>
                <w:spacing w:val="-20"/>
              </w:rPr>
              <w:t>序号</w:t>
            </w:r>
          </w:p>
        </w:tc>
        <w:tc>
          <w:tcPr>
            <w:tcW w:w="901" w:type="dxa"/>
            <w:tcBorders>
              <w:top w:val="single" w:color="auto" w:sz="12" w:space="0"/>
              <w:bottom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条款号</w:t>
            </w:r>
          </w:p>
        </w:tc>
        <w:tc>
          <w:tcPr>
            <w:tcW w:w="1913" w:type="dxa"/>
            <w:tcBorders>
              <w:top w:val="single" w:color="auto" w:sz="12" w:space="0"/>
              <w:bottom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类  别</w:t>
            </w:r>
          </w:p>
        </w:tc>
        <w:tc>
          <w:tcPr>
            <w:tcW w:w="6879" w:type="dxa"/>
            <w:tcBorders>
              <w:top w:val="single" w:color="auto" w:sz="12" w:space="0"/>
              <w:bottom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内</w:t>
            </w:r>
            <w:r>
              <w:rPr>
                <w:rFonts w:ascii="宋体" w:hAnsi="宋体"/>
                <w:color w:val="auto"/>
              </w:rPr>
              <w:t xml:space="preserve"> </w:t>
            </w:r>
            <w:r>
              <w:rPr>
                <w:rFonts w:hint="eastAsia" w:ascii="宋体" w:hAnsi="宋体"/>
                <w:color w:val="auto"/>
              </w:rPr>
              <w:t xml:space="preserve">    </w:t>
            </w:r>
            <w:r>
              <w:rPr>
                <w:rFonts w:ascii="宋体" w:hAnsi="宋体"/>
                <w:color w:val="auto"/>
              </w:rPr>
              <w:t xml:space="preserve">   </w:t>
            </w:r>
            <w:r>
              <w:rPr>
                <w:rFonts w:hint="eastAsia" w:ascii="宋体" w:hAnsi="宋体"/>
                <w:color w:val="auto"/>
              </w:rPr>
              <w:t>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33" w:hRule="atLeast"/>
          <w:jc w:val="center"/>
        </w:trPr>
        <w:tc>
          <w:tcPr>
            <w:tcW w:w="6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1</w:t>
            </w:r>
          </w:p>
        </w:tc>
        <w:tc>
          <w:tcPr>
            <w:tcW w:w="901"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1.2</w:t>
            </w:r>
          </w:p>
        </w:tc>
        <w:tc>
          <w:tcPr>
            <w:tcW w:w="19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资金来源</w:t>
            </w:r>
          </w:p>
        </w:tc>
        <w:tc>
          <w:tcPr>
            <w:tcW w:w="6879" w:type="dxa"/>
            <w:tcBorders>
              <w:top w:val="single" w:color="auto" w:sz="8" w:space="0"/>
            </w:tcBorders>
            <w:noWrap w:val="0"/>
            <w:vAlign w:val="center"/>
          </w:tcPr>
          <w:p>
            <w:pPr>
              <w:spacing w:line="300" w:lineRule="auto"/>
              <w:rPr>
                <w:rFonts w:ascii="宋体" w:hAnsi="宋体"/>
                <w:color w:val="auto"/>
              </w:rPr>
            </w:pPr>
            <w:r>
              <w:rPr>
                <w:rFonts w:hint="eastAsia" w:ascii="宋体" w:hAnsi="宋体"/>
                <w:color w:val="auto"/>
              </w:rPr>
              <w:t>财政资金，资金已落实。</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41" w:hRule="atLeast"/>
          <w:jc w:val="center"/>
        </w:trPr>
        <w:tc>
          <w:tcPr>
            <w:tcW w:w="6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2</w:t>
            </w:r>
          </w:p>
        </w:tc>
        <w:tc>
          <w:tcPr>
            <w:tcW w:w="901"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2.1</w:t>
            </w:r>
          </w:p>
        </w:tc>
        <w:tc>
          <w:tcPr>
            <w:tcW w:w="19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招标人名称</w:t>
            </w:r>
          </w:p>
        </w:tc>
        <w:tc>
          <w:tcPr>
            <w:tcW w:w="6879" w:type="dxa"/>
            <w:tcBorders>
              <w:top w:val="single" w:color="auto" w:sz="8" w:space="0"/>
            </w:tcBorders>
            <w:noWrap w:val="0"/>
            <w:vAlign w:val="center"/>
          </w:tcPr>
          <w:p>
            <w:pPr>
              <w:spacing w:line="300" w:lineRule="auto"/>
              <w:rPr>
                <w:rFonts w:ascii="宋体" w:hAnsi="宋体"/>
                <w:color w:val="auto"/>
              </w:rPr>
            </w:pPr>
            <w:r>
              <w:rPr>
                <w:rFonts w:ascii="宋体" w:hAnsi="宋体"/>
                <w:bCs/>
                <w:color w:val="auto"/>
                <w:szCs w:val="20"/>
              </w:rPr>
              <w:t>广东省外语艺术职业学院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98" w:hRule="atLeast"/>
          <w:jc w:val="center"/>
        </w:trPr>
        <w:tc>
          <w:tcPr>
            <w:tcW w:w="6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3</w:t>
            </w:r>
          </w:p>
        </w:tc>
        <w:tc>
          <w:tcPr>
            <w:tcW w:w="901"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5.2.1</w:t>
            </w:r>
          </w:p>
        </w:tc>
        <w:tc>
          <w:tcPr>
            <w:tcW w:w="1913" w:type="dxa"/>
            <w:tcBorders>
              <w:top w:val="single" w:color="auto" w:sz="8" w:space="0"/>
            </w:tcBorders>
            <w:noWrap w:val="0"/>
            <w:vAlign w:val="center"/>
          </w:tcPr>
          <w:p>
            <w:pPr>
              <w:spacing w:line="300" w:lineRule="auto"/>
              <w:jc w:val="center"/>
              <w:rPr>
                <w:rFonts w:ascii="宋体" w:hAnsi="宋体"/>
                <w:color w:val="auto"/>
              </w:rPr>
            </w:pPr>
            <w:r>
              <w:rPr>
                <w:rFonts w:hint="eastAsia" w:ascii="宋体" w:hAnsi="宋体"/>
                <w:color w:val="auto"/>
              </w:rPr>
              <w:t>招标代理服务费</w:t>
            </w:r>
          </w:p>
        </w:tc>
        <w:tc>
          <w:tcPr>
            <w:tcW w:w="6879" w:type="dxa"/>
            <w:tcBorders>
              <w:top w:val="single" w:color="auto" w:sz="8" w:space="0"/>
            </w:tcBorders>
            <w:noWrap w:val="0"/>
            <w:vAlign w:val="center"/>
          </w:tcPr>
          <w:p>
            <w:pPr>
              <w:rPr>
                <w:rFonts w:ascii="宋体" w:hAnsi="宋体"/>
                <w:color w:val="auto"/>
              </w:rPr>
            </w:pPr>
            <w:r>
              <w:rPr>
                <w:rFonts w:hint="eastAsia" w:ascii="宋体" w:hAnsi="宋体"/>
                <w:color w:val="auto"/>
              </w:rPr>
              <w:t>1.</w:t>
            </w:r>
            <w:r>
              <w:rPr>
                <w:rFonts w:hint="eastAsia" w:ascii="宋体" w:hAnsi="宋体"/>
                <w:bCs/>
                <w:color w:val="auto"/>
                <w:szCs w:val="20"/>
              </w:rPr>
              <w:t xml:space="preserve"> </w:t>
            </w:r>
            <w:r>
              <w:rPr>
                <w:rFonts w:hint="eastAsia" w:ascii="宋体" w:hAnsi="宋体"/>
                <w:color w:val="auto"/>
              </w:rPr>
              <w:t>本项目的招标代理服务费以收费标准以招标预算金额为计算基数，按差额定率累进法（如下表）计算后下浮20%收取：</w:t>
            </w:r>
          </w:p>
          <w:tbl>
            <w:tblPr>
              <w:tblStyle w:val="36"/>
              <w:tblW w:w="48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48"/>
              <w:gridCol w:w="1172"/>
              <w:gridCol w:w="1292"/>
              <w:gridCol w:w="12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2118" w:type="pct"/>
                  <w:tcBorders>
                    <w:bottom w:val="single" w:color="000000" w:sz="4" w:space="0"/>
                    <w:tl2br w:val="single" w:color="000000" w:sz="4" w:space="0"/>
                  </w:tcBorders>
                  <w:noWrap w:val="0"/>
                  <w:vAlign w:val="center"/>
                </w:tcPr>
                <w:p>
                  <w:pPr>
                    <w:widowControl/>
                    <w:jc w:val="right"/>
                    <w:rPr>
                      <w:rFonts w:ascii="宋体" w:hAnsi="宋体"/>
                      <w:color w:val="auto"/>
                    </w:rPr>
                  </w:pPr>
                  <w:r>
                    <w:rPr>
                      <w:rFonts w:hint="eastAsia" w:ascii="宋体" w:hAnsi="宋体"/>
                      <w:color w:val="auto"/>
                    </w:rPr>
                    <w:t>         服务类型</w:t>
                  </w:r>
                </w:p>
                <w:p>
                  <w:pPr>
                    <w:widowControl/>
                    <w:rPr>
                      <w:rFonts w:ascii="宋体" w:hAnsi="宋体"/>
                      <w:color w:val="auto"/>
                    </w:rPr>
                  </w:pPr>
                  <w:r>
                    <w:rPr>
                      <w:rFonts w:hint="eastAsia" w:ascii="宋体" w:hAnsi="宋体"/>
                      <w:color w:val="auto"/>
                    </w:rPr>
                    <w:t>采购预算（万元）</w:t>
                  </w:r>
                </w:p>
              </w:tc>
              <w:tc>
                <w:tcPr>
                  <w:tcW w:w="903" w:type="pct"/>
                  <w:noWrap w:val="0"/>
                  <w:vAlign w:val="center"/>
                </w:tcPr>
                <w:p>
                  <w:pPr>
                    <w:widowControl/>
                    <w:jc w:val="center"/>
                    <w:rPr>
                      <w:rFonts w:ascii="宋体" w:hAnsi="宋体"/>
                      <w:color w:val="auto"/>
                    </w:rPr>
                  </w:pPr>
                  <w:r>
                    <w:rPr>
                      <w:rFonts w:hint="eastAsia" w:ascii="宋体" w:hAnsi="宋体"/>
                      <w:color w:val="auto"/>
                    </w:rPr>
                    <w:t>货物招标</w:t>
                  </w:r>
                </w:p>
              </w:tc>
              <w:tc>
                <w:tcPr>
                  <w:tcW w:w="996" w:type="pct"/>
                  <w:noWrap w:val="0"/>
                  <w:vAlign w:val="center"/>
                </w:tcPr>
                <w:p>
                  <w:pPr>
                    <w:widowControl/>
                    <w:jc w:val="center"/>
                    <w:rPr>
                      <w:rFonts w:ascii="宋体" w:hAnsi="宋体"/>
                      <w:color w:val="auto"/>
                    </w:rPr>
                  </w:pPr>
                  <w:r>
                    <w:rPr>
                      <w:rFonts w:hint="eastAsia" w:ascii="宋体" w:hAnsi="宋体"/>
                      <w:color w:val="auto"/>
                    </w:rPr>
                    <w:t>服务招标</w:t>
                  </w:r>
                </w:p>
              </w:tc>
              <w:tc>
                <w:tcPr>
                  <w:tcW w:w="983" w:type="pct"/>
                  <w:noWrap w:val="0"/>
                  <w:vAlign w:val="center"/>
                </w:tcPr>
                <w:p>
                  <w:pPr>
                    <w:widowControl/>
                    <w:jc w:val="center"/>
                    <w:rPr>
                      <w:rFonts w:ascii="宋体" w:hAnsi="宋体"/>
                      <w:color w:val="auto"/>
                    </w:rPr>
                  </w:pPr>
                  <w:r>
                    <w:rPr>
                      <w:rFonts w:hint="eastAsia" w:ascii="宋体" w:hAnsi="宋体"/>
                      <w:color w:val="auto"/>
                    </w:rPr>
                    <w:t>工程招标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118" w:type="pct"/>
                  <w:noWrap w:val="0"/>
                  <w:vAlign w:val="center"/>
                </w:tcPr>
                <w:p>
                  <w:pPr>
                    <w:widowControl/>
                    <w:rPr>
                      <w:rFonts w:ascii="宋体" w:hAnsi="宋体"/>
                      <w:color w:val="auto"/>
                    </w:rPr>
                  </w:pPr>
                  <w:r>
                    <w:rPr>
                      <w:rFonts w:hint="eastAsia" w:ascii="宋体" w:hAnsi="宋体"/>
                      <w:color w:val="auto"/>
                    </w:rPr>
                    <w:t>100以下</w:t>
                  </w:r>
                </w:p>
              </w:tc>
              <w:tc>
                <w:tcPr>
                  <w:tcW w:w="903" w:type="pct"/>
                  <w:noWrap w:val="0"/>
                  <w:vAlign w:val="center"/>
                </w:tcPr>
                <w:p>
                  <w:pPr>
                    <w:widowControl/>
                    <w:jc w:val="center"/>
                    <w:rPr>
                      <w:rFonts w:ascii="宋体" w:hAnsi="宋体"/>
                      <w:color w:val="auto"/>
                    </w:rPr>
                  </w:pPr>
                  <w:r>
                    <w:rPr>
                      <w:rFonts w:hint="eastAsia" w:ascii="宋体" w:hAnsi="宋体"/>
                      <w:color w:val="auto"/>
                    </w:rPr>
                    <w:t>1.50%</w:t>
                  </w:r>
                </w:p>
              </w:tc>
              <w:tc>
                <w:tcPr>
                  <w:tcW w:w="996" w:type="pct"/>
                  <w:noWrap w:val="0"/>
                  <w:vAlign w:val="center"/>
                </w:tcPr>
                <w:p>
                  <w:pPr>
                    <w:widowControl/>
                    <w:jc w:val="center"/>
                    <w:rPr>
                      <w:rFonts w:ascii="宋体" w:hAnsi="宋体"/>
                      <w:color w:val="auto"/>
                    </w:rPr>
                  </w:pPr>
                  <w:r>
                    <w:rPr>
                      <w:rFonts w:hint="eastAsia" w:ascii="宋体" w:hAnsi="宋体"/>
                      <w:color w:val="auto"/>
                    </w:rPr>
                    <w:t>1.50%</w:t>
                  </w:r>
                </w:p>
              </w:tc>
              <w:tc>
                <w:tcPr>
                  <w:tcW w:w="983" w:type="pct"/>
                  <w:noWrap w:val="0"/>
                  <w:vAlign w:val="center"/>
                </w:tcPr>
                <w:p>
                  <w:pPr>
                    <w:widowControl/>
                    <w:jc w:val="center"/>
                    <w:rPr>
                      <w:rFonts w:ascii="宋体" w:hAnsi="宋体"/>
                      <w:color w:val="auto"/>
                    </w:rPr>
                  </w:pPr>
                  <w:r>
                    <w:rPr>
                      <w:rFonts w:hint="eastAsia" w:ascii="宋体" w:hAnsi="宋体"/>
                      <w:color w:val="auto"/>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118" w:type="pct"/>
                  <w:noWrap w:val="0"/>
                  <w:vAlign w:val="center"/>
                </w:tcPr>
                <w:p>
                  <w:pPr>
                    <w:widowControl/>
                    <w:rPr>
                      <w:rFonts w:ascii="宋体" w:hAnsi="宋体"/>
                      <w:color w:val="auto"/>
                    </w:rPr>
                  </w:pPr>
                  <w:r>
                    <w:rPr>
                      <w:rFonts w:hint="eastAsia" w:ascii="宋体" w:hAnsi="宋体"/>
                      <w:color w:val="auto"/>
                    </w:rPr>
                    <w:t>100—500</w:t>
                  </w:r>
                </w:p>
              </w:tc>
              <w:tc>
                <w:tcPr>
                  <w:tcW w:w="903" w:type="pct"/>
                  <w:noWrap w:val="0"/>
                  <w:vAlign w:val="center"/>
                </w:tcPr>
                <w:p>
                  <w:pPr>
                    <w:widowControl/>
                    <w:jc w:val="center"/>
                    <w:rPr>
                      <w:rFonts w:ascii="宋体" w:hAnsi="宋体"/>
                      <w:color w:val="auto"/>
                    </w:rPr>
                  </w:pPr>
                  <w:r>
                    <w:rPr>
                      <w:rFonts w:hint="eastAsia" w:ascii="宋体" w:hAnsi="宋体"/>
                      <w:color w:val="auto"/>
                    </w:rPr>
                    <w:t>1.10%</w:t>
                  </w:r>
                </w:p>
              </w:tc>
              <w:tc>
                <w:tcPr>
                  <w:tcW w:w="996" w:type="pct"/>
                  <w:noWrap w:val="0"/>
                  <w:vAlign w:val="center"/>
                </w:tcPr>
                <w:p>
                  <w:pPr>
                    <w:widowControl/>
                    <w:jc w:val="center"/>
                    <w:rPr>
                      <w:rFonts w:ascii="宋体" w:hAnsi="宋体"/>
                      <w:color w:val="auto"/>
                    </w:rPr>
                  </w:pPr>
                  <w:r>
                    <w:rPr>
                      <w:rFonts w:hint="eastAsia" w:ascii="宋体" w:hAnsi="宋体"/>
                      <w:color w:val="auto"/>
                    </w:rPr>
                    <w:t>0.80%</w:t>
                  </w:r>
                </w:p>
              </w:tc>
              <w:tc>
                <w:tcPr>
                  <w:tcW w:w="983" w:type="pct"/>
                  <w:noWrap w:val="0"/>
                  <w:vAlign w:val="center"/>
                </w:tcPr>
                <w:p>
                  <w:pPr>
                    <w:widowControl/>
                    <w:jc w:val="center"/>
                    <w:rPr>
                      <w:rFonts w:ascii="宋体" w:hAnsi="宋体"/>
                      <w:color w:val="auto"/>
                    </w:rPr>
                  </w:pPr>
                  <w:r>
                    <w:rPr>
                      <w:rFonts w:hint="eastAsia" w:ascii="宋体" w:hAnsi="宋体"/>
                      <w:color w:val="auto"/>
                    </w:rPr>
                    <w:t>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2118" w:type="pct"/>
                  <w:noWrap w:val="0"/>
                  <w:vAlign w:val="center"/>
                </w:tcPr>
                <w:p>
                  <w:pPr>
                    <w:widowControl/>
                    <w:rPr>
                      <w:rFonts w:ascii="宋体" w:hAnsi="宋体"/>
                      <w:color w:val="auto"/>
                    </w:rPr>
                  </w:pPr>
                  <w:r>
                    <w:rPr>
                      <w:rFonts w:hint="eastAsia" w:ascii="宋体" w:hAnsi="宋体"/>
                      <w:color w:val="auto"/>
                    </w:rPr>
                    <w:t>500—1000</w:t>
                  </w:r>
                </w:p>
              </w:tc>
              <w:tc>
                <w:tcPr>
                  <w:tcW w:w="903" w:type="pct"/>
                  <w:noWrap w:val="0"/>
                  <w:vAlign w:val="center"/>
                </w:tcPr>
                <w:p>
                  <w:pPr>
                    <w:widowControl/>
                    <w:jc w:val="center"/>
                    <w:rPr>
                      <w:rFonts w:ascii="宋体" w:hAnsi="宋体"/>
                      <w:color w:val="auto"/>
                    </w:rPr>
                  </w:pPr>
                  <w:r>
                    <w:rPr>
                      <w:rFonts w:hint="eastAsia" w:ascii="宋体" w:hAnsi="宋体"/>
                      <w:color w:val="auto"/>
                    </w:rPr>
                    <w:t>0.80%</w:t>
                  </w:r>
                </w:p>
              </w:tc>
              <w:tc>
                <w:tcPr>
                  <w:tcW w:w="996" w:type="pct"/>
                  <w:noWrap w:val="0"/>
                  <w:vAlign w:val="center"/>
                </w:tcPr>
                <w:p>
                  <w:pPr>
                    <w:widowControl/>
                    <w:jc w:val="center"/>
                    <w:rPr>
                      <w:rFonts w:ascii="宋体" w:hAnsi="宋体"/>
                      <w:color w:val="auto"/>
                    </w:rPr>
                  </w:pPr>
                  <w:r>
                    <w:rPr>
                      <w:rFonts w:hint="eastAsia" w:ascii="宋体" w:hAnsi="宋体"/>
                      <w:color w:val="auto"/>
                    </w:rPr>
                    <w:t>0.45%</w:t>
                  </w:r>
                </w:p>
              </w:tc>
              <w:tc>
                <w:tcPr>
                  <w:tcW w:w="983" w:type="pct"/>
                  <w:noWrap w:val="0"/>
                  <w:vAlign w:val="center"/>
                </w:tcPr>
                <w:p>
                  <w:pPr>
                    <w:widowControl/>
                    <w:jc w:val="center"/>
                    <w:rPr>
                      <w:rFonts w:ascii="宋体" w:hAnsi="宋体"/>
                      <w:color w:val="auto"/>
                    </w:rPr>
                  </w:pPr>
                  <w:r>
                    <w:rPr>
                      <w:rFonts w:hint="eastAsia" w:ascii="宋体" w:hAnsi="宋体"/>
                      <w:color w:val="auto"/>
                    </w:rPr>
                    <w:t>0.55%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118" w:type="pct"/>
                  <w:noWrap w:val="0"/>
                  <w:vAlign w:val="center"/>
                </w:tcPr>
                <w:p>
                  <w:pPr>
                    <w:widowControl/>
                    <w:rPr>
                      <w:rFonts w:ascii="宋体" w:hAnsi="宋体"/>
                      <w:color w:val="auto"/>
                    </w:rPr>
                  </w:pPr>
                  <w:r>
                    <w:rPr>
                      <w:rFonts w:hint="eastAsia" w:ascii="宋体" w:hAnsi="宋体"/>
                      <w:color w:val="auto"/>
                    </w:rPr>
                    <w:t>1000—5000</w:t>
                  </w:r>
                </w:p>
              </w:tc>
              <w:tc>
                <w:tcPr>
                  <w:tcW w:w="903" w:type="pct"/>
                  <w:noWrap w:val="0"/>
                  <w:vAlign w:val="center"/>
                </w:tcPr>
                <w:p>
                  <w:pPr>
                    <w:widowControl/>
                    <w:jc w:val="center"/>
                    <w:rPr>
                      <w:rFonts w:ascii="宋体" w:hAnsi="宋体"/>
                      <w:color w:val="auto"/>
                    </w:rPr>
                  </w:pPr>
                  <w:r>
                    <w:rPr>
                      <w:rFonts w:hint="eastAsia" w:ascii="宋体" w:hAnsi="宋体"/>
                      <w:color w:val="auto"/>
                    </w:rPr>
                    <w:t>0.50%</w:t>
                  </w:r>
                </w:p>
              </w:tc>
              <w:tc>
                <w:tcPr>
                  <w:tcW w:w="996" w:type="pct"/>
                  <w:noWrap w:val="0"/>
                  <w:vAlign w:val="center"/>
                </w:tcPr>
                <w:p>
                  <w:pPr>
                    <w:widowControl/>
                    <w:jc w:val="center"/>
                    <w:rPr>
                      <w:rFonts w:ascii="宋体" w:hAnsi="宋体"/>
                      <w:color w:val="auto"/>
                    </w:rPr>
                  </w:pPr>
                  <w:r>
                    <w:rPr>
                      <w:rFonts w:hint="eastAsia" w:ascii="宋体" w:hAnsi="宋体"/>
                      <w:color w:val="auto"/>
                    </w:rPr>
                    <w:t>0.25%</w:t>
                  </w:r>
                </w:p>
              </w:tc>
              <w:tc>
                <w:tcPr>
                  <w:tcW w:w="983" w:type="pct"/>
                  <w:noWrap w:val="0"/>
                  <w:vAlign w:val="center"/>
                </w:tcPr>
                <w:p>
                  <w:pPr>
                    <w:widowControl/>
                    <w:jc w:val="center"/>
                    <w:rPr>
                      <w:rFonts w:ascii="宋体" w:hAnsi="宋体"/>
                      <w:color w:val="auto"/>
                    </w:rPr>
                  </w:pPr>
                  <w:r>
                    <w:rPr>
                      <w:rFonts w:hint="eastAsia" w:ascii="宋体" w:hAnsi="宋体"/>
                      <w:color w:val="auto"/>
                    </w:rPr>
                    <w:t>0.35%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118" w:type="pct"/>
                  <w:noWrap w:val="0"/>
                  <w:vAlign w:val="center"/>
                </w:tcPr>
                <w:p>
                  <w:pPr>
                    <w:widowControl/>
                    <w:rPr>
                      <w:rFonts w:ascii="宋体" w:hAnsi="宋体"/>
                      <w:color w:val="auto"/>
                    </w:rPr>
                  </w:pPr>
                  <w:r>
                    <w:rPr>
                      <w:rFonts w:hint="eastAsia" w:ascii="宋体" w:hAnsi="宋体"/>
                      <w:color w:val="auto"/>
                    </w:rPr>
                    <w:t>5000—10000</w:t>
                  </w:r>
                </w:p>
              </w:tc>
              <w:tc>
                <w:tcPr>
                  <w:tcW w:w="903" w:type="pct"/>
                  <w:noWrap w:val="0"/>
                  <w:vAlign w:val="center"/>
                </w:tcPr>
                <w:p>
                  <w:pPr>
                    <w:widowControl/>
                    <w:jc w:val="center"/>
                    <w:rPr>
                      <w:rFonts w:ascii="宋体" w:hAnsi="宋体"/>
                      <w:color w:val="auto"/>
                    </w:rPr>
                  </w:pPr>
                  <w:r>
                    <w:rPr>
                      <w:rFonts w:hint="eastAsia" w:ascii="宋体" w:hAnsi="宋体"/>
                      <w:color w:val="auto"/>
                    </w:rPr>
                    <w:t>0.25%</w:t>
                  </w:r>
                </w:p>
              </w:tc>
              <w:tc>
                <w:tcPr>
                  <w:tcW w:w="996" w:type="pct"/>
                  <w:noWrap w:val="0"/>
                  <w:vAlign w:val="center"/>
                </w:tcPr>
                <w:p>
                  <w:pPr>
                    <w:widowControl/>
                    <w:jc w:val="center"/>
                    <w:rPr>
                      <w:rFonts w:ascii="宋体" w:hAnsi="宋体"/>
                      <w:color w:val="auto"/>
                    </w:rPr>
                  </w:pPr>
                  <w:r>
                    <w:rPr>
                      <w:rFonts w:hint="eastAsia" w:ascii="宋体" w:hAnsi="宋体"/>
                      <w:color w:val="auto"/>
                    </w:rPr>
                    <w:t>0.10%</w:t>
                  </w:r>
                </w:p>
              </w:tc>
              <w:tc>
                <w:tcPr>
                  <w:tcW w:w="983" w:type="pct"/>
                  <w:noWrap w:val="0"/>
                  <w:vAlign w:val="center"/>
                </w:tcPr>
                <w:p>
                  <w:pPr>
                    <w:widowControl/>
                    <w:jc w:val="center"/>
                    <w:rPr>
                      <w:rFonts w:ascii="宋体" w:hAnsi="宋体"/>
                      <w:color w:val="auto"/>
                    </w:rPr>
                  </w:pPr>
                  <w:r>
                    <w:rPr>
                      <w:rFonts w:hint="eastAsia" w:ascii="宋体" w:hAnsi="宋体"/>
                      <w:color w:val="auto"/>
                    </w:rPr>
                    <w:t>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118" w:type="pct"/>
                  <w:noWrap w:val="0"/>
                  <w:vAlign w:val="center"/>
                </w:tcPr>
                <w:p>
                  <w:pPr>
                    <w:widowControl/>
                    <w:rPr>
                      <w:rFonts w:ascii="宋体" w:hAnsi="宋体"/>
                      <w:color w:val="auto"/>
                    </w:rPr>
                  </w:pPr>
                  <w:r>
                    <w:rPr>
                      <w:rFonts w:hint="eastAsia" w:ascii="宋体" w:hAnsi="宋体"/>
                      <w:color w:val="auto"/>
                    </w:rPr>
                    <w:t>10000——100000</w:t>
                  </w:r>
                </w:p>
              </w:tc>
              <w:tc>
                <w:tcPr>
                  <w:tcW w:w="903" w:type="pct"/>
                  <w:noWrap w:val="0"/>
                  <w:vAlign w:val="center"/>
                </w:tcPr>
                <w:p>
                  <w:pPr>
                    <w:widowControl/>
                    <w:jc w:val="center"/>
                    <w:rPr>
                      <w:rFonts w:ascii="宋体" w:hAnsi="宋体"/>
                      <w:color w:val="auto"/>
                    </w:rPr>
                  </w:pPr>
                  <w:r>
                    <w:rPr>
                      <w:rFonts w:hint="eastAsia" w:ascii="宋体" w:hAnsi="宋体"/>
                      <w:color w:val="auto"/>
                    </w:rPr>
                    <w:t>0.05%</w:t>
                  </w:r>
                </w:p>
              </w:tc>
              <w:tc>
                <w:tcPr>
                  <w:tcW w:w="996" w:type="pct"/>
                  <w:noWrap w:val="0"/>
                  <w:vAlign w:val="center"/>
                </w:tcPr>
                <w:p>
                  <w:pPr>
                    <w:widowControl/>
                    <w:jc w:val="center"/>
                    <w:rPr>
                      <w:rFonts w:ascii="宋体" w:hAnsi="宋体"/>
                      <w:color w:val="auto"/>
                    </w:rPr>
                  </w:pPr>
                  <w:r>
                    <w:rPr>
                      <w:rFonts w:hint="eastAsia" w:ascii="宋体" w:hAnsi="宋体"/>
                      <w:color w:val="auto"/>
                    </w:rPr>
                    <w:t>0.05%</w:t>
                  </w:r>
                </w:p>
              </w:tc>
              <w:tc>
                <w:tcPr>
                  <w:tcW w:w="983" w:type="pct"/>
                  <w:noWrap w:val="0"/>
                  <w:vAlign w:val="center"/>
                </w:tcPr>
                <w:p>
                  <w:pPr>
                    <w:widowControl/>
                    <w:jc w:val="center"/>
                    <w:rPr>
                      <w:rFonts w:ascii="宋体" w:hAnsi="宋体"/>
                      <w:color w:val="auto"/>
                    </w:rPr>
                  </w:pPr>
                  <w:r>
                    <w:rPr>
                      <w:rFonts w:hint="eastAsia" w:ascii="宋体" w:hAnsi="宋体"/>
                      <w:color w:val="auto"/>
                    </w:rPr>
                    <w:t>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118" w:type="pct"/>
                  <w:noWrap w:val="0"/>
                  <w:vAlign w:val="center"/>
                </w:tcPr>
                <w:p>
                  <w:pPr>
                    <w:widowControl/>
                    <w:rPr>
                      <w:rFonts w:ascii="宋体" w:hAnsi="宋体"/>
                      <w:color w:val="auto"/>
                    </w:rPr>
                  </w:pPr>
                  <w:r>
                    <w:rPr>
                      <w:rFonts w:hint="eastAsia" w:ascii="宋体" w:hAnsi="宋体"/>
                      <w:color w:val="auto"/>
                    </w:rPr>
                    <w:t>100000以上</w:t>
                  </w:r>
                </w:p>
              </w:tc>
              <w:tc>
                <w:tcPr>
                  <w:tcW w:w="903" w:type="pct"/>
                  <w:noWrap w:val="0"/>
                  <w:vAlign w:val="center"/>
                </w:tcPr>
                <w:p>
                  <w:pPr>
                    <w:widowControl/>
                    <w:jc w:val="center"/>
                    <w:rPr>
                      <w:rFonts w:ascii="宋体" w:hAnsi="宋体"/>
                      <w:color w:val="auto"/>
                    </w:rPr>
                  </w:pPr>
                  <w:r>
                    <w:rPr>
                      <w:rFonts w:hint="eastAsia" w:ascii="宋体" w:hAnsi="宋体"/>
                      <w:color w:val="auto"/>
                    </w:rPr>
                    <w:t>0.01%</w:t>
                  </w:r>
                </w:p>
              </w:tc>
              <w:tc>
                <w:tcPr>
                  <w:tcW w:w="996" w:type="pct"/>
                  <w:noWrap w:val="0"/>
                  <w:vAlign w:val="center"/>
                </w:tcPr>
                <w:p>
                  <w:pPr>
                    <w:widowControl/>
                    <w:jc w:val="center"/>
                    <w:rPr>
                      <w:rFonts w:ascii="宋体" w:hAnsi="宋体"/>
                      <w:color w:val="auto"/>
                    </w:rPr>
                  </w:pPr>
                  <w:r>
                    <w:rPr>
                      <w:rFonts w:hint="eastAsia" w:ascii="宋体" w:hAnsi="宋体"/>
                      <w:color w:val="auto"/>
                    </w:rPr>
                    <w:t>0.01%</w:t>
                  </w:r>
                </w:p>
              </w:tc>
              <w:tc>
                <w:tcPr>
                  <w:tcW w:w="983" w:type="pct"/>
                  <w:noWrap w:val="0"/>
                  <w:vAlign w:val="center"/>
                </w:tcPr>
                <w:p>
                  <w:pPr>
                    <w:widowControl/>
                    <w:jc w:val="center"/>
                    <w:rPr>
                      <w:rFonts w:ascii="宋体" w:hAnsi="宋体"/>
                      <w:color w:val="auto"/>
                    </w:rPr>
                  </w:pPr>
                  <w:r>
                    <w:rPr>
                      <w:rFonts w:hint="eastAsia" w:ascii="宋体" w:hAnsi="宋体"/>
                      <w:color w:val="auto"/>
                    </w:rPr>
                    <w:t>0.01%</w:t>
                  </w:r>
                </w:p>
              </w:tc>
            </w:tr>
          </w:tbl>
          <w:p>
            <w:pPr>
              <w:spacing w:line="300" w:lineRule="auto"/>
              <w:rPr>
                <w:rFonts w:ascii="宋体" w:hAnsi="宋体"/>
                <w:color w:val="auto"/>
              </w:rPr>
            </w:pPr>
            <w:r>
              <w:rPr>
                <w:rFonts w:hint="eastAsia" w:ascii="宋体" w:hAnsi="宋体"/>
                <w:color w:val="auto"/>
              </w:rPr>
              <w:t>招标代理服务费由中标人一次性向招标代理机构交纳。</w:t>
            </w:r>
          </w:p>
          <w:p>
            <w:pPr>
              <w:spacing w:line="300" w:lineRule="auto"/>
              <w:rPr>
                <w:rFonts w:hint="eastAsia" w:ascii="宋体" w:hAnsi="宋体"/>
                <w:bCs/>
                <w:color w:val="auto"/>
                <w:szCs w:val="20"/>
              </w:rPr>
            </w:pPr>
            <w:r>
              <w:rPr>
                <w:rFonts w:hint="eastAsia" w:ascii="宋体" w:hAnsi="宋体"/>
                <w:bCs/>
                <w:color w:val="auto"/>
                <w:szCs w:val="20"/>
              </w:rPr>
              <w:t>2.向招标代理机构缴纳招标代理服务费可用转账等方式支付到以下账号：</w:t>
            </w:r>
          </w:p>
          <w:p>
            <w:pPr>
              <w:spacing w:line="300" w:lineRule="auto"/>
              <w:ind w:firstLine="420" w:firstLineChars="200"/>
              <w:rPr>
                <w:rFonts w:hint="eastAsia" w:ascii="宋体" w:hAnsi="宋体"/>
                <w:bCs/>
                <w:color w:val="auto"/>
                <w:szCs w:val="20"/>
              </w:rPr>
            </w:pPr>
            <w:r>
              <w:rPr>
                <w:rFonts w:hint="eastAsia" w:ascii="宋体" w:hAnsi="宋体"/>
                <w:bCs/>
                <w:color w:val="auto"/>
                <w:szCs w:val="20"/>
              </w:rPr>
              <w:t>账户：</w:t>
            </w:r>
            <w:r>
              <w:rPr>
                <w:rFonts w:hint="eastAsia" w:ascii="宋体" w:hAnsi="宋体"/>
                <w:bCs/>
                <w:color w:val="auto"/>
              </w:rPr>
              <w:t>广东中程招标代理有限公司</w:t>
            </w:r>
          </w:p>
          <w:p>
            <w:pPr>
              <w:tabs>
                <w:tab w:val="left" w:pos="6104"/>
              </w:tabs>
              <w:spacing w:line="300" w:lineRule="auto"/>
              <w:ind w:firstLine="420" w:firstLineChars="200"/>
              <w:rPr>
                <w:rFonts w:hint="eastAsia" w:ascii="宋体" w:hAnsi="宋体"/>
                <w:bCs/>
                <w:color w:val="auto"/>
                <w:szCs w:val="20"/>
              </w:rPr>
            </w:pPr>
            <w:r>
              <w:rPr>
                <w:rFonts w:hint="eastAsia" w:ascii="宋体" w:hAnsi="宋体"/>
                <w:bCs/>
                <w:color w:val="auto"/>
                <w:szCs w:val="20"/>
              </w:rPr>
              <w:t>账号：</w:t>
            </w:r>
            <w:r>
              <w:rPr>
                <w:rFonts w:hint="eastAsia" w:hAnsi="宋体"/>
                <w:color w:val="auto"/>
                <w:szCs w:val="18"/>
              </w:rPr>
              <w:t>9550 8802 0988 9200 108</w:t>
            </w:r>
          </w:p>
          <w:p>
            <w:pPr>
              <w:spacing w:line="300" w:lineRule="auto"/>
              <w:ind w:left="420"/>
              <w:rPr>
                <w:rFonts w:ascii="宋体" w:hAnsi="宋体"/>
                <w:bCs/>
                <w:color w:val="auto"/>
                <w:szCs w:val="20"/>
              </w:rPr>
            </w:pPr>
            <w:r>
              <w:rPr>
                <w:rFonts w:hint="eastAsia" w:ascii="宋体" w:hAnsi="宋体"/>
                <w:bCs/>
                <w:color w:val="auto"/>
                <w:szCs w:val="20"/>
              </w:rPr>
              <w:t>开户银行：</w:t>
            </w:r>
            <w:r>
              <w:rPr>
                <w:rFonts w:hint="eastAsia" w:hAnsi="宋体"/>
                <w:color w:val="auto"/>
                <w:szCs w:val="18"/>
              </w:rPr>
              <w:t>广发银行起义路支行</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12" w:hRule="atLeast"/>
          <w:jc w:val="center"/>
        </w:trPr>
        <w:tc>
          <w:tcPr>
            <w:tcW w:w="613" w:type="dxa"/>
            <w:noWrap w:val="0"/>
            <w:vAlign w:val="center"/>
          </w:tcPr>
          <w:p>
            <w:pPr>
              <w:spacing w:line="300" w:lineRule="auto"/>
              <w:jc w:val="center"/>
              <w:rPr>
                <w:rFonts w:ascii="宋体" w:hAnsi="宋体"/>
                <w:color w:val="auto"/>
              </w:rPr>
            </w:pPr>
            <w:r>
              <w:rPr>
                <w:rFonts w:hint="eastAsia" w:ascii="宋体" w:hAnsi="宋体"/>
                <w:color w:val="auto"/>
              </w:rPr>
              <w:t>4</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10.1</w:t>
            </w:r>
          </w:p>
        </w:tc>
        <w:tc>
          <w:tcPr>
            <w:tcW w:w="1913" w:type="dxa"/>
            <w:noWrap w:val="0"/>
            <w:vAlign w:val="center"/>
          </w:tcPr>
          <w:p>
            <w:pPr>
              <w:spacing w:line="300" w:lineRule="auto"/>
              <w:jc w:val="center"/>
              <w:rPr>
                <w:rFonts w:ascii="宋体" w:hAnsi="宋体"/>
                <w:color w:val="auto"/>
              </w:rPr>
            </w:pPr>
            <w:r>
              <w:rPr>
                <w:rFonts w:hint="eastAsia" w:ascii="宋体" w:hAnsi="宋体"/>
                <w:color w:val="auto"/>
                <w:szCs w:val="21"/>
              </w:rPr>
              <w:t>踏勘现场</w:t>
            </w:r>
          </w:p>
        </w:tc>
        <w:tc>
          <w:tcPr>
            <w:tcW w:w="6879" w:type="dxa"/>
            <w:noWrap w:val="0"/>
            <w:vAlign w:val="center"/>
          </w:tcPr>
          <w:p>
            <w:pPr>
              <w:spacing w:line="300" w:lineRule="auto"/>
              <w:rPr>
                <w:rFonts w:ascii="宋体" w:hAnsi="宋体"/>
                <w:color w:val="auto"/>
              </w:rPr>
            </w:pPr>
            <w:r>
              <w:rPr>
                <w:rFonts w:hint="eastAsia" w:ascii="宋体" w:hAnsi="宋体"/>
                <w:color w:val="auto"/>
              </w:rPr>
              <w:t>不举行</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ascii="宋体" w:hAnsi="宋体"/>
                <w:color w:val="auto"/>
              </w:rPr>
            </w:pPr>
            <w:r>
              <w:rPr>
                <w:rFonts w:hint="eastAsia" w:ascii="宋体" w:hAnsi="宋体"/>
                <w:color w:val="auto"/>
              </w:rPr>
              <w:t>5</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12</w:t>
            </w:r>
          </w:p>
        </w:tc>
        <w:tc>
          <w:tcPr>
            <w:tcW w:w="1913" w:type="dxa"/>
            <w:noWrap w:val="0"/>
            <w:vAlign w:val="center"/>
          </w:tcPr>
          <w:p>
            <w:pPr>
              <w:spacing w:line="300" w:lineRule="auto"/>
              <w:jc w:val="center"/>
              <w:rPr>
                <w:rFonts w:ascii="宋体" w:hAnsi="宋体"/>
                <w:color w:val="auto"/>
              </w:rPr>
            </w:pPr>
            <w:r>
              <w:rPr>
                <w:rFonts w:hint="eastAsia" w:ascii="宋体" w:hAnsi="宋体"/>
                <w:color w:val="auto"/>
              </w:rPr>
              <w:t>答疑会</w:t>
            </w:r>
          </w:p>
        </w:tc>
        <w:tc>
          <w:tcPr>
            <w:tcW w:w="6879" w:type="dxa"/>
            <w:noWrap w:val="0"/>
            <w:vAlign w:val="center"/>
          </w:tcPr>
          <w:p>
            <w:pPr>
              <w:spacing w:line="300" w:lineRule="auto"/>
              <w:rPr>
                <w:rFonts w:ascii="宋体" w:hAnsi="宋体"/>
                <w:color w:val="auto"/>
              </w:rPr>
            </w:pPr>
            <w:r>
              <w:rPr>
                <w:rFonts w:hint="eastAsia" w:ascii="宋体" w:hAnsi="宋体"/>
                <w:color w:val="auto"/>
              </w:rPr>
              <w:t>不举行</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543" w:hRule="atLeast"/>
          <w:jc w:val="center"/>
        </w:trPr>
        <w:tc>
          <w:tcPr>
            <w:tcW w:w="613" w:type="dxa"/>
            <w:noWrap w:val="0"/>
            <w:vAlign w:val="center"/>
          </w:tcPr>
          <w:p>
            <w:pPr>
              <w:spacing w:line="300" w:lineRule="auto"/>
              <w:jc w:val="center"/>
              <w:rPr>
                <w:rFonts w:ascii="宋体" w:hAnsi="宋体"/>
                <w:color w:val="auto"/>
              </w:rPr>
            </w:pPr>
            <w:r>
              <w:rPr>
                <w:rFonts w:hint="eastAsia" w:ascii="宋体" w:hAnsi="宋体"/>
                <w:color w:val="auto"/>
              </w:rPr>
              <w:t>6</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16.2</w:t>
            </w:r>
          </w:p>
        </w:tc>
        <w:tc>
          <w:tcPr>
            <w:tcW w:w="1913" w:type="dxa"/>
            <w:noWrap w:val="0"/>
            <w:vAlign w:val="center"/>
          </w:tcPr>
          <w:p>
            <w:pPr>
              <w:spacing w:line="300" w:lineRule="auto"/>
              <w:jc w:val="center"/>
              <w:rPr>
                <w:rFonts w:ascii="宋体" w:hAnsi="宋体"/>
                <w:color w:val="auto"/>
              </w:rPr>
            </w:pPr>
            <w:r>
              <w:rPr>
                <w:rFonts w:hint="eastAsia" w:ascii="宋体" w:hAnsi="宋体"/>
                <w:color w:val="auto"/>
              </w:rPr>
              <w:t>多个包（组）投标文件的装订和封装</w:t>
            </w:r>
          </w:p>
        </w:tc>
        <w:tc>
          <w:tcPr>
            <w:tcW w:w="6879" w:type="dxa"/>
            <w:noWrap w:val="0"/>
            <w:vAlign w:val="center"/>
          </w:tcPr>
          <w:p>
            <w:pPr>
              <w:spacing w:line="300" w:lineRule="auto"/>
              <w:rPr>
                <w:rFonts w:ascii="宋体" w:hAnsi="宋体"/>
                <w:color w:val="auto"/>
              </w:rPr>
            </w:pPr>
            <w:r>
              <w:rPr>
                <w:rFonts w:hint="eastAsia" w:ascii="宋体" w:hAnsi="宋体"/>
                <w:bCs/>
                <w:color w:val="auto"/>
                <w:szCs w:val="21"/>
                <w:lang w:val="zh-CN"/>
              </w:rPr>
              <w:t>投标文件应按每个包（组）的要求分别装订和封装。</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ascii="宋体" w:hAnsi="宋体"/>
                <w:color w:val="auto"/>
              </w:rPr>
            </w:pPr>
            <w:r>
              <w:rPr>
                <w:rFonts w:hint="eastAsia" w:ascii="宋体" w:hAnsi="宋体"/>
                <w:color w:val="auto"/>
              </w:rPr>
              <w:t>7</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18</w:t>
            </w:r>
          </w:p>
        </w:tc>
        <w:tc>
          <w:tcPr>
            <w:tcW w:w="1913" w:type="dxa"/>
            <w:noWrap w:val="0"/>
            <w:vAlign w:val="center"/>
          </w:tcPr>
          <w:p>
            <w:pPr>
              <w:spacing w:line="300" w:lineRule="auto"/>
              <w:jc w:val="center"/>
              <w:rPr>
                <w:rFonts w:ascii="宋体" w:hAnsi="宋体"/>
                <w:color w:val="auto"/>
              </w:rPr>
            </w:pPr>
            <w:r>
              <w:rPr>
                <w:rFonts w:hint="eastAsia" w:ascii="宋体" w:hAnsi="宋体"/>
                <w:color w:val="auto"/>
              </w:rPr>
              <w:t>备选方案</w:t>
            </w:r>
          </w:p>
        </w:tc>
        <w:tc>
          <w:tcPr>
            <w:tcW w:w="6879" w:type="dxa"/>
            <w:noWrap w:val="0"/>
            <w:vAlign w:val="center"/>
          </w:tcPr>
          <w:p>
            <w:pPr>
              <w:spacing w:line="300" w:lineRule="auto"/>
              <w:rPr>
                <w:rFonts w:ascii="宋体" w:hAnsi="宋体"/>
                <w:color w:val="auto"/>
              </w:rPr>
            </w:pPr>
            <w:r>
              <w:rPr>
                <w:rFonts w:hint="eastAsia" w:ascii="宋体" w:hAnsi="宋体"/>
                <w:color w:val="auto"/>
              </w:rPr>
              <w:t>不允许提交备选方案</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ascii="宋体" w:hAnsi="宋体"/>
                <w:color w:val="auto"/>
              </w:rPr>
            </w:pPr>
            <w:r>
              <w:rPr>
                <w:rFonts w:hint="eastAsia" w:ascii="宋体" w:hAnsi="宋体"/>
                <w:color w:val="auto"/>
              </w:rPr>
              <w:t>8</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19</w:t>
            </w:r>
          </w:p>
        </w:tc>
        <w:tc>
          <w:tcPr>
            <w:tcW w:w="1913" w:type="dxa"/>
            <w:noWrap w:val="0"/>
            <w:vAlign w:val="center"/>
          </w:tcPr>
          <w:p>
            <w:pPr>
              <w:spacing w:line="300" w:lineRule="auto"/>
              <w:jc w:val="center"/>
              <w:rPr>
                <w:rFonts w:ascii="宋体" w:hAnsi="宋体"/>
                <w:color w:val="auto"/>
              </w:rPr>
            </w:pPr>
            <w:r>
              <w:rPr>
                <w:rFonts w:hint="eastAsia" w:ascii="宋体" w:hAnsi="宋体"/>
                <w:color w:val="auto"/>
              </w:rPr>
              <w:t>联合体投标</w:t>
            </w:r>
          </w:p>
        </w:tc>
        <w:tc>
          <w:tcPr>
            <w:tcW w:w="6879" w:type="dxa"/>
            <w:noWrap w:val="0"/>
            <w:vAlign w:val="center"/>
          </w:tcPr>
          <w:p>
            <w:pPr>
              <w:spacing w:line="300" w:lineRule="auto"/>
              <w:rPr>
                <w:rFonts w:ascii="宋体" w:hAnsi="宋体"/>
                <w:color w:val="auto"/>
              </w:rPr>
            </w:pPr>
            <w:r>
              <w:rPr>
                <w:rFonts w:hint="eastAsia" w:ascii="宋体" w:hAnsi="宋体"/>
                <w:color w:val="auto"/>
              </w:rPr>
              <w:t>不允许联合体投标</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hint="eastAsia" w:ascii="宋体" w:hAnsi="宋体" w:eastAsia="宋体"/>
                <w:color w:val="auto"/>
                <w:lang w:val="en-US" w:eastAsia="zh-CN"/>
              </w:rPr>
            </w:pPr>
            <w:r>
              <w:rPr>
                <w:rFonts w:hint="eastAsia" w:ascii="宋体" w:hAnsi="宋体"/>
                <w:color w:val="auto"/>
                <w:lang w:val="en-US" w:eastAsia="zh-CN"/>
              </w:rPr>
              <w:t>9</w:t>
            </w:r>
          </w:p>
        </w:tc>
        <w:tc>
          <w:tcPr>
            <w:tcW w:w="901" w:type="dxa"/>
            <w:noWrap w:val="0"/>
            <w:vAlign w:val="center"/>
          </w:tcPr>
          <w:p>
            <w:pPr>
              <w:spacing w:line="30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21.3</w:t>
            </w:r>
          </w:p>
          <w:p>
            <w:pPr>
              <w:spacing w:line="300" w:lineRule="auto"/>
              <w:jc w:val="center"/>
              <w:rPr>
                <w:rFonts w:hint="eastAsia" w:ascii="宋体" w:hAnsi="宋体"/>
                <w:color w:val="auto"/>
              </w:rPr>
            </w:pPr>
            <w:r>
              <w:rPr>
                <w:rFonts w:hint="eastAsia" w:ascii="宋体" w:hAnsi="宋体"/>
                <w:color w:val="000000" w:themeColor="text1"/>
                <w14:textFill>
                  <w14:solidFill>
                    <w14:schemeClr w14:val="tx1"/>
                  </w14:solidFill>
                </w14:textFill>
              </w:rPr>
              <w:t>21.4</w:t>
            </w:r>
          </w:p>
        </w:tc>
        <w:tc>
          <w:tcPr>
            <w:tcW w:w="1913" w:type="dxa"/>
            <w:noWrap w:val="0"/>
            <w:vAlign w:val="center"/>
          </w:tcPr>
          <w:p>
            <w:pPr>
              <w:spacing w:line="300" w:lineRule="auto"/>
              <w:jc w:val="center"/>
              <w:rPr>
                <w:rFonts w:hint="eastAsia" w:ascii="宋体" w:hAnsi="宋体"/>
                <w:color w:val="auto"/>
              </w:rPr>
            </w:pPr>
            <w:r>
              <w:rPr>
                <w:rFonts w:hint="eastAsia" w:ascii="宋体" w:hAnsi="宋体"/>
                <w:color w:val="000000" w:themeColor="text1"/>
                <w14:textFill>
                  <w14:solidFill>
                    <w14:schemeClr w14:val="tx1"/>
                  </w14:solidFill>
                </w14:textFill>
              </w:rPr>
              <w:t>投标保证金</w:t>
            </w:r>
          </w:p>
        </w:tc>
        <w:tc>
          <w:tcPr>
            <w:tcW w:w="6879" w:type="dxa"/>
            <w:noWrap w:val="0"/>
            <w:vAlign w:val="center"/>
          </w:tcPr>
          <w:p>
            <w:pPr>
              <w:spacing w:line="300" w:lineRule="auto"/>
              <w:rPr>
                <w:rFonts w:hint="default" w:ascii="宋体" w:hAnsi="宋体" w:eastAsia="宋体"/>
                <w:color w:val="auto"/>
                <w:lang w:val="en-US" w:eastAsia="zh-CN"/>
              </w:rPr>
            </w:pPr>
            <w:r>
              <w:rPr>
                <w:rFonts w:hint="eastAsia" w:ascii="宋体" w:hAnsi="宋体"/>
                <w:color w:val="auto"/>
                <w:lang w:val="en-US" w:eastAsia="zh-CN"/>
              </w:rPr>
              <w:t>本项目不收取投标保证金</w:t>
            </w:r>
            <w:bookmarkStart w:id="98" w:name="_GoBack"/>
            <w:bookmarkEnd w:id="98"/>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hint="default" w:ascii="宋体" w:hAnsi="宋体" w:eastAsia="宋体"/>
                <w:color w:val="auto"/>
                <w:lang w:val="en-US" w:eastAsia="zh-CN"/>
              </w:rPr>
            </w:pPr>
            <w:r>
              <w:rPr>
                <w:rFonts w:hint="eastAsia" w:ascii="宋体" w:hAnsi="宋体"/>
                <w:color w:val="auto"/>
                <w:lang w:val="en-US" w:eastAsia="zh-CN"/>
              </w:rPr>
              <w:t>10</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22.2</w:t>
            </w:r>
          </w:p>
        </w:tc>
        <w:tc>
          <w:tcPr>
            <w:tcW w:w="1913" w:type="dxa"/>
            <w:noWrap w:val="0"/>
            <w:vAlign w:val="center"/>
          </w:tcPr>
          <w:p>
            <w:pPr>
              <w:spacing w:line="300" w:lineRule="auto"/>
              <w:jc w:val="center"/>
              <w:rPr>
                <w:rFonts w:ascii="宋体" w:hAnsi="宋体"/>
                <w:color w:val="auto"/>
              </w:rPr>
            </w:pPr>
            <w:r>
              <w:rPr>
                <w:rFonts w:hint="eastAsia" w:ascii="宋体" w:hAnsi="宋体"/>
                <w:color w:val="auto"/>
              </w:rPr>
              <w:t>投标有效期</w:t>
            </w:r>
          </w:p>
        </w:tc>
        <w:tc>
          <w:tcPr>
            <w:tcW w:w="6879" w:type="dxa"/>
            <w:noWrap w:val="0"/>
            <w:vAlign w:val="center"/>
          </w:tcPr>
          <w:p>
            <w:pPr>
              <w:spacing w:line="300" w:lineRule="auto"/>
              <w:rPr>
                <w:rFonts w:ascii="宋体" w:hAnsi="宋体"/>
                <w:color w:val="auto"/>
              </w:rPr>
            </w:pPr>
            <w:r>
              <w:rPr>
                <w:rFonts w:hint="eastAsia" w:ascii="宋体" w:hAnsi="宋体"/>
                <w:color w:val="auto"/>
              </w:rPr>
              <w:t>90天</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hint="eastAsia" w:ascii="宋体" w:hAnsi="宋体" w:eastAsia="宋体"/>
                <w:color w:val="auto"/>
                <w:lang w:eastAsia="zh-CN"/>
              </w:rPr>
            </w:pPr>
            <w:r>
              <w:rPr>
                <w:rFonts w:hint="eastAsia" w:ascii="宋体" w:hAnsi="宋体"/>
                <w:color w:val="auto"/>
              </w:rPr>
              <w:t>1</w:t>
            </w:r>
            <w:r>
              <w:rPr>
                <w:rFonts w:hint="eastAsia" w:ascii="宋体" w:hAnsi="宋体"/>
                <w:color w:val="auto"/>
                <w:lang w:val="en-US" w:eastAsia="zh-CN"/>
              </w:rPr>
              <w:t>1</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23.1</w:t>
            </w:r>
          </w:p>
        </w:tc>
        <w:tc>
          <w:tcPr>
            <w:tcW w:w="1913" w:type="dxa"/>
            <w:noWrap w:val="0"/>
            <w:vAlign w:val="center"/>
          </w:tcPr>
          <w:p>
            <w:pPr>
              <w:spacing w:line="300" w:lineRule="auto"/>
              <w:jc w:val="center"/>
              <w:rPr>
                <w:rFonts w:ascii="宋体" w:hAnsi="宋体"/>
                <w:color w:val="auto"/>
              </w:rPr>
            </w:pPr>
            <w:r>
              <w:rPr>
                <w:rFonts w:hint="eastAsia" w:ascii="宋体" w:hAnsi="宋体"/>
                <w:color w:val="auto"/>
                <w:szCs w:val="21"/>
                <w:lang w:val="zh-CN"/>
              </w:rPr>
              <w:t>投标文件数量</w:t>
            </w:r>
          </w:p>
        </w:tc>
        <w:tc>
          <w:tcPr>
            <w:tcW w:w="6879" w:type="dxa"/>
            <w:noWrap w:val="0"/>
            <w:vAlign w:val="center"/>
          </w:tcPr>
          <w:p>
            <w:pPr>
              <w:spacing w:line="300" w:lineRule="auto"/>
              <w:rPr>
                <w:rFonts w:ascii="宋体" w:hAnsi="宋体"/>
                <w:color w:val="auto"/>
                <w:szCs w:val="21"/>
              </w:rPr>
            </w:pPr>
            <w:r>
              <w:rPr>
                <w:rFonts w:hint="eastAsia" w:ascii="宋体" w:hAnsi="宋体"/>
                <w:color w:val="auto"/>
                <w:szCs w:val="21"/>
              </w:rPr>
              <w:t>投标文件正本1份、副本</w:t>
            </w:r>
            <w:r>
              <w:rPr>
                <w:rFonts w:ascii="宋体" w:hAnsi="宋体"/>
                <w:color w:val="auto"/>
                <w:szCs w:val="21"/>
              </w:rPr>
              <w:t>4</w:t>
            </w:r>
            <w:r>
              <w:rPr>
                <w:rFonts w:hint="eastAsia" w:ascii="宋体" w:hAnsi="宋体"/>
                <w:color w:val="auto"/>
                <w:szCs w:val="21"/>
              </w:rPr>
              <w:t>份、唱标信封1份（内含开标一览表1份、投标文件电子文件1份【拷贝至无病毒无密码的U盘或光盘的电子文件：按招标文件要求签署、盖章后的投标文件正本，扫描成PDF格式的电子文件】）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hint="eastAsia" w:ascii="宋体" w:hAnsi="宋体" w:eastAsia="宋体"/>
                <w:color w:val="auto"/>
                <w:lang w:eastAsia="zh-CN"/>
              </w:rPr>
            </w:pPr>
            <w:r>
              <w:rPr>
                <w:rFonts w:hint="eastAsia" w:ascii="宋体" w:hAnsi="宋体"/>
                <w:color w:val="auto"/>
              </w:rPr>
              <w:t>1</w:t>
            </w:r>
            <w:r>
              <w:rPr>
                <w:rFonts w:hint="eastAsia" w:ascii="宋体" w:hAnsi="宋体"/>
                <w:color w:val="auto"/>
                <w:lang w:val="en-US" w:eastAsia="zh-CN"/>
              </w:rPr>
              <w:t>2</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31.1</w:t>
            </w:r>
          </w:p>
        </w:tc>
        <w:tc>
          <w:tcPr>
            <w:tcW w:w="1913" w:type="dxa"/>
            <w:noWrap w:val="0"/>
            <w:vAlign w:val="center"/>
          </w:tcPr>
          <w:p>
            <w:pPr>
              <w:spacing w:line="300" w:lineRule="auto"/>
              <w:jc w:val="center"/>
              <w:rPr>
                <w:rFonts w:ascii="宋体" w:hAnsi="宋体"/>
                <w:color w:val="auto"/>
                <w:szCs w:val="21"/>
                <w:lang w:val="zh-CN"/>
              </w:rPr>
            </w:pPr>
            <w:r>
              <w:rPr>
                <w:rFonts w:hint="eastAsia" w:ascii="宋体" w:hAnsi="宋体"/>
                <w:color w:val="auto"/>
                <w:szCs w:val="21"/>
                <w:lang w:val="zh-CN"/>
              </w:rPr>
              <w:t>评标委员会组成</w:t>
            </w:r>
          </w:p>
        </w:tc>
        <w:tc>
          <w:tcPr>
            <w:tcW w:w="6879" w:type="dxa"/>
            <w:noWrap w:val="0"/>
            <w:vAlign w:val="center"/>
          </w:tcPr>
          <w:p>
            <w:pPr>
              <w:spacing w:line="300" w:lineRule="auto"/>
              <w:rPr>
                <w:rFonts w:ascii="宋体" w:hAnsi="宋体"/>
                <w:color w:val="auto"/>
                <w:szCs w:val="21"/>
              </w:rPr>
            </w:pPr>
            <w:r>
              <w:rPr>
                <w:rFonts w:hint="eastAsia" w:ascii="宋体" w:hAnsi="宋体"/>
                <w:color w:val="auto"/>
                <w:szCs w:val="21"/>
              </w:rPr>
              <w:t>评标委员会共由五人组成，由招标代理机构依法组建</w:t>
            </w:r>
            <w:r>
              <w:rPr>
                <w:rFonts w:hint="eastAsia" w:ascii="宋体" w:hAnsi="宋体"/>
                <w:color w:val="auto"/>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3" w:hRule="atLeast"/>
          <w:jc w:val="center"/>
        </w:trPr>
        <w:tc>
          <w:tcPr>
            <w:tcW w:w="613" w:type="dxa"/>
            <w:noWrap w:val="0"/>
            <w:vAlign w:val="center"/>
          </w:tcPr>
          <w:p>
            <w:pPr>
              <w:spacing w:line="300" w:lineRule="auto"/>
              <w:jc w:val="center"/>
              <w:rPr>
                <w:rFonts w:hint="eastAsia" w:ascii="宋体" w:hAnsi="宋体" w:eastAsia="宋体"/>
                <w:color w:val="auto"/>
                <w:lang w:eastAsia="zh-CN"/>
              </w:rPr>
            </w:pPr>
            <w:r>
              <w:rPr>
                <w:rFonts w:hint="eastAsia" w:ascii="宋体" w:hAnsi="宋体"/>
                <w:color w:val="auto"/>
                <w:lang w:val="en-US" w:eastAsia="zh-CN"/>
              </w:rPr>
              <w:t>13</w:t>
            </w:r>
          </w:p>
        </w:tc>
        <w:tc>
          <w:tcPr>
            <w:tcW w:w="901" w:type="dxa"/>
            <w:noWrap w:val="0"/>
            <w:vAlign w:val="center"/>
          </w:tcPr>
          <w:p>
            <w:pPr>
              <w:spacing w:line="300" w:lineRule="auto"/>
              <w:jc w:val="center"/>
              <w:rPr>
                <w:rFonts w:ascii="宋体" w:hAnsi="宋体"/>
                <w:color w:val="auto"/>
              </w:rPr>
            </w:pPr>
            <w:r>
              <w:rPr>
                <w:rFonts w:hint="eastAsia" w:ascii="宋体" w:hAnsi="宋体"/>
                <w:color w:val="auto"/>
              </w:rPr>
              <w:t>37.2</w:t>
            </w:r>
          </w:p>
        </w:tc>
        <w:tc>
          <w:tcPr>
            <w:tcW w:w="1913" w:type="dxa"/>
            <w:noWrap w:val="0"/>
            <w:vAlign w:val="center"/>
          </w:tcPr>
          <w:p>
            <w:pPr>
              <w:spacing w:line="300" w:lineRule="auto"/>
              <w:jc w:val="center"/>
              <w:rPr>
                <w:rFonts w:hint="eastAsia" w:ascii="宋体" w:hAnsi="宋体"/>
                <w:color w:val="auto"/>
                <w:szCs w:val="21"/>
                <w:lang w:val="zh-CN"/>
              </w:rPr>
            </w:pPr>
            <w:r>
              <w:rPr>
                <w:rFonts w:hint="eastAsia" w:ascii="宋体" w:hAnsi="宋体"/>
                <w:color w:val="auto"/>
                <w:szCs w:val="21"/>
                <w:lang w:val="zh-CN"/>
              </w:rPr>
              <w:t>中标候选人</w:t>
            </w:r>
          </w:p>
          <w:p>
            <w:pPr>
              <w:spacing w:line="300" w:lineRule="auto"/>
              <w:jc w:val="center"/>
              <w:rPr>
                <w:rFonts w:ascii="宋体" w:hAnsi="宋体"/>
                <w:color w:val="auto"/>
                <w:szCs w:val="21"/>
                <w:lang w:val="zh-CN"/>
              </w:rPr>
            </w:pPr>
            <w:r>
              <w:rPr>
                <w:rFonts w:hint="eastAsia" w:ascii="宋体" w:hAnsi="宋体"/>
                <w:color w:val="auto"/>
                <w:szCs w:val="21"/>
                <w:lang w:val="zh-CN"/>
              </w:rPr>
              <w:t>推荐数量</w:t>
            </w:r>
          </w:p>
        </w:tc>
        <w:tc>
          <w:tcPr>
            <w:tcW w:w="6879" w:type="dxa"/>
            <w:noWrap w:val="0"/>
            <w:vAlign w:val="center"/>
          </w:tcPr>
          <w:p>
            <w:pPr>
              <w:spacing w:line="300" w:lineRule="auto"/>
              <w:rPr>
                <w:rFonts w:ascii="宋体" w:hAnsi="宋体"/>
                <w:color w:val="auto"/>
                <w:szCs w:val="21"/>
              </w:rPr>
            </w:pPr>
            <w:r>
              <w:rPr>
                <w:rFonts w:hint="eastAsia" w:ascii="宋体" w:hAnsi="宋体"/>
                <w:color w:val="auto"/>
              </w:rPr>
              <w:t>评标委员会推荐2名中标候选人。</w:t>
            </w:r>
          </w:p>
        </w:tc>
      </w:tr>
    </w:tbl>
    <w:p>
      <w:pPr>
        <w:spacing w:line="360" w:lineRule="auto"/>
        <w:jc w:val="center"/>
        <w:rPr>
          <w:rFonts w:ascii="宋体" w:hAnsi="宋体"/>
          <w:b/>
          <w:bCs/>
          <w:color w:val="auto"/>
          <w:sz w:val="36"/>
          <w:szCs w:val="36"/>
        </w:rPr>
      </w:pPr>
      <w:r>
        <w:rPr>
          <w:rFonts w:ascii="宋体" w:hAnsi="宋体"/>
          <w:b/>
          <w:bCs/>
          <w:color w:val="auto"/>
          <w:sz w:val="36"/>
          <w:szCs w:val="36"/>
        </w:rPr>
        <w:br w:type="page"/>
      </w:r>
      <w:r>
        <w:rPr>
          <w:rFonts w:hint="eastAsia" w:ascii="宋体" w:hAnsi="宋体"/>
          <w:b/>
          <w:bCs/>
          <w:color w:val="auto"/>
          <w:sz w:val="36"/>
          <w:szCs w:val="36"/>
        </w:rPr>
        <w:t>投  标  须  知</w:t>
      </w:r>
    </w:p>
    <w:p>
      <w:pPr>
        <w:numPr>
          <w:ilvl w:val="0"/>
          <w:numId w:val="10"/>
        </w:numPr>
        <w:spacing w:line="360" w:lineRule="auto"/>
        <w:jc w:val="center"/>
        <w:outlineLvl w:val="1"/>
        <w:rPr>
          <w:rFonts w:ascii="宋体" w:hAnsi="宋体"/>
          <w:b/>
          <w:bCs/>
          <w:color w:val="auto"/>
          <w:sz w:val="30"/>
          <w:szCs w:val="30"/>
        </w:rPr>
      </w:pPr>
      <w:bookmarkStart w:id="27" w:name="_Toc385940877"/>
      <w:r>
        <w:rPr>
          <w:rFonts w:hint="eastAsia" w:ascii="宋体" w:hAnsi="宋体"/>
          <w:b/>
          <w:bCs/>
          <w:color w:val="auto"/>
          <w:sz w:val="30"/>
          <w:szCs w:val="30"/>
        </w:rPr>
        <w:t>总   则</w:t>
      </w:r>
      <w:bookmarkEnd w:id="27"/>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说明</w:t>
      </w:r>
    </w:p>
    <w:p>
      <w:pPr>
        <w:numPr>
          <w:ilvl w:val="1"/>
          <w:numId w:val="10"/>
        </w:numPr>
        <w:spacing w:line="360" w:lineRule="auto"/>
        <w:rPr>
          <w:rFonts w:ascii="宋体" w:hAnsi="宋体"/>
          <w:color w:val="auto"/>
        </w:rPr>
      </w:pPr>
      <w:r>
        <w:rPr>
          <w:rFonts w:hint="eastAsia" w:ascii="宋体" w:hAnsi="宋体"/>
          <w:color w:val="auto"/>
        </w:rPr>
        <w:t>本招标文件适用于本投标邀请中所述项目的招标项目。</w:t>
      </w:r>
    </w:p>
    <w:p>
      <w:pPr>
        <w:numPr>
          <w:ilvl w:val="1"/>
          <w:numId w:val="10"/>
        </w:numPr>
        <w:spacing w:line="360" w:lineRule="auto"/>
        <w:rPr>
          <w:rFonts w:ascii="宋体" w:hAnsi="宋体"/>
          <w:color w:val="auto"/>
        </w:rPr>
      </w:pPr>
      <w:r>
        <w:rPr>
          <w:rFonts w:hint="eastAsia" w:ascii="宋体" w:hAnsi="宋体"/>
          <w:color w:val="auto"/>
        </w:rPr>
        <w:t>资金来源：详见《投标须知前附表》。</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定义</w:t>
      </w:r>
    </w:p>
    <w:p>
      <w:pPr>
        <w:numPr>
          <w:ilvl w:val="0"/>
          <w:numId w:val="12"/>
        </w:numPr>
        <w:spacing w:line="360" w:lineRule="auto"/>
        <w:rPr>
          <w:rFonts w:ascii="宋体" w:hAnsi="宋体"/>
          <w:color w:val="auto"/>
        </w:rPr>
      </w:pPr>
      <w:r>
        <w:rPr>
          <w:rFonts w:hint="eastAsia" w:ascii="宋体" w:hAnsi="宋体"/>
          <w:color w:val="auto"/>
        </w:rPr>
        <w:t>“招标人”是指：详见《投标须知前附表》。</w:t>
      </w:r>
    </w:p>
    <w:p>
      <w:pPr>
        <w:numPr>
          <w:ilvl w:val="0"/>
          <w:numId w:val="12"/>
        </w:numPr>
        <w:spacing w:line="360" w:lineRule="auto"/>
        <w:rPr>
          <w:rFonts w:ascii="宋体" w:hAnsi="宋体"/>
          <w:color w:val="auto"/>
        </w:rPr>
      </w:pPr>
      <w:r>
        <w:rPr>
          <w:rFonts w:hint="eastAsia" w:ascii="宋体" w:hAnsi="宋体"/>
          <w:color w:val="auto"/>
        </w:rPr>
        <w:t>“招标代理机构”是指：广东中程招标代理有限公司。</w:t>
      </w:r>
    </w:p>
    <w:p>
      <w:pPr>
        <w:numPr>
          <w:ilvl w:val="0"/>
          <w:numId w:val="12"/>
        </w:numPr>
        <w:spacing w:line="360" w:lineRule="auto"/>
        <w:rPr>
          <w:rFonts w:ascii="宋体" w:hAnsi="宋体"/>
          <w:color w:val="auto"/>
        </w:rPr>
      </w:pPr>
      <w:r>
        <w:rPr>
          <w:rFonts w:hint="eastAsia" w:ascii="宋体" w:hAnsi="宋体"/>
          <w:color w:val="auto"/>
        </w:rPr>
        <w:t xml:space="preserve">合格的投标人 </w:t>
      </w:r>
    </w:p>
    <w:p>
      <w:pPr>
        <w:numPr>
          <w:ilvl w:val="1"/>
          <w:numId w:val="12"/>
        </w:numPr>
        <w:tabs>
          <w:tab w:val="left" w:pos="945"/>
        </w:tabs>
        <w:spacing w:line="360" w:lineRule="auto"/>
        <w:rPr>
          <w:rFonts w:ascii="宋体" w:hAnsi="宋体"/>
          <w:color w:val="auto"/>
        </w:rPr>
      </w:pPr>
      <w:r>
        <w:rPr>
          <w:rFonts w:hint="eastAsia" w:ascii="宋体" w:hAnsi="宋体"/>
          <w:color w:val="auto"/>
        </w:rPr>
        <w:t>合格投标人的条件详见《投标邀请》的“投标人资格要求”。</w:t>
      </w:r>
    </w:p>
    <w:p>
      <w:pPr>
        <w:numPr>
          <w:ilvl w:val="0"/>
          <w:numId w:val="12"/>
        </w:numPr>
        <w:spacing w:line="360" w:lineRule="auto"/>
        <w:rPr>
          <w:rFonts w:ascii="宋体" w:hAnsi="宋体"/>
          <w:color w:val="auto"/>
        </w:rPr>
      </w:pPr>
      <w:r>
        <w:rPr>
          <w:rFonts w:hint="eastAsia" w:ascii="宋体" w:hAnsi="宋体"/>
          <w:color w:val="auto"/>
        </w:rPr>
        <w:t>“中标人”是指经法定程序确定并授予合同的投标人。</w:t>
      </w:r>
    </w:p>
    <w:p>
      <w:pPr>
        <w:numPr>
          <w:ilvl w:val="0"/>
          <w:numId w:val="12"/>
        </w:numPr>
        <w:spacing w:line="360" w:lineRule="auto"/>
        <w:rPr>
          <w:rFonts w:ascii="宋体" w:hAnsi="宋体"/>
          <w:color w:val="auto"/>
        </w:rPr>
      </w:pPr>
      <w:r>
        <w:rPr>
          <w:rFonts w:hint="eastAsia" w:ascii="宋体" w:hAnsi="宋体"/>
          <w:color w:val="auto"/>
        </w:rPr>
        <w:t>“甲方”是指招标人。</w:t>
      </w:r>
    </w:p>
    <w:p>
      <w:pPr>
        <w:numPr>
          <w:ilvl w:val="0"/>
          <w:numId w:val="12"/>
        </w:numPr>
        <w:spacing w:line="360" w:lineRule="auto"/>
        <w:rPr>
          <w:rFonts w:ascii="宋体" w:hAnsi="宋体"/>
          <w:color w:val="auto"/>
        </w:rPr>
      </w:pPr>
      <w:r>
        <w:rPr>
          <w:rFonts w:hint="eastAsia" w:ascii="宋体" w:hAnsi="宋体"/>
          <w:color w:val="auto"/>
        </w:rPr>
        <w:t>“乙方”是指中标人。</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遵循原则</w:t>
      </w:r>
    </w:p>
    <w:p>
      <w:pPr>
        <w:numPr>
          <w:ilvl w:val="0"/>
          <w:numId w:val="13"/>
        </w:numPr>
        <w:spacing w:line="360" w:lineRule="auto"/>
        <w:rPr>
          <w:rFonts w:ascii="宋体" w:hAnsi="宋体"/>
          <w:color w:val="auto"/>
        </w:rPr>
      </w:pPr>
      <w:r>
        <w:rPr>
          <w:rFonts w:hint="eastAsia" w:ascii="宋体" w:hAnsi="宋体"/>
          <w:color w:val="auto"/>
        </w:rPr>
        <w:t>遵循公开、公平、公正和诚实信用的原则。</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合格的货物和服务</w:t>
      </w:r>
    </w:p>
    <w:p>
      <w:pPr>
        <w:numPr>
          <w:ilvl w:val="0"/>
          <w:numId w:val="14"/>
        </w:numPr>
        <w:spacing w:line="360" w:lineRule="auto"/>
        <w:rPr>
          <w:rFonts w:ascii="宋体" w:hAnsi="宋体"/>
          <w:color w:val="auto"/>
        </w:rPr>
      </w:pPr>
      <w:r>
        <w:rPr>
          <w:rFonts w:hint="eastAsia" w:ascii="宋体" w:hAnsi="宋体"/>
          <w:color w:val="auto"/>
        </w:rPr>
        <w:t>“货物”是指投标人制造或组织符合招标文件要求的货物等。投标的货物必须是其合法生产的符合国家有关标准要求的货物，并满足招标文件规定的规格、参数、质量、价格、有效期、售后服务等要求。</w:t>
      </w:r>
    </w:p>
    <w:p>
      <w:pPr>
        <w:numPr>
          <w:ilvl w:val="0"/>
          <w:numId w:val="14"/>
        </w:numPr>
        <w:spacing w:line="360" w:lineRule="auto"/>
        <w:rPr>
          <w:rFonts w:ascii="宋体" w:hAnsi="宋体"/>
          <w:color w:val="auto"/>
        </w:rPr>
      </w:pPr>
      <w:r>
        <w:rPr>
          <w:rFonts w:hint="eastAsia" w:ascii="宋体" w:hAnsi="宋体"/>
          <w:color w:val="auto"/>
        </w:rPr>
        <w:t>“服务”是指除货物和工程以外的其他采购对象，其中包括：投标人须承担的运输、安装、技术支持、培训以及招标文件规定的其它服务。</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投标费用</w:t>
      </w:r>
    </w:p>
    <w:p>
      <w:pPr>
        <w:numPr>
          <w:ilvl w:val="0"/>
          <w:numId w:val="15"/>
        </w:numPr>
        <w:spacing w:line="360" w:lineRule="auto"/>
        <w:rPr>
          <w:rFonts w:ascii="宋体" w:hAnsi="宋体"/>
          <w:color w:val="auto"/>
        </w:rPr>
      </w:pPr>
      <w:r>
        <w:rPr>
          <w:rFonts w:hint="eastAsia" w:ascii="宋体" w:hAnsi="宋体"/>
          <w:color w:val="auto"/>
        </w:rPr>
        <w:t>投标人应承担所有与准备和参加投标有关的费用。不论投标的结果如何，招标代理机构和招标人均无义务和责任承担这些费用。</w:t>
      </w:r>
    </w:p>
    <w:p>
      <w:pPr>
        <w:numPr>
          <w:ilvl w:val="0"/>
          <w:numId w:val="15"/>
        </w:numPr>
        <w:spacing w:line="360" w:lineRule="auto"/>
        <w:rPr>
          <w:rFonts w:ascii="宋体" w:hAnsi="宋体"/>
          <w:color w:val="auto"/>
        </w:rPr>
      </w:pPr>
      <w:r>
        <w:rPr>
          <w:rFonts w:hint="eastAsia" w:ascii="宋体" w:hAnsi="宋体"/>
          <w:color w:val="auto"/>
        </w:rPr>
        <w:t>招标代理服务费</w:t>
      </w:r>
    </w:p>
    <w:p>
      <w:pPr>
        <w:numPr>
          <w:ilvl w:val="0"/>
          <w:numId w:val="16"/>
        </w:numPr>
        <w:tabs>
          <w:tab w:val="left" w:pos="945"/>
        </w:tabs>
        <w:spacing w:line="360" w:lineRule="auto"/>
        <w:rPr>
          <w:rFonts w:ascii="宋体" w:hAnsi="宋体"/>
          <w:color w:val="auto"/>
        </w:rPr>
      </w:pPr>
      <w:r>
        <w:rPr>
          <w:rFonts w:hint="eastAsia" w:ascii="宋体" w:hAnsi="宋体"/>
          <w:color w:val="auto"/>
        </w:rPr>
        <w:t>本次招标代理服务费由《投标须知前附表》中所述的交纳人及交纳金额向招标代理机构一次性交纳。</w:t>
      </w:r>
    </w:p>
    <w:p>
      <w:pPr>
        <w:numPr>
          <w:ilvl w:val="0"/>
          <w:numId w:val="16"/>
        </w:numPr>
        <w:tabs>
          <w:tab w:val="left" w:pos="945"/>
        </w:tabs>
        <w:spacing w:line="360" w:lineRule="auto"/>
        <w:rPr>
          <w:rFonts w:ascii="宋体" w:hAnsi="宋体"/>
          <w:color w:val="auto"/>
        </w:rPr>
      </w:pPr>
      <w:r>
        <w:rPr>
          <w:rFonts w:hint="eastAsia" w:ascii="宋体" w:hAnsi="宋体"/>
          <w:color w:val="auto"/>
        </w:rPr>
        <w:t>招标代理服务费币种：人民币。</w:t>
      </w:r>
    </w:p>
    <w:p>
      <w:pPr>
        <w:numPr>
          <w:ilvl w:val="3"/>
          <w:numId w:val="11"/>
        </w:numPr>
        <w:tabs>
          <w:tab w:val="center" w:pos="210"/>
          <w:tab w:val="center" w:pos="420"/>
          <w:tab w:val="center" w:pos="630"/>
        </w:tabs>
        <w:spacing w:line="360" w:lineRule="auto"/>
        <w:outlineLvl w:val="2"/>
        <w:rPr>
          <w:rFonts w:ascii="宋体" w:hAnsi="宋体"/>
          <w:b/>
          <w:bCs/>
          <w:color w:val="auto"/>
        </w:rPr>
      </w:pPr>
      <w:bookmarkStart w:id="28" w:name="_Toc134956121"/>
      <w:r>
        <w:rPr>
          <w:rFonts w:hint="eastAsia" w:ascii="宋体" w:hAnsi="宋体"/>
          <w:b/>
          <w:bCs/>
          <w:color w:val="auto"/>
        </w:rPr>
        <w:t>知识产权</w:t>
      </w:r>
      <w:bookmarkEnd w:id="28"/>
    </w:p>
    <w:p>
      <w:pPr>
        <w:numPr>
          <w:ilvl w:val="0"/>
          <w:numId w:val="17"/>
        </w:numPr>
        <w:spacing w:line="360" w:lineRule="auto"/>
        <w:ind w:left="454" w:hanging="341"/>
        <w:rPr>
          <w:rFonts w:ascii="宋体" w:hAnsi="宋体"/>
          <w:color w:val="auto"/>
        </w:rPr>
      </w:pPr>
      <w:r>
        <w:rPr>
          <w:rFonts w:hint="eastAsia" w:ascii="宋体" w:hAnsi="宋体"/>
          <w:color w:val="auto"/>
        </w:rPr>
        <w:t>投标人必须保证，招标人在中华人民共和国境内使用投标货物、资料、技术、服务或其任何一部分时，享有不受限制的无偿使用权，如有第三方向招标人提出侵犯其专利权、商标权或其它知识产权的主张，该责任应由投标人承担。</w:t>
      </w:r>
    </w:p>
    <w:p>
      <w:pPr>
        <w:numPr>
          <w:ilvl w:val="0"/>
          <w:numId w:val="17"/>
        </w:numPr>
        <w:spacing w:line="360" w:lineRule="auto"/>
        <w:ind w:left="454" w:hanging="341"/>
        <w:rPr>
          <w:rFonts w:ascii="宋体" w:hAnsi="宋体"/>
          <w:color w:val="auto"/>
        </w:rPr>
      </w:pPr>
      <w:r>
        <w:rPr>
          <w:rFonts w:hint="eastAsia" w:ascii="宋体" w:hAnsi="宋体"/>
          <w:color w:val="auto"/>
        </w:rPr>
        <w:t>投标报价应包含所有应向所有权人支付的专利权、商标权或其它知识产权的一切相关费用。</w:t>
      </w:r>
    </w:p>
    <w:p>
      <w:pPr>
        <w:numPr>
          <w:ilvl w:val="0"/>
          <w:numId w:val="17"/>
        </w:numPr>
        <w:spacing w:line="360" w:lineRule="auto"/>
        <w:ind w:left="454" w:hanging="341"/>
        <w:rPr>
          <w:rFonts w:ascii="宋体" w:hAnsi="宋体"/>
          <w:color w:val="auto"/>
        </w:rPr>
      </w:pPr>
      <w:r>
        <w:rPr>
          <w:rFonts w:hint="eastAsia" w:ascii="宋体" w:hAnsi="宋体"/>
          <w:color w:val="auto"/>
        </w:rPr>
        <w:t>系统软件、通用软件必须是具有在中国境内的合法使用权或版权的正版软件，涉及到第三方提出侵权或知识产权的起诉及支付版税等费用由投标人承担所有责任及费用。</w:t>
      </w:r>
    </w:p>
    <w:p>
      <w:pPr>
        <w:numPr>
          <w:ilvl w:val="3"/>
          <w:numId w:val="11"/>
        </w:numPr>
        <w:tabs>
          <w:tab w:val="center" w:pos="210"/>
          <w:tab w:val="center" w:pos="420"/>
          <w:tab w:val="center" w:pos="630"/>
        </w:tabs>
        <w:spacing w:line="360" w:lineRule="auto"/>
        <w:outlineLvl w:val="2"/>
        <w:rPr>
          <w:rFonts w:ascii="宋体" w:hAnsi="宋体"/>
          <w:b/>
          <w:bCs/>
          <w:color w:val="auto"/>
        </w:rPr>
      </w:pPr>
      <w:bookmarkStart w:id="29" w:name="_Toc101951247"/>
      <w:bookmarkStart w:id="30" w:name="_Toc101843114"/>
      <w:bookmarkStart w:id="31" w:name="_Toc98580278"/>
      <w:bookmarkStart w:id="32" w:name="_Toc42394501"/>
      <w:bookmarkStart w:id="33" w:name="_Toc98579595"/>
      <w:bookmarkStart w:id="34" w:name="_Toc134956122"/>
      <w:bookmarkStart w:id="35" w:name="_Toc98579054"/>
      <w:bookmarkStart w:id="36" w:name="_Toc41723918"/>
      <w:bookmarkStart w:id="37" w:name="_Toc41884688"/>
      <w:bookmarkStart w:id="38" w:name="_Toc101771361"/>
      <w:bookmarkStart w:id="39" w:name="_Toc101775114"/>
      <w:bookmarkStart w:id="40" w:name="_Toc42313156"/>
      <w:bookmarkStart w:id="41" w:name="_Toc42394658"/>
      <w:bookmarkStart w:id="42" w:name="_Toc98578996"/>
      <w:bookmarkStart w:id="43" w:name="_Toc50276142"/>
      <w:r>
        <w:rPr>
          <w:rFonts w:hint="eastAsia" w:ascii="宋体" w:hAnsi="宋体"/>
          <w:b/>
          <w:bCs/>
          <w:color w:val="auto"/>
        </w:rPr>
        <w:t>纪律与保密事项</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numPr>
          <w:ilvl w:val="0"/>
          <w:numId w:val="18"/>
        </w:numPr>
        <w:spacing w:line="360" w:lineRule="auto"/>
        <w:ind w:left="454" w:hanging="341"/>
        <w:rPr>
          <w:rFonts w:ascii="宋体" w:hAnsi="宋体"/>
          <w:color w:val="auto"/>
        </w:rPr>
      </w:pPr>
      <w:r>
        <w:rPr>
          <w:rFonts w:hint="eastAsia" w:ascii="宋体" w:hAnsi="宋体"/>
          <w:color w:val="auto"/>
        </w:rPr>
        <w:t>投标人不得相互串通投标报价，不得妨碍其他投标人的公平竞争，不得损害招标人或其他投标人的合法权益，投标人不得以向招标人、评标委员会成员行贿或者采取其他不正当手段谋取中标。</w:t>
      </w:r>
    </w:p>
    <w:p>
      <w:pPr>
        <w:numPr>
          <w:ilvl w:val="0"/>
          <w:numId w:val="18"/>
        </w:numPr>
        <w:spacing w:line="360" w:lineRule="auto"/>
        <w:ind w:left="454" w:hanging="341"/>
        <w:rPr>
          <w:rFonts w:hint="eastAsia" w:ascii="宋体" w:hAnsi="宋体"/>
          <w:color w:val="auto"/>
        </w:rPr>
      </w:pPr>
      <w:r>
        <w:rPr>
          <w:rFonts w:hint="eastAsia" w:ascii="宋体" w:hAnsi="宋体"/>
          <w:color w:val="auto"/>
        </w:rPr>
        <w:t>在确定中标人之前，投标人不得与招标人就投标价格、投标方案等实质性内容进行谈判，也不得私下接触评标委员会成员。</w:t>
      </w:r>
    </w:p>
    <w:p>
      <w:pPr>
        <w:numPr>
          <w:ilvl w:val="0"/>
          <w:numId w:val="18"/>
        </w:numPr>
        <w:spacing w:line="360" w:lineRule="auto"/>
        <w:ind w:left="454" w:hanging="341"/>
        <w:rPr>
          <w:rFonts w:hint="eastAsia" w:ascii="宋体" w:hAnsi="宋体"/>
          <w:color w:val="auto"/>
        </w:rPr>
      </w:pPr>
      <w:r>
        <w:rPr>
          <w:rFonts w:hint="eastAsia" w:ascii="宋体" w:hAnsi="宋体"/>
          <w:color w:val="auto"/>
        </w:rPr>
        <w:t>在确定中标人之前，投标人试图在投标文件审查、澄清、比较和评价时对评标委员会、招标人和招标代理机构施加任何影响都可能导致其投标无效。</w:t>
      </w:r>
    </w:p>
    <w:p>
      <w:pPr>
        <w:numPr>
          <w:ilvl w:val="0"/>
          <w:numId w:val="18"/>
        </w:numPr>
        <w:spacing w:line="360" w:lineRule="auto"/>
        <w:ind w:left="454" w:hanging="341"/>
        <w:rPr>
          <w:rFonts w:hint="eastAsia" w:ascii="宋体" w:hAnsi="宋体"/>
          <w:color w:val="auto"/>
        </w:rPr>
      </w:pPr>
      <w:r>
        <w:rPr>
          <w:rFonts w:hint="eastAsia" w:ascii="宋体" w:hAnsi="宋体"/>
          <w:color w:val="auto"/>
        </w:rPr>
        <w:t>获得本招标文件者，不得将招标文件用作本次投标以外的任何用途。如有要求，开标后，投标人应归还招标文件中的保密文件和资料。</w:t>
      </w:r>
    </w:p>
    <w:p>
      <w:pPr>
        <w:numPr>
          <w:ilvl w:val="0"/>
          <w:numId w:val="18"/>
        </w:numPr>
        <w:spacing w:line="360" w:lineRule="auto"/>
        <w:ind w:left="454" w:hanging="341"/>
        <w:rPr>
          <w:rFonts w:hint="eastAsia" w:ascii="宋体" w:hAnsi="宋体"/>
          <w:color w:val="auto"/>
        </w:rPr>
      </w:pPr>
      <w:r>
        <w:rPr>
          <w:rFonts w:hint="eastAsia" w:ascii="宋体" w:hAnsi="宋体"/>
          <w:color w:val="auto"/>
        </w:rPr>
        <w:t>由招标人向投标人提供的图纸、详细资料、样品、模型、模件和所有其它资料，均为保密资料，仅被用于它所规定的用途。除非得到招标人的同意，不能向任何第三方透露。开标结束后，应招标人要求，投标人应归还所有从招标人处获得的保密资料。</w:t>
      </w:r>
    </w:p>
    <w:p>
      <w:pPr>
        <w:numPr>
          <w:ilvl w:val="0"/>
          <w:numId w:val="18"/>
        </w:numPr>
        <w:spacing w:line="360" w:lineRule="auto"/>
        <w:ind w:left="454" w:hanging="341"/>
        <w:rPr>
          <w:rFonts w:hint="eastAsia" w:ascii="宋体" w:hAnsi="宋体"/>
          <w:color w:val="auto"/>
        </w:rPr>
      </w:pPr>
      <w:r>
        <w:rPr>
          <w:rFonts w:hint="eastAsia" w:ascii="&amp;quot" w:hAnsi="&amp;quot" w:cs="宋体"/>
          <w:color w:val="auto"/>
          <w:kern w:val="0"/>
          <w:szCs w:val="21"/>
        </w:rPr>
        <w:t>投标人之间不得有下列情形：</w:t>
      </w:r>
    </w:p>
    <w:p>
      <w:pPr>
        <w:widowControl/>
        <w:numPr>
          <w:ilvl w:val="0"/>
          <w:numId w:val="19"/>
        </w:numPr>
        <w:spacing w:line="360" w:lineRule="auto"/>
        <w:jc w:val="left"/>
        <w:rPr>
          <w:rFonts w:hint="eastAsia" w:ascii="&amp;quot" w:hAnsi="&amp;quot" w:cs="宋体"/>
          <w:color w:val="auto"/>
          <w:kern w:val="0"/>
          <w:szCs w:val="21"/>
        </w:rPr>
      </w:pPr>
      <w:r>
        <w:rPr>
          <w:rFonts w:hint="eastAsia" w:ascii="&amp;quot" w:hAnsi="&amp;quot" w:cs="宋体"/>
          <w:color w:val="auto"/>
          <w:kern w:val="0"/>
          <w:szCs w:val="21"/>
        </w:rPr>
        <w:t>不同投标人编制的投标文件的实质性内容存在两处以上细节错误一致；</w:t>
      </w:r>
    </w:p>
    <w:p>
      <w:pPr>
        <w:widowControl/>
        <w:numPr>
          <w:ilvl w:val="0"/>
          <w:numId w:val="19"/>
        </w:numPr>
        <w:spacing w:line="360" w:lineRule="auto"/>
        <w:jc w:val="left"/>
        <w:rPr>
          <w:rFonts w:ascii="&amp;quot" w:hAnsi="&amp;quot" w:cs="宋体"/>
          <w:color w:val="auto"/>
          <w:kern w:val="0"/>
          <w:szCs w:val="21"/>
        </w:rPr>
      </w:pPr>
      <w:r>
        <w:rPr>
          <w:rFonts w:hint="eastAsia" w:ascii="&amp;quot" w:hAnsi="&amp;quot" w:cs="宋体"/>
          <w:color w:val="auto"/>
          <w:kern w:val="0"/>
          <w:szCs w:val="21"/>
        </w:rPr>
        <w:t>不同投标人的投标文件由同一电子设备编制、打包加密或者上传，不同投标人的投标文件由同一投标人的电子设备打印、复印；</w:t>
      </w:r>
    </w:p>
    <w:p>
      <w:pPr>
        <w:widowControl/>
        <w:numPr>
          <w:ilvl w:val="0"/>
          <w:numId w:val="19"/>
        </w:numPr>
        <w:spacing w:line="360" w:lineRule="auto"/>
        <w:jc w:val="left"/>
        <w:rPr>
          <w:rFonts w:ascii="&amp;quot" w:hAnsi="&amp;quot" w:cs="宋体"/>
          <w:color w:val="auto"/>
          <w:kern w:val="0"/>
          <w:szCs w:val="21"/>
        </w:rPr>
      </w:pPr>
      <w:r>
        <w:rPr>
          <w:rFonts w:hint="eastAsia" w:ascii="&amp;quot" w:hAnsi="&amp;quot" w:cs="宋体"/>
          <w:color w:val="auto"/>
          <w:kern w:val="0"/>
          <w:szCs w:val="21"/>
        </w:rPr>
        <w:t>不同投标人的投标文件由同一投标人送达或者分发；</w:t>
      </w:r>
    </w:p>
    <w:p>
      <w:pPr>
        <w:widowControl/>
        <w:numPr>
          <w:ilvl w:val="0"/>
          <w:numId w:val="19"/>
        </w:numPr>
        <w:spacing w:line="360" w:lineRule="auto"/>
        <w:jc w:val="left"/>
        <w:rPr>
          <w:rFonts w:ascii="&amp;quot" w:hAnsi="&amp;quot" w:cs="宋体"/>
          <w:color w:val="auto"/>
          <w:kern w:val="0"/>
          <w:szCs w:val="21"/>
        </w:rPr>
      </w:pPr>
      <w:r>
        <w:rPr>
          <w:rFonts w:hint="eastAsia" w:ascii="&amp;quot" w:hAnsi="&amp;quot" w:cs="宋体"/>
          <w:color w:val="auto"/>
          <w:kern w:val="0"/>
          <w:szCs w:val="21"/>
        </w:rPr>
        <w:t>参加投标活动的人员为同一标段其他投标人的在职人员；</w:t>
      </w:r>
    </w:p>
    <w:p>
      <w:pPr>
        <w:widowControl/>
        <w:numPr>
          <w:ilvl w:val="0"/>
          <w:numId w:val="19"/>
        </w:numPr>
        <w:spacing w:line="360" w:lineRule="auto"/>
        <w:jc w:val="left"/>
        <w:rPr>
          <w:rFonts w:ascii="&amp;quot" w:hAnsi="&amp;quot" w:cs="宋体"/>
          <w:color w:val="auto"/>
          <w:kern w:val="0"/>
          <w:szCs w:val="21"/>
        </w:rPr>
      </w:pPr>
      <w:r>
        <w:rPr>
          <w:rFonts w:hint="eastAsia" w:ascii="&amp;quot" w:hAnsi="&amp;quot" w:cs="宋体"/>
          <w:color w:val="auto"/>
          <w:kern w:val="0"/>
          <w:szCs w:val="21"/>
        </w:rPr>
        <w:t>不同投标人的投标保证金从投标人各自的基本账户转出，但是，所需资金来自同一单位或者个人账户；</w:t>
      </w:r>
    </w:p>
    <w:p>
      <w:pPr>
        <w:numPr>
          <w:ilvl w:val="0"/>
          <w:numId w:val="20"/>
        </w:numPr>
        <w:tabs>
          <w:tab w:val="left" w:pos="0"/>
        </w:tabs>
        <w:spacing w:line="360" w:lineRule="auto"/>
        <w:ind w:left="454" w:hanging="341"/>
        <w:rPr>
          <w:rFonts w:ascii="宋体" w:hAnsi="宋体"/>
          <w:color w:val="auto"/>
        </w:rPr>
      </w:pPr>
      <w:r>
        <w:rPr>
          <w:rFonts w:hint="eastAsia" w:ascii="&amp;quot" w:hAnsi="&amp;quot" w:cs="宋体"/>
          <w:color w:val="auto"/>
          <w:kern w:val="0"/>
          <w:szCs w:val="21"/>
        </w:rPr>
        <w:t>法律、行政法规规定的其他禁止情形。</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关于关联企业</w:t>
      </w:r>
    </w:p>
    <w:p>
      <w:pPr>
        <w:numPr>
          <w:ilvl w:val="0"/>
          <w:numId w:val="21"/>
        </w:numPr>
        <w:spacing w:line="360" w:lineRule="auto"/>
        <w:ind w:left="454" w:hanging="341"/>
        <w:rPr>
          <w:rFonts w:ascii="宋体" w:hAnsi="宋体"/>
          <w:color w:val="auto"/>
        </w:rPr>
      </w:pPr>
      <w:r>
        <w:rPr>
          <w:rFonts w:hint="eastAsia" w:ascii="宋体" w:hAnsi="宋体"/>
          <w:color w:val="auto"/>
        </w:rPr>
        <w:t>单位负责人为同一人或者存在直接控股、管理关系的不同投标人，不得参加同一合同项下的采购活动。</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招标文件的澄清或修改文件发出时间</w:t>
      </w:r>
    </w:p>
    <w:p>
      <w:pPr>
        <w:numPr>
          <w:ilvl w:val="0"/>
          <w:numId w:val="22"/>
        </w:numPr>
        <w:spacing w:line="360" w:lineRule="auto"/>
        <w:rPr>
          <w:rFonts w:ascii="宋体" w:hAnsi="宋体"/>
          <w:color w:val="auto"/>
        </w:rPr>
      </w:pPr>
      <w:r>
        <w:rPr>
          <w:rFonts w:ascii="宋体" w:hAnsi="宋体"/>
          <w:color w:val="auto"/>
        </w:rPr>
        <w:t>招标人或者招标代理机构可以对已发出的招标文件进行必要的澄清或者修改。澄清或者修改的内容可能影响投标文件编制的，招标人或者招标代理机构应当在投标截止时间至少15日前，不足15日的，招标人或者招标代理机构应当顺延提交投标文件的截止时间。</w:t>
      </w:r>
    </w:p>
    <w:p>
      <w:pPr>
        <w:numPr>
          <w:ilvl w:val="0"/>
          <w:numId w:val="22"/>
        </w:numPr>
        <w:spacing w:line="360" w:lineRule="auto"/>
        <w:ind w:left="454" w:hanging="341"/>
        <w:rPr>
          <w:rFonts w:ascii="宋体" w:hAnsi="宋体"/>
          <w:color w:val="auto"/>
        </w:rPr>
      </w:pPr>
      <w:r>
        <w:rPr>
          <w:rFonts w:hint="eastAsia" w:ascii="宋体" w:hAnsi="宋体"/>
          <w:color w:val="auto"/>
        </w:rPr>
        <w:t>澄清或修改后的内容是招标文件的组成部分，招标代理机构将在招标代理机构网站等媒体上发布澄清或修改公告和以书面形式通知所有获取招标文件的潜在投标人，并对潜在投标人具有约束力。潜在投标人在收到上述通知后，应立即以书面形式向招标代理机构确认（加盖单位公章，传真有效）。投标人如在24小时内无书面回复则被视为同意澄清、补充、修改文件内容。</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关于分公司投标</w:t>
      </w:r>
    </w:p>
    <w:p>
      <w:pPr>
        <w:numPr>
          <w:ilvl w:val="0"/>
          <w:numId w:val="23"/>
        </w:numPr>
        <w:spacing w:line="360" w:lineRule="auto"/>
        <w:ind w:left="454" w:hanging="341"/>
        <w:rPr>
          <w:rFonts w:ascii="宋体" w:hAnsi="宋体"/>
          <w:color w:val="auto"/>
        </w:rPr>
      </w:pPr>
      <w:r>
        <w:rPr>
          <w:rFonts w:hint="eastAsia" w:ascii="宋体" w:hAnsi="宋体"/>
          <w:color w:val="auto"/>
        </w:rPr>
        <w:t>分公司投标已由总公司授权的，总公司取得的相关资质证书对分公司有效，法律法规或者行业另有规定的除外</w:t>
      </w:r>
      <w:r>
        <w:rPr>
          <w:rFonts w:hint="eastAsia" w:ascii="宋体" w:hAnsi="宋体"/>
          <w:color w:val="auto"/>
          <w:lang w:eastAsia="zh-CN"/>
        </w:rPr>
        <w:t>。</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踏勘现场</w:t>
      </w:r>
    </w:p>
    <w:p>
      <w:pPr>
        <w:numPr>
          <w:ilvl w:val="0"/>
          <w:numId w:val="24"/>
        </w:numPr>
        <w:spacing w:line="360" w:lineRule="auto"/>
        <w:rPr>
          <w:rFonts w:ascii="宋体" w:hAnsi="宋体"/>
          <w:color w:val="auto"/>
        </w:rPr>
      </w:pPr>
      <w:r>
        <w:rPr>
          <w:rFonts w:hint="eastAsia" w:ascii="宋体" w:hAnsi="宋体"/>
          <w:color w:val="auto"/>
        </w:rPr>
        <w:t>投标人应按《投标须知前附表》所述时间和要求对项目现场进行踏勘或自行对项目现场进行踏勘。</w:t>
      </w:r>
    </w:p>
    <w:p>
      <w:pPr>
        <w:numPr>
          <w:ilvl w:val="0"/>
          <w:numId w:val="24"/>
        </w:numPr>
        <w:spacing w:line="360" w:lineRule="auto"/>
        <w:rPr>
          <w:rFonts w:ascii="宋体" w:hAnsi="宋体"/>
          <w:color w:val="auto"/>
        </w:rPr>
      </w:pPr>
      <w:r>
        <w:rPr>
          <w:rFonts w:hint="eastAsia" w:ascii="宋体" w:hAnsi="宋体"/>
          <w:color w:val="auto"/>
        </w:rPr>
        <w:t>投标人对项目现场及周围环境进行踏勘，投标人应充分重视和仔细地进行这种考察，以便投标人获取那些须投标人自己负责的有关编制投标文件和签署合同所涉及现场所有的资料。一旦中标，这种考察即被认为其结果已在中标文件中得到充分反映。考察现场的费用由投标人自己承担。</w:t>
      </w:r>
    </w:p>
    <w:p>
      <w:pPr>
        <w:numPr>
          <w:ilvl w:val="0"/>
          <w:numId w:val="24"/>
        </w:numPr>
        <w:spacing w:line="360" w:lineRule="auto"/>
        <w:rPr>
          <w:rFonts w:ascii="宋体" w:hAnsi="宋体"/>
          <w:color w:val="auto"/>
        </w:rPr>
      </w:pPr>
      <w:r>
        <w:rPr>
          <w:rFonts w:hint="eastAsia" w:ascii="宋体" w:hAnsi="宋体"/>
          <w:color w:val="auto"/>
        </w:rPr>
        <w:t>招标人若向投标人提供的有关现场的数据和资料，是招标人现有的能被投标人利用的资料，招标人对投标人做出的任何推论、理解和结论均不负责任。</w:t>
      </w:r>
    </w:p>
    <w:p>
      <w:pPr>
        <w:numPr>
          <w:ilvl w:val="0"/>
          <w:numId w:val="24"/>
        </w:numPr>
        <w:spacing w:line="360" w:lineRule="auto"/>
        <w:rPr>
          <w:rFonts w:ascii="宋体" w:hAnsi="宋体"/>
          <w:color w:val="auto"/>
        </w:rPr>
      </w:pPr>
      <w:r>
        <w:rPr>
          <w:rFonts w:hint="eastAsia" w:ascii="宋体" w:hAnsi="宋体"/>
          <w:color w:val="auto"/>
        </w:rPr>
        <w:t>经招标人允许，投标人可为踏勘目的进入招标人的项目现场。在考察过程中，投标人及其代表必须承担那些进入现场后，由于他们的行为所造成的人身伤害（不管是否致命）、财产损失或损坏，以及其他任何原因造成的损失、损坏或费用。投标人不得因此使招标人承担有关的责任和蒙受损失。</w:t>
      </w:r>
    </w:p>
    <w:p>
      <w:pPr>
        <w:numPr>
          <w:ilvl w:val="0"/>
          <w:numId w:val="10"/>
        </w:numPr>
        <w:spacing w:line="360" w:lineRule="auto"/>
        <w:jc w:val="center"/>
        <w:outlineLvl w:val="1"/>
        <w:rPr>
          <w:rFonts w:ascii="宋体" w:hAnsi="宋体"/>
          <w:b/>
          <w:bCs/>
          <w:color w:val="auto"/>
          <w:sz w:val="30"/>
          <w:szCs w:val="30"/>
        </w:rPr>
      </w:pPr>
      <w:bookmarkStart w:id="44" w:name="_Toc385940878"/>
      <w:r>
        <w:rPr>
          <w:rFonts w:hint="eastAsia" w:ascii="宋体" w:hAnsi="宋体"/>
          <w:b/>
          <w:bCs/>
          <w:color w:val="auto"/>
          <w:sz w:val="30"/>
          <w:szCs w:val="30"/>
        </w:rPr>
        <w:t>招 标 文 件</w:t>
      </w:r>
      <w:bookmarkEnd w:id="44"/>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招标文件的组成</w:t>
      </w:r>
    </w:p>
    <w:p>
      <w:pPr>
        <w:numPr>
          <w:ilvl w:val="0"/>
          <w:numId w:val="25"/>
        </w:numPr>
        <w:spacing w:line="360" w:lineRule="auto"/>
        <w:rPr>
          <w:rFonts w:ascii="宋体" w:hAnsi="宋体"/>
          <w:color w:val="auto"/>
        </w:rPr>
      </w:pPr>
      <w:r>
        <w:rPr>
          <w:rFonts w:hint="eastAsia" w:ascii="宋体" w:hAnsi="宋体"/>
          <w:color w:val="auto"/>
        </w:rPr>
        <w:t>招标文件包括：</w:t>
      </w:r>
    </w:p>
    <w:p>
      <w:pPr>
        <w:tabs>
          <w:tab w:val="left" w:pos="945"/>
        </w:tabs>
        <w:spacing w:line="360" w:lineRule="auto"/>
        <w:ind w:firstLine="630" w:firstLineChars="300"/>
        <w:rPr>
          <w:rFonts w:ascii="宋体" w:hAnsi="宋体"/>
          <w:color w:val="auto"/>
        </w:rPr>
      </w:pPr>
      <w:r>
        <w:rPr>
          <w:rFonts w:hint="eastAsia" w:ascii="宋体" w:hAnsi="宋体"/>
          <w:color w:val="auto"/>
        </w:rPr>
        <w:t>第一章  投标邀请函</w:t>
      </w:r>
    </w:p>
    <w:p>
      <w:pPr>
        <w:tabs>
          <w:tab w:val="left" w:pos="945"/>
        </w:tabs>
        <w:spacing w:line="360" w:lineRule="auto"/>
        <w:ind w:firstLine="630" w:firstLineChars="300"/>
        <w:rPr>
          <w:rFonts w:ascii="宋体" w:hAnsi="宋体"/>
          <w:color w:val="auto"/>
        </w:rPr>
      </w:pPr>
      <w:r>
        <w:rPr>
          <w:rFonts w:hint="eastAsia" w:ascii="宋体" w:hAnsi="宋体"/>
          <w:color w:val="auto"/>
        </w:rPr>
        <w:t>第二章  用户需求书</w:t>
      </w:r>
    </w:p>
    <w:p>
      <w:pPr>
        <w:tabs>
          <w:tab w:val="left" w:pos="945"/>
        </w:tabs>
        <w:spacing w:line="360" w:lineRule="auto"/>
        <w:ind w:firstLine="630" w:firstLineChars="300"/>
        <w:rPr>
          <w:rFonts w:ascii="宋体" w:hAnsi="宋体"/>
          <w:color w:val="auto"/>
        </w:rPr>
      </w:pPr>
      <w:r>
        <w:rPr>
          <w:rFonts w:hint="eastAsia" w:ascii="宋体" w:hAnsi="宋体"/>
          <w:color w:val="auto"/>
        </w:rPr>
        <w:t>第三章  投标须知</w:t>
      </w:r>
    </w:p>
    <w:p>
      <w:pPr>
        <w:tabs>
          <w:tab w:val="left" w:pos="945"/>
        </w:tabs>
        <w:spacing w:line="360" w:lineRule="auto"/>
        <w:ind w:firstLine="630" w:firstLineChars="300"/>
        <w:rPr>
          <w:rFonts w:ascii="宋体" w:hAnsi="宋体"/>
          <w:color w:val="auto"/>
        </w:rPr>
      </w:pPr>
      <w:r>
        <w:rPr>
          <w:rFonts w:hint="eastAsia" w:ascii="宋体" w:hAnsi="宋体"/>
          <w:color w:val="auto"/>
        </w:rPr>
        <w:t>第四章  合同书格式</w:t>
      </w:r>
    </w:p>
    <w:p>
      <w:pPr>
        <w:tabs>
          <w:tab w:val="left" w:pos="945"/>
        </w:tabs>
        <w:spacing w:line="360" w:lineRule="auto"/>
        <w:ind w:firstLine="630" w:firstLineChars="300"/>
        <w:rPr>
          <w:rFonts w:ascii="宋体" w:hAnsi="宋体"/>
          <w:color w:val="auto"/>
        </w:rPr>
      </w:pPr>
      <w:r>
        <w:rPr>
          <w:rFonts w:hint="eastAsia" w:ascii="宋体" w:hAnsi="宋体"/>
          <w:color w:val="auto"/>
        </w:rPr>
        <w:t>第五章  投标文件格式</w:t>
      </w:r>
    </w:p>
    <w:p>
      <w:pPr>
        <w:tabs>
          <w:tab w:val="left" w:pos="945"/>
        </w:tabs>
        <w:spacing w:line="360" w:lineRule="auto"/>
        <w:ind w:left="113" w:leftChars="54" w:firstLine="525" w:firstLineChars="250"/>
        <w:rPr>
          <w:rFonts w:ascii="宋体" w:hAnsi="宋体"/>
          <w:color w:val="auto"/>
        </w:rPr>
      </w:pPr>
      <w:r>
        <w:rPr>
          <w:rFonts w:hint="eastAsia" w:ascii="宋体" w:hAnsi="宋体"/>
          <w:color w:val="auto"/>
        </w:rPr>
        <w:t>其  它  在招标过程中由招标代理机构发出的澄清、修正和补充文件等。</w:t>
      </w:r>
    </w:p>
    <w:p>
      <w:pPr>
        <w:numPr>
          <w:ilvl w:val="0"/>
          <w:numId w:val="25"/>
        </w:numPr>
        <w:spacing w:line="360" w:lineRule="auto"/>
        <w:rPr>
          <w:rFonts w:ascii="宋体" w:hAnsi="宋体"/>
          <w:color w:val="auto"/>
        </w:rPr>
      </w:pPr>
      <w:r>
        <w:rPr>
          <w:rFonts w:hint="eastAsia" w:ascii="宋体" w:hAnsi="宋体"/>
          <w:color w:val="auto"/>
        </w:rPr>
        <w:t>投标人应认真阅读、并充分理解招标文件的全部内容（包括所有澄清、补充、修改内容、重要事项、格式、条款和技术规范、参数及要求等）。投标人没有按照招标文件的要求提交全部资料，或者投标文件没有对招标文件在各方面做出实质性响应是投标人的风险，有可能导致其投标被拒绝，或被认定为无效投标或被确定为投标无效。</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招标文件的澄清及答疑</w:t>
      </w:r>
    </w:p>
    <w:p>
      <w:pPr>
        <w:numPr>
          <w:ilvl w:val="0"/>
          <w:numId w:val="26"/>
        </w:numPr>
        <w:spacing w:line="360" w:lineRule="auto"/>
        <w:rPr>
          <w:rFonts w:ascii="宋体" w:hAnsi="宋体"/>
          <w:color w:val="auto"/>
        </w:rPr>
      </w:pPr>
      <w:r>
        <w:rPr>
          <w:rFonts w:hint="eastAsia" w:ascii="宋体" w:hAnsi="宋体"/>
          <w:color w:val="auto"/>
        </w:rPr>
        <w:t>任何要求对招标文件有异议的投标人，均应以书面形式在投标截止时间十日以前通知招标代理机构。招标代理机构将组织招标人对投标人所要求澄清的内容均以书面形式予以答复。必要时，招标代理机构将组织相关专家召开答疑会，并将会议内容以书面的形式发给每个购买招标文件的潜在投标人（答复中不包括问题的来源）。</w:t>
      </w:r>
    </w:p>
    <w:p>
      <w:pPr>
        <w:numPr>
          <w:ilvl w:val="0"/>
          <w:numId w:val="26"/>
        </w:numPr>
        <w:spacing w:line="360" w:lineRule="auto"/>
        <w:rPr>
          <w:rFonts w:ascii="宋体" w:hAnsi="宋体"/>
          <w:color w:val="auto"/>
        </w:rPr>
      </w:pPr>
      <w:r>
        <w:rPr>
          <w:rFonts w:hint="eastAsia" w:ascii="宋体" w:hAnsi="宋体"/>
          <w:color w:val="auto"/>
        </w:rPr>
        <w:t>或根据需要，招标代理机构和招标人可组织相关专家在《投标须知前附表》规定的时间和地点召开投标答疑会，解答投标人在此之前以书面或当场提出的对招标文件的澄清要求，或以书面函件形式通知购买了招标文件的投标人。答疑或澄清文件作为招标文件的组成部分，如与招标文件的内容不一致的，以答疑或澄清文件最后发出的书面文件为准。</w:t>
      </w:r>
    </w:p>
    <w:p>
      <w:pPr>
        <w:numPr>
          <w:ilvl w:val="0"/>
          <w:numId w:val="26"/>
        </w:numPr>
        <w:spacing w:line="360" w:lineRule="auto"/>
        <w:rPr>
          <w:rFonts w:ascii="宋体" w:hAnsi="宋体"/>
          <w:color w:val="auto"/>
        </w:rPr>
      </w:pPr>
      <w:r>
        <w:rPr>
          <w:rFonts w:hint="eastAsia" w:ascii="宋体" w:hAnsi="宋体"/>
          <w:color w:val="auto"/>
        </w:rPr>
        <w:t>投标人在规定的时间内未对招标文件澄清或提出疑问的，招标代理机构将视其为无异议。对招标文件中描述有歧意或前后不一致的地方，评标委员会有权进行评判，但对同一条款的评判应适用于每个投标人。</w:t>
      </w:r>
    </w:p>
    <w:p>
      <w:pPr>
        <w:numPr>
          <w:ilvl w:val="0"/>
          <w:numId w:val="10"/>
        </w:numPr>
        <w:spacing w:line="360" w:lineRule="auto"/>
        <w:jc w:val="center"/>
        <w:outlineLvl w:val="1"/>
        <w:rPr>
          <w:rFonts w:ascii="宋体" w:hAnsi="宋体"/>
          <w:b/>
          <w:bCs/>
          <w:color w:val="auto"/>
          <w:sz w:val="30"/>
          <w:szCs w:val="30"/>
        </w:rPr>
      </w:pPr>
      <w:bookmarkStart w:id="45" w:name="_Toc385940879"/>
      <w:r>
        <w:rPr>
          <w:rFonts w:hint="eastAsia" w:ascii="宋体" w:hAnsi="宋体"/>
          <w:b/>
          <w:bCs/>
          <w:color w:val="auto"/>
          <w:sz w:val="30"/>
          <w:szCs w:val="30"/>
        </w:rPr>
        <w:t>投标文件的编制</w:t>
      </w:r>
      <w:bookmarkEnd w:id="45"/>
      <w:r>
        <w:rPr>
          <w:rFonts w:hint="eastAsia" w:ascii="宋体" w:hAnsi="宋体"/>
          <w:b/>
          <w:bCs/>
          <w:color w:val="auto"/>
          <w:sz w:val="30"/>
          <w:szCs w:val="30"/>
        </w:rPr>
        <w:t>和数量</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投标语言和计量单位</w:t>
      </w:r>
    </w:p>
    <w:p>
      <w:pPr>
        <w:numPr>
          <w:ilvl w:val="0"/>
          <w:numId w:val="27"/>
        </w:numPr>
        <w:spacing w:line="360" w:lineRule="auto"/>
        <w:rPr>
          <w:rFonts w:ascii="宋体" w:hAnsi="宋体"/>
          <w:bCs/>
          <w:color w:val="auto"/>
          <w:szCs w:val="21"/>
          <w:lang w:val="zh-CN"/>
        </w:rPr>
      </w:pPr>
      <w:r>
        <w:rPr>
          <w:rFonts w:hint="eastAsia" w:ascii="宋体" w:hAnsi="宋体"/>
          <w:bCs/>
          <w:color w:val="auto"/>
          <w:szCs w:val="21"/>
          <w:lang w:val="zh-CN"/>
        </w:rPr>
        <w:t>投标人提交的投标文件以及投标人与招标代理机构就有关投标的所有来往函电均应使用中文。投标人提交的支持文件或印刷的资料可以用另一种语言，但相应内容应附有中文翻译本，在解释投标文件的修改内容时以中文翻译本为准。对中文翻译有异议的，以权威机构的译本为准。</w:t>
      </w:r>
    </w:p>
    <w:p>
      <w:pPr>
        <w:numPr>
          <w:ilvl w:val="0"/>
          <w:numId w:val="27"/>
        </w:numPr>
        <w:spacing w:line="360" w:lineRule="auto"/>
        <w:rPr>
          <w:rFonts w:ascii="宋体" w:hAnsi="宋体"/>
          <w:color w:val="auto"/>
        </w:rPr>
      </w:pPr>
      <w:r>
        <w:rPr>
          <w:rFonts w:hint="eastAsia" w:ascii="宋体" w:hAnsi="宋体"/>
          <w:color w:val="auto"/>
        </w:rPr>
        <w:t>投标文件中所使用的计量单位除招标文件中有特殊规定外，一律使用国际公制单位。</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投标文件的构成</w:t>
      </w:r>
    </w:p>
    <w:p>
      <w:pPr>
        <w:numPr>
          <w:ilvl w:val="0"/>
          <w:numId w:val="28"/>
        </w:numPr>
        <w:spacing w:line="360" w:lineRule="auto"/>
        <w:rPr>
          <w:rFonts w:ascii="宋体" w:hAnsi="宋体"/>
          <w:bCs/>
          <w:color w:val="auto"/>
          <w:szCs w:val="21"/>
          <w:lang w:val="zh-CN"/>
        </w:rPr>
      </w:pPr>
      <w:r>
        <w:rPr>
          <w:rFonts w:hint="eastAsia" w:ascii="宋体" w:hAnsi="宋体"/>
          <w:bCs/>
          <w:color w:val="auto"/>
          <w:szCs w:val="21"/>
          <w:lang w:val="zh-CN"/>
        </w:rPr>
        <w:t>投标文件的构成应符合法律法规及招标文件的要求。</w:t>
      </w:r>
    </w:p>
    <w:p>
      <w:pPr>
        <w:numPr>
          <w:ilvl w:val="0"/>
          <w:numId w:val="28"/>
        </w:numPr>
        <w:spacing w:line="360" w:lineRule="auto"/>
        <w:rPr>
          <w:rFonts w:ascii="宋体" w:hAnsi="宋体"/>
          <w:bCs/>
          <w:color w:val="auto"/>
          <w:szCs w:val="21"/>
          <w:lang w:val="zh-CN"/>
        </w:rPr>
      </w:pPr>
      <w:r>
        <w:rPr>
          <w:rFonts w:hint="eastAsia" w:ascii="宋体" w:hAnsi="宋体"/>
          <w:bCs/>
          <w:color w:val="auto"/>
          <w:szCs w:val="21"/>
          <w:lang w:val="zh-CN"/>
        </w:rPr>
        <w:t>投标人编排投标文件应包括投标文件格式要求的所有内容以及招标文件要求提供的内容。</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投标文件的编写</w:t>
      </w:r>
    </w:p>
    <w:p>
      <w:pPr>
        <w:numPr>
          <w:ilvl w:val="0"/>
          <w:numId w:val="29"/>
        </w:numPr>
        <w:spacing w:line="360" w:lineRule="auto"/>
        <w:rPr>
          <w:rFonts w:ascii="宋体" w:hAnsi="宋体"/>
          <w:bCs/>
          <w:color w:val="auto"/>
          <w:szCs w:val="21"/>
          <w:lang w:val="zh-CN"/>
        </w:rPr>
      </w:pPr>
      <w:r>
        <w:rPr>
          <w:rFonts w:hint="eastAsia" w:ascii="宋体" w:hAnsi="宋体"/>
          <w:bCs/>
          <w:color w:val="auto"/>
          <w:szCs w:val="21"/>
          <w:lang w:val="zh-CN"/>
        </w:rPr>
        <w:t>投标人须对本项目以包组为单位整体投标，任何只对某包组其中一部分标的进行的投标都被视为无效投标或被确定为投标无效。</w:t>
      </w:r>
    </w:p>
    <w:p>
      <w:pPr>
        <w:numPr>
          <w:ilvl w:val="0"/>
          <w:numId w:val="29"/>
        </w:numPr>
        <w:spacing w:line="360" w:lineRule="auto"/>
        <w:rPr>
          <w:rFonts w:ascii="宋体" w:hAnsi="宋体"/>
          <w:bCs/>
          <w:color w:val="auto"/>
          <w:szCs w:val="21"/>
          <w:lang w:val="zh-CN"/>
        </w:rPr>
      </w:pPr>
      <w:r>
        <w:rPr>
          <w:rFonts w:hint="eastAsia" w:ascii="宋体" w:hAnsi="宋体"/>
          <w:bCs/>
          <w:color w:val="auto"/>
          <w:szCs w:val="21"/>
          <w:lang w:val="zh-CN"/>
        </w:rPr>
        <w:t>投标人对招标文件中多个包（组）进行投标的，其投标文件的编制应按每个包（组）的要求分别装订和封装。如果《投标须知前附表》有特别要求的按照其要求进行编制。投标人应当对投标文件进行装订，对未经装订的投标文件可能发生的文件散落或缺损，由此产生的后果由投标人承担。</w:t>
      </w:r>
    </w:p>
    <w:p>
      <w:pPr>
        <w:numPr>
          <w:ilvl w:val="0"/>
          <w:numId w:val="29"/>
        </w:numPr>
        <w:spacing w:line="360" w:lineRule="auto"/>
        <w:rPr>
          <w:rFonts w:ascii="宋体" w:hAnsi="宋体"/>
          <w:bCs/>
          <w:color w:val="auto"/>
          <w:szCs w:val="21"/>
          <w:lang w:val="zh-CN"/>
        </w:rPr>
      </w:pPr>
      <w:r>
        <w:rPr>
          <w:rFonts w:hint="eastAsia" w:ascii="宋体" w:hAnsi="宋体"/>
          <w:bCs/>
          <w:color w:val="auto"/>
          <w:szCs w:val="21"/>
          <w:lang w:val="zh-CN"/>
        </w:rPr>
        <w:t>投标人应完整、真实、准确的填写招标文件中规定的所有内容。</w:t>
      </w:r>
    </w:p>
    <w:p>
      <w:pPr>
        <w:numPr>
          <w:ilvl w:val="0"/>
          <w:numId w:val="29"/>
        </w:numPr>
        <w:spacing w:line="360" w:lineRule="auto"/>
        <w:rPr>
          <w:rFonts w:ascii="宋体" w:hAnsi="宋体"/>
          <w:bCs/>
          <w:color w:val="auto"/>
          <w:szCs w:val="21"/>
          <w:lang w:val="zh-CN"/>
        </w:rPr>
      </w:pPr>
      <w:r>
        <w:rPr>
          <w:rFonts w:hint="eastAsia" w:ascii="宋体" w:hAnsi="宋体"/>
          <w:bCs/>
          <w:color w:val="auto"/>
          <w:szCs w:val="21"/>
          <w:lang w:val="zh-CN"/>
        </w:rPr>
        <w:t>投标人必须对投标文件所提供的全部资料的真实性承担法律责任，并无条件接受招标代理机构及招标人等对其中任何资料进行核实的要求。投标人必须对投标文件所提供的全部资料的真实性承担法律责任。</w:t>
      </w:r>
    </w:p>
    <w:p>
      <w:pPr>
        <w:numPr>
          <w:ilvl w:val="0"/>
          <w:numId w:val="29"/>
        </w:numPr>
        <w:spacing w:line="360" w:lineRule="auto"/>
        <w:rPr>
          <w:rFonts w:hint="eastAsia" w:ascii="宋体" w:hAnsi="宋体"/>
          <w:bCs/>
          <w:color w:val="auto"/>
          <w:szCs w:val="21"/>
          <w:lang w:val="zh-CN"/>
        </w:rPr>
      </w:pPr>
      <w:r>
        <w:rPr>
          <w:rFonts w:hint="eastAsia" w:ascii="宋体" w:hAnsi="宋体"/>
          <w:bCs/>
          <w:color w:val="auto"/>
          <w:szCs w:val="21"/>
          <w:lang w:val="zh-CN"/>
        </w:rPr>
        <w:t>如果因为投标人投标文件填报的内容不详，或没有提供招标文件中所要求的全部资料及数据，由此造成的后果，其责任由投标人承担。</w:t>
      </w:r>
    </w:p>
    <w:p>
      <w:pPr>
        <w:numPr>
          <w:ilvl w:val="0"/>
          <w:numId w:val="29"/>
        </w:numPr>
        <w:spacing w:line="360" w:lineRule="auto"/>
        <w:rPr>
          <w:rFonts w:ascii="宋体" w:hAnsi="宋体"/>
          <w:bCs/>
          <w:color w:val="auto"/>
          <w:szCs w:val="21"/>
          <w:lang w:val="zh-CN"/>
        </w:rPr>
      </w:pPr>
      <w:r>
        <w:rPr>
          <w:rFonts w:hint="eastAsia" w:ascii="宋体" w:hAnsi="宋体"/>
          <w:bCs/>
          <w:color w:val="auto"/>
          <w:szCs w:val="21"/>
          <w:lang w:val="zh-CN"/>
        </w:rPr>
        <w:t>各册独立装订的投标文件封面和骑缝必须加盖投标人法定印章。</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投标报价</w:t>
      </w:r>
    </w:p>
    <w:p>
      <w:pPr>
        <w:numPr>
          <w:ilvl w:val="0"/>
          <w:numId w:val="30"/>
        </w:numPr>
        <w:spacing w:line="360" w:lineRule="auto"/>
        <w:rPr>
          <w:rFonts w:ascii="宋体" w:hAnsi="宋体"/>
          <w:bCs/>
          <w:color w:val="auto"/>
          <w:szCs w:val="21"/>
          <w:lang w:val="zh-CN"/>
        </w:rPr>
      </w:pPr>
      <w:r>
        <w:rPr>
          <w:rFonts w:hint="eastAsia" w:ascii="宋体" w:hAnsi="宋体"/>
          <w:bCs/>
          <w:color w:val="auto"/>
          <w:szCs w:val="21"/>
          <w:lang w:val="zh-CN"/>
        </w:rPr>
        <w:t>投标人所提供的货物和服务均应按照</w:t>
      </w:r>
      <w:r>
        <w:rPr>
          <w:rFonts w:hint="eastAsia" w:ascii="宋体" w:hAnsi="宋体"/>
          <w:color w:val="auto"/>
        </w:rPr>
        <w:t>第二章用户需求书要求</w:t>
      </w:r>
      <w:r>
        <w:rPr>
          <w:rFonts w:hint="eastAsia" w:ascii="宋体" w:hAnsi="宋体"/>
          <w:bCs/>
          <w:color w:val="auto"/>
          <w:szCs w:val="21"/>
        </w:rPr>
        <w:t>进行报价</w:t>
      </w:r>
      <w:r>
        <w:rPr>
          <w:rFonts w:hint="eastAsia" w:ascii="宋体" w:hAnsi="宋体"/>
          <w:bCs/>
          <w:color w:val="auto"/>
          <w:szCs w:val="21"/>
          <w:lang w:val="zh-CN"/>
        </w:rPr>
        <w:t>。</w:t>
      </w:r>
    </w:p>
    <w:p>
      <w:pPr>
        <w:numPr>
          <w:ilvl w:val="0"/>
          <w:numId w:val="30"/>
        </w:numPr>
        <w:spacing w:line="360" w:lineRule="auto"/>
        <w:rPr>
          <w:rFonts w:ascii="宋体" w:hAnsi="宋体"/>
          <w:bCs/>
          <w:color w:val="auto"/>
          <w:szCs w:val="21"/>
          <w:lang w:val="zh-CN"/>
        </w:rPr>
      </w:pPr>
      <w:r>
        <w:rPr>
          <w:rFonts w:hint="eastAsia" w:ascii="宋体" w:hAnsi="宋体"/>
          <w:bCs/>
          <w:color w:val="auto"/>
          <w:szCs w:val="21"/>
          <w:lang w:val="zh-CN"/>
        </w:rPr>
        <w:t>投标人应按照《开标一览表》和《投标分项报价表》确定的格式报出总价和分项价格。投标总价中不得包含招标文件要求以外的内容，否则，在评标时不予核减。投标总价中也不得缺漏招标文件所要求的内容，否则，其投标将可能被视为无效投标或确定为投标无效。</w:t>
      </w:r>
    </w:p>
    <w:p>
      <w:pPr>
        <w:numPr>
          <w:ilvl w:val="0"/>
          <w:numId w:val="30"/>
        </w:numPr>
        <w:spacing w:line="360" w:lineRule="auto"/>
        <w:rPr>
          <w:rFonts w:ascii="宋体" w:hAnsi="宋体"/>
          <w:bCs/>
          <w:color w:val="auto"/>
          <w:szCs w:val="21"/>
          <w:lang w:val="zh-CN"/>
        </w:rPr>
      </w:pPr>
      <w:r>
        <w:rPr>
          <w:rFonts w:hint="eastAsia" w:ascii="宋体" w:hAnsi="宋体"/>
          <w:bCs/>
          <w:color w:val="auto"/>
          <w:szCs w:val="21"/>
          <w:lang w:val="zh-CN"/>
        </w:rPr>
        <w:t>投标报价填写时应响应下列要求：</w:t>
      </w:r>
    </w:p>
    <w:p>
      <w:pPr>
        <w:numPr>
          <w:ilvl w:val="0"/>
          <w:numId w:val="31"/>
        </w:numPr>
        <w:tabs>
          <w:tab w:val="left" w:pos="945"/>
        </w:tabs>
        <w:spacing w:line="360" w:lineRule="auto"/>
        <w:rPr>
          <w:rFonts w:ascii="宋体" w:hAnsi="宋体"/>
          <w:bCs/>
          <w:color w:val="auto"/>
          <w:szCs w:val="21"/>
          <w:lang w:val="zh-CN"/>
        </w:rPr>
      </w:pPr>
      <w:r>
        <w:rPr>
          <w:rFonts w:hint="eastAsia" w:ascii="宋体" w:hAnsi="宋体"/>
          <w:bCs/>
          <w:color w:val="auto"/>
          <w:szCs w:val="21"/>
          <w:lang w:val="zh-CN"/>
        </w:rPr>
        <w:t>所有根据合同或其它原因应由投标人支付的税款和其它应交纳的费用都要包括在投标人提交的投标价格中；</w:t>
      </w:r>
    </w:p>
    <w:p>
      <w:pPr>
        <w:numPr>
          <w:ilvl w:val="0"/>
          <w:numId w:val="31"/>
        </w:numPr>
        <w:tabs>
          <w:tab w:val="left" w:pos="945"/>
        </w:tabs>
        <w:spacing w:line="360" w:lineRule="auto"/>
        <w:rPr>
          <w:rFonts w:ascii="宋体" w:hAnsi="宋体"/>
          <w:bCs/>
          <w:color w:val="auto"/>
          <w:szCs w:val="21"/>
          <w:lang w:val="zh-CN"/>
        </w:rPr>
      </w:pPr>
      <w:r>
        <w:rPr>
          <w:rFonts w:hint="eastAsia" w:ascii="宋体" w:hAnsi="宋体"/>
          <w:bCs/>
          <w:color w:val="auto"/>
          <w:szCs w:val="21"/>
          <w:lang w:val="zh-CN"/>
        </w:rPr>
        <w:t>应包含货物的制造、至最终目的地的运输、保险和伴随货物服务的其他所有费用；</w:t>
      </w:r>
    </w:p>
    <w:p>
      <w:pPr>
        <w:numPr>
          <w:ilvl w:val="0"/>
          <w:numId w:val="30"/>
        </w:numPr>
        <w:spacing w:line="360" w:lineRule="auto"/>
        <w:rPr>
          <w:rFonts w:ascii="宋体" w:hAnsi="宋体"/>
          <w:bCs/>
          <w:color w:val="auto"/>
          <w:szCs w:val="21"/>
          <w:lang w:val="zh-CN"/>
        </w:rPr>
      </w:pPr>
      <w:r>
        <w:rPr>
          <w:rFonts w:hint="eastAsia" w:ascii="宋体" w:hAnsi="宋体"/>
          <w:bCs/>
          <w:color w:val="auto"/>
          <w:szCs w:val="21"/>
          <w:lang w:val="zh-CN"/>
        </w:rPr>
        <w:t>对小型、微型企业、监狱企业或残疾人福利性单位给予价格扣除</w:t>
      </w:r>
    </w:p>
    <w:p>
      <w:pPr>
        <w:spacing w:line="360" w:lineRule="auto"/>
        <w:ind w:left="567" w:firstLine="420" w:firstLineChars="200"/>
        <w:rPr>
          <w:color w:val="auto"/>
        </w:rPr>
      </w:pPr>
      <w:r>
        <w:rPr>
          <w:color w:val="auto"/>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pPr>
        <w:spacing w:line="360" w:lineRule="auto"/>
        <w:ind w:left="567" w:firstLine="420" w:firstLineChars="200"/>
        <w:rPr>
          <w:color w:val="auto"/>
        </w:rPr>
      </w:pPr>
      <w:r>
        <w:rPr>
          <w:color w:val="auto"/>
        </w:rPr>
        <w:br w:type="page"/>
      </w:r>
    </w:p>
    <w:tbl>
      <w:tblPr>
        <w:tblStyle w:val="36"/>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65"/>
        <w:gridCol w:w="1327"/>
        <w:gridCol w:w="1559"/>
        <w:gridCol w:w="1419"/>
        <w:gridCol w:w="445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353" w:type="pct"/>
            <w:shd w:val="clear" w:color="auto" w:fill="F4F4F4"/>
            <w:noWrap w:val="0"/>
            <w:vAlign w:val="top"/>
          </w:tcPr>
          <w:p>
            <w:pPr>
              <w:pStyle w:val="125"/>
              <w:spacing w:line="360" w:lineRule="auto"/>
              <w:rPr>
                <w:b/>
                <w:color w:val="auto"/>
                <w:sz w:val="21"/>
                <w:szCs w:val="21"/>
              </w:rPr>
            </w:pPr>
            <w:r>
              <w:rPr>
                <w:b/>
                <w:color w:val="auto"/>
                <w:sz w:val="21"/>
                <w:szCs w:val="21"/>
              </w:rPr>
              <w:t>序号</w:t>
            </w:r>
          </w:p>
        </w:tc>
        <w:tc>
          <w:tcPr>
            <w:tcW w:w="704" w:type="pct"/>
            <w:shd w:val="clear" w:color="auto" w:fill="F4F4F4"/>
            <w:noWrap w:val="0"/>
            <w:vAlign w:val="top"/>
          </w:tcPr>
          <w:p>
            <w:pPr>
              <w:pStyle w:val="125"/>
              <w:spacing w:line="360" w:lineRule="auto"/>
              <w:jc w:val="center"/>
              <w:rPr>
                <w:b/>
                <w:color w:val="auto"/>
                <w:sz w:val="21"/>
                <w:szCs w:val="21"/>
              </w:rPr>
            </w:pPr>
            <w:r>
              <w:rPr>
                <w:b/>
                <w:color w:val="auto"/>
                <w:sz w:val="21"/>
                <w:szCs w:val="21"/>
              </w:rPr>
              <w:t>情形</w:t>
            </w:r>
          </w:p>
        </w:tc>
        <w:tc>
          <w:tcPr>
            <w:tcW w:w="827" w:type="pct"/>
            <w:shd w:val="clear" w:color="auto" w:fill="F4F4F4"/>
            <w:noWrap w:val="0"/>
            <w:vAlign w:val="top"/>
          </w:tcPr>
          <w:p>
            <w:pPr>
              <w:pStyle w:val="125"/>
              <w:spacing w:line="360" w:lineRule="auto"/>
              <w:jc w:val="center"/>
              <w:rPr>
                <w:b/>
                <w:color w:val="auto"/>
                <w:sz w:val="21"/>
                <w:szCs w:val="21"/>
              </w:rPr>
            </w:pPr>
            <w:r>
              <w:rPr>
                <w:b/>
                <w:color w:val="auto"/>
                <w:sz w:val="21"/>
                <w:szCs w:val="21"/>
              </w:rPr>
              <w:t>适用对象</w:t>
            </w:r>
          </w:p>
        </w:tc>
        <w:tc>
          <w:tcPr>
            <w:tcW w:w="753" w:type="pct"/>
            <w:shd w:val="clear" w:color="auto" w:fill="F4F4F4"/>
            <w:noWrap w:val="0"/>
            <w:vAlign w:val="top"/>
          </w:tcPr>
          <w:p>
            <w:pPr>
              <w:pStyle w:val="125"/>
              <w:spacing w:line="360" w:lineRule="auto"/>
              <w:rPr>
                <w:b/>
                <w:color w:val="auto"/>
                <w:sz w:val="21"/>
                <w:szCs w:val="21"/>
              </w:rPr>
            </w:pPr>
            <w:r>
              <w:rPr>
                <w:b/>
                <w:color w:val="auto"/>
                <w:sz w:val="21"/>
                <w:szCs w:val="21"/>
              </w:rPr>
              <w:t>价格扣除比例</w:t>
            </w:r>
          </w:p>
        </w:tc>
        <w:tc>
          <w:tcPr>
            <w:tcW w:w="2363" w:type="pct"/>
            <w:shd w:val="clear" w:color="auto" w:fill="F4F4F4"/>
            <w:noWrap w:val="0"/>
            <w:vAlign w:val="top"/>
          </w:tcPr>
          <w:p>
            <w:pPr>
              <w:pStyle w:val="125"/>
              <w:spacing w:line="360" w:lineRule="auto"/>
              <w:jc w:val="center"/>
              <w:rPr>
                <w:b/>
                <w:color w:val="auto"/>
                <w:sz w:val="21"/>
                <w:szCs w:val="21"/>
              </w:rPr>
            </w:pPr>
            <w:r>
              <w:rPr>
                <w:b/>
                <w:color w:val="auto"/>
                <w:sz w:val="21"/>
                <w:szCs w:val="21"/>
              </w:rPr>
              <w:t>计算公式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8" w:hRule="atLeast"/>
        </w:trPr>
        <w:tc>
          <w:tcPr>
            <w:tcW w:w="353" w:type="pct"/>
            <w:noWrap w:val="0"/>
            <w:vAlign w:val="center"/>
          </w:tcPr>
          <w:p>
            <w:pPr>
              <w:pStyle w:val="125"/>
              <w:spacing w:line="360" w:lineRule="auto"/>
              <w:jc w:val="center"/>
              <w:rPr>
                <w:color w:val="auto"/>
                <w:sz w:val="21"/>
                <w:szCs w:val="21"/>
              </w:rPr>
            </w:pPr>
            <w:r>
              <w:rPr>
                <w:color w:val="auto"/>
                <w:w w:val="115"/>
                <w:sz w:val="21"/>
                <w:szCs w:val="21"/>
              </w:rPr>
              <w:t>1</w:t>
            </w:r>
          </w:p>
        </w:tc>
        <w:tc>
          <w:tcPr>
            <w:tcW w:w="704" w:type="pct"/>
            <w:noWrap w:val="0"/>
            <w:vAlign w:val="center"/>
          </w:tcPr>
          <w:p>
            <w:pPr>
              <w:pStyle w:val="125"/>
              <w:spacing w:line="360" w:lineRule="auto"/>
              <w:jc w:val="center"/>
              <w:rPr>
                <w:color w:val="auto"/>
                <w:sz w:val="21"/>
                <w:szCs w:val="21"/>
                <w:lang w:eastAsia="zh-CN"/>
              </w:rPr>
            </w:pPr>
            <w:r>
              <w:rPr>
                <w:color w:val="auto"/>
                <w:sz w:val="21"/>
                <w:szCs w:val="21"/>
                <w:lang w:eastAsia="zh-CN"/>
              </w:rPr>
              <w:t>小型、微型企业，监狱企业， 残疾人福利性单位</w:t>
            </w:r>
          </w:p>
        </w:tc>
        <w:tc>
          <w:tcPr>
            <w:tcW w:w="827" w:type="pct"/>
            <w:noWrap w:val="0"/>
            <w:vAlign w:val="center"/>
          </w:tcPr>
          <w:p>
            <w:pPr>
              <w:pStyle w:val="125"/>
              <w:spacing w:line="360" w:lineRule="auto"/>
              <w:jc w:val="center"/>
              <w:rPr>
                <w:color w:val="auto"/>
                <w:sz w:val="21"/>
                <w:szCs w:val="21"/>
                <w:lang w:eastAsia="zh-CN"/>
              </w:rPr>
            </w:pPr>
            <w:r>
              <w:rPr>
                <w:color w:val="auto"/>
                <w:sz w:val="21"/>
                <w:szCs w:val="21"/>
                <w:lang w:eastAsia="zh-CN"/>
              </w:rPr>
              <w:t>本项目服务全部为小型或微型企业承接</w:t>
            </w:r>
          </w:p>
        </w:tc>
        <w:tc>
          <w:tcPr>
            <w:tcW w:w="753" w:type="pct"/>
            <w:noWrap w:val="0"/>
            <w:vAlign w:val="center"/>
          </w:tcPr>
          <w:p>
            <w:pPr>
              <w:pStyle w:val="125"/>
              <w:spacing w:line="360" w:lineRule="auto"/>
              <w:jc w:val="center"/>
              <w:rPr>
                <w:color w:val="auto"/>
                <w:sz w:val="21"/>
                <w:szCs w:val="21"/>
              </w:rPr>
            </w:pPr>
            <w:r>
              <w:rPr>
                <w:rFonts w:hint="eastAsia"/>
                <w:color w:val="auto"/>
                <w:w w:val="110"/>
                <w:sz w:val="21"/>
                <w:szCs w:val="21"/>
                <w:lang w:eastAsia="zh-CN"/>
              </w:rPr>
              <w:t>10</w:t>
            </w:r>
            <w:r>
              <w:rPr>
                <w:color w:val="auto"/>
                <w:w w:val="110"/>
                <w:sz w:val="21"/>
                <w:szCs w:val="21"/>
              </w:rPr>
              <w:t>%</w:t>
            </w:r>
          </w:p>
        </w:tc>
        <w:tc>
          <w:tcPr>
            <w:tcW w:w="2363" w:type="pct"/>
            <w:noWrap w:val="0"/>
            <w:vAlign w:val="top"/>
          </w:tcPr>
          <w:p>
            <w:pPr>
              <w:pStyle w:val="125"/>
              <w:spacing w:line="360" w:lineRule="auto"/>
              <w:rPr>
                <w:rFonts w:hint="eastAsia"/>
                <w:color w:val="auto"/>
                <w:sz w:val="21"/>
                <w:szCs w:val="21"/>
                <w:lang w:eastAsia="zh-CN"/>
              </w:rPr>
            </w:pPr>
            <w:r>
              <w:rPr>
                <w:rFonts w:hint="eastAsia"/>
                <w:color w:val="auto"/>
                <w:sz w:val="21"/>
                <w:szCs w:val="21"/>
                <w:lang w:eastAsia="zh-CN"/>
              </w:rPr>
              <w:t>对小型或微型企业投标的扶持【监狱企业视同小型、微型企业，监狱企业参加政府采购活动时，应当提供由省级以上监狱管理局、戒毒管理局</w:t>
            </w:r>
            <w:r>
              <w:rPr>
                <w:color w:val="auto"/>
                <w:sz w:val="21"/>
                <w:szCs w:val="21"/>
                <w:lang w:eastAsia="zh-CN"/>
              </w:rPr>
              <w:t>(含新</w:t>
            </w:r>
            <w:r>
              <w:rPr>
                <w:rFonts w:hint="eastAsia"/>
                <w:color w:val="auto"/>
                <w:sz w:val="21"/>
                <w:szCs w:val="21"/>
                <w:lang w:eastAsia="zh-CN"/>
              </w:rPr>
              <w:t>疆生产建设兵团</w:t>
            </w:r>
            <w:r>
              <w:rPr>
                <w:color w:val="auto"/>
                <w:sz w:val="21"/>
                <w:szCs w:val="21"/>
                <w:lang w:eastAsia="zh-CN"/>
              </w:rPr>
              <w:t>)出具的属于</w:t>
            </w:r>
            <w:r>
              <w:rPr>
                <w:rFonts w:hint="eastAsia"/>
                <w:color w:val="auto"/>
                <w:sz w:val="21"/>
                <w:szCs w:val="21"/>
                <w:lang w:eastAsia="zh-CN"/>
              </w:rPr>
              <w:t>监狱企业的证明文件；符合《三部门联合发布关于促进残疾人就业政府采购政策的通知》规定条件的残疾人福利性单位在参加政府采购活动时视同小型、微型企业，应当提供该通知规定的《残疾人福利性单位声明函》，并对声明的真实性负责】：</w:t>
            </w:r>
            <w:r>
              <w:rPr>
                <w:color w:val="auto"/>
                <w:sz w:val="21"/>
                <w:szCs w:val="21"/>
                <w:lang w:eastAsia="zh-CN"/>
              </w:rPr>
              <w:t>投标</w:t>
            </w:r>
            <w:r>
              <w:rPr>
                <w:rFonts w:hint="eastAsia"/>
                <w:color w:val="auto"/>
                <w:sz w:val="21"/>
                <w:szCs w:val="21"/>
                <w:lang w:eastAsia="zh-CN"/>
              </w:rPr>
              <w:t>人</w:t>
            </w:r>
            <w:r>
              <w:rPr>
                <w:color w:val="auto"/>
                <w:sz w:val="21"/>
                <w:szCs w:val="21"/>
                <w:lang w:eastAsia="zh-CN"/>
              </w:rPr>
              <w:t>为小</w:t>
            </w:r>
            <w:r>
              <w:rPr>
                <w:rFonts w:hint="eastAsia"/>
                <w:color w:val="auto"/>
                <w:sz w:val="21"/>
                <w:szCs w:val="21"/>
                <w:lang w:eastAsia="zh-CN"/>
              </w:rPr>
              <w:t>型或微型企业，报价给予</w:t>
            </w:r>
            <w:r>
              <w:rPr>
                <w:color w:val="auto"/>
                <w:sz w:val="21"/>
                <w:szCs w:val="21"/>
                <w:lang w:eastAsia="zh-CN"/>
              </w:rPr>
              <w:t>C1的价格</w:t>
            </w:r>
            <w:r>
              <w:rPr>
                <w:rFonts w:hint="eastAsia"/>
                <w:color w:val="auto"/>
                <w:sz w:val="21"/>
                <w:szCs w:val="21"/>
                <w:lang w:eastAsia="zh-CN"/>
              </w:rPr>
              <w:t>扣除（</w:t>
            </w:r>
            <w:r>
              <w:rPr>
                <w:color w:val="auto"/>
                <w:sz w:val="21"/>
                <w:szCs w:val="21"/>
                <w:lang w:eastAsia="zh-CN"/>
              </w:rPr>
              <w:t>C1的取值为</w:t>
            </w:r>
            <w:r>
              <w:rPr>
                <w:rFonts w:hint="eastAsia"/>
                <w:color w:val="auto"/>
                <w:sz w:val="21"/>
                <w:szCs w:val="21"/>
                <w:lang w:eastAsia="zh-CN"/>
              </w:rPr>
              <w:t>10</w:t>
            </w:r>
            <w:r>
              <w:rPr>
                <w:color w:val="auto"/>
                <w:sz w:val="21"/>
                <w:szCs w:val="21"/>
                <w:lang w:eastAsia="zh-CN"/>
              </w:rPr>
              <w:t>%）</w:t>
            </w:r>
            <w:r>
              <w:rPr>
                <w:rFonts w:hint="eastAsia"/>
                <w:color w:val="auto"/>
                <w:sz w:val="21"/>
                <w:szCs w:val="21"/>
                <w:lang w:eastAsia="zh-CN"/>
              </w:rPr>
              <w:t>，即投标人的评审价=投标报价*（1</w:t>
            </w:r>
            <w:r>
              <w:rPr>
                <w:color w:val="auto"/>
                <w:sz w:val="21"/>
                <w:szCs w:val="21"/>
                <w:lang w:eastAsia="zh-CN"/>
              </w:rPr>
              <w:t>00%-C1</w:t>
            </w:r>
            <w:r>
              <w:rPr>
                <w:rFonts w:hint="eastAsia"/>
                <w:color w:val="auto"/>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5000" w:type="pct"/>
            <w:gridSpan w:val="5"/>
            <w:noWrap w:val="0"/>
            <w:vAlign w:val="top"/>
          </w:tcPr>
          <w:p>
            <w:pPr>
              <w:pStyle w:val="125"/>
              <w:spacing w:line="360" w:lineRule="auto"/>
              <w:rPr>
                <w:color w:val="auto"/>
                <w:sz w:val="21"/>
                <w:szCs w:val="21"/>
                <w:lang w:eastAsia="zh-CN"/>
              </w:rPr>
            </w:pPr>
            <w:r>
              <w:rPr>
                <w:color w:val="auto"/>
                <w:sz w:val="21"/>
                <w:szCs w:val="21"/>
                <w:lang w:eastAsia="zh-CN"/>
              </w:rPr>
              <w:t>注：（</w:t>
            </w:r>
            <w:r>
              <w:rPr>
                <w:rFonts w:hint="eastAsia"/>
                <w:color w:val="auto"/>
                <w:sz w:val="21"/>
                <w:szCs w:val="21"/>
                <w:lang w:eastAsia="zh-CN"/>
              </w:rPr>
              <w:t>1</w:t>
            </w:r>
            <w:r>
              <w:rPr>
                <w:color w:val="auto"/>
                <w:sz w:val="21"/>
                <w:szCs w:val="21"/>
                <w:lang w:eastAsia="zh-CN"/>
              </w:rPr>
              <w:t>）上述评标价仅用于计算价格评分，</w:t>
            </w:r>
            <w:r>
              <w:rPr>
                <w:rFonts w:hint="eastAsia"/>
                <w:color w:val="auto"/>
                <w:sz w:val="21"/>
                <w:szCs w:val="21"/>
                <w:lang w:eastAsia="zh-CN"/>
              </w:rPr>
              <w:t>中标</w:t>
            </w:r>
            <w:r>
              <w:rPr>
                <w:color w:val="auto"/>
                <w:sz w:val="21"/>
                <w:szCs w:val="21"/>
                <w:lang w:eastAsia="zh-CN"/>
              </w:rPr>
              <w:t>金额以实际投标（响应）价为准。</w:t>
            </w:r>
          </w:p>
        </w:tc>
      </w:tr>
    </w:tbl>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备选方案</w:t>
      </w:r>
    </w:p>
    <w:p>
      <w:pPr>
        <w:numPr>
          <w:ilvl w:val="0"/>
          <w:numId w:val="32"/>
        </w:numPr>
        <w:spacing w:line="360" w:lineRule="auto"/>
        <w:rPr>
          <w:rFonts w:ascii="宋体" w:hAnsi="宋体"/>
          <w:bCs/>
          <w:color w:val="auto"/>
          <w:szCs w:val="21"/>
          <w:lang w:val="zh-CN"/>
        </w:rPr>
      </w:pPr>
      <w:r>
        <w:rPr>
          <w:rFonts w:hint="eastAsia" w:ascii="宋体" w:hAnsi="宋体"/>
          <w:bCs/>
          <w:color w:val="auto"/>
          <w:szCs w:val="21"/>
          <w:lang w:val="zh-CN"/>
        </w:rPr>
        <w:t>只允许投标人有一个投标方案，否则将被视为无效投标。《投标须知前附表》允许有备选方案的除外。</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联合体投标</w:t>
      </w:r>
    </w:p>
    <w:p>
      <w:pPr>
        <w:numPr>
          <w:ilvl w:val="0"/>
          <w:numId w:val="33"/>
        </w:numPr>
        <w:spacing w:line="360" w:lineRule="auto"/>
        <w:rPr>
          <w:rFonts w:ascii="宋体" w:hAnsi="宋体"/>
          <w:color w:val="auto"/>
          <w:kern w:val="0"/>
        </w:rPr>
      </w:pPr>
      <w:r>
        <w:rPr>
          <w:rFonts w:hint="eastAsia" w:ascii="宋体" w:hAnsi="宋体"/>
          <w:bCs/>
          <w:color w:val="auto"/>
          <w:szCs w:val="21"/>
          <w:lang w:val="zh-CN"/>
        </w:rPr>
        <w:t>如果《投标须知前附表》允许投标人为联合体，联合体各方均必须具有独立承担民事责任的能力。</w:t>
      </w:r>
      <w:r>
        <w:rPr>
          <w:rFonts w:hint="eastAsia" w:ascii="宋体" w:hAnsi="宋体"/>
          <w:color w:val="auto"/>
          <w:szCs w:val="21"/>
        </w:rPr>
        <w:t>投标人须提交联合体各方的资格证明文件、联合体协议并注明主体方及各方拟承担的工作和责任。联合体投标文件由联合体各方或主体方盖章，否则，将导致其投标无效。</w:t>
      </w:r>
    </w:p>
    <w:p>
      <w:pPr>
        <w:numPr>
          <w:ilvl w:val="0"/>
          <w:numId w:val="33"/>
        </w:numPr>
        <w:spacing w:line="360" w:lineRule="auto"/>
        <w:rPr>
          <w:rFonts w:ascii="宋体" w:hAnsi="宋体"/>
          <w:color w:val="auto"/>
          <w:kern w:val="0"/>
        </w:rPr>
      </w:pPr>
      <w:r>
        <w:rPr>
          <w:rFonts w:hint="eastAsia" w:ascii="宋体" w:hAnsi="宋体"/>
          <w:bCs/>
          <w:color w:val="auto"/>
          <w:szCs w:val="21"/>
          <w:lang w:val="zh-CN"/>
        </w:rPr>
        <w:t>联合体各方不得再单独参加或者与其他投标人另外组成联合体参加同一合同项下的招标活动。</w:t>
      </w:r>
    </w:p>
    <w:p>
      <w:pPr>
        <w:numPr>
          <w:ilvl w:val="0"/>
          <w:numId w:val="33"/>
        </w:numPr>
        <w:spacing w:line="360" w:lineRule="auto"/>
        <w:rPr>
          <w:rFonts w:ascii="宋体" w:hAnsi="宋体"/>
          <w:color w:val="auto"/>
          <w:kern w:val="0"/>
        </w:rPr>
      </w:pPr>
      <w:r>
        <w:rPr>
          <w:rFonts w:hint="eastAsia" w:ascii="宋体" w:hAnsi="宋体"/>
          <w:bCs/>
          <w:color w:val="auto"/>
          <w:szCs w:val="21"/>
          <w:lang w:val="zh-CN"/>
        </w:rPr>
        <w:t>联合体中有同类资质的投标人按照联合体分工承担相同工作的，按照资质等级较低的投标人确定资质等级。</w:t>
      </w:r>
    </w:p>
    <w:p>
      <w:pPr>
        <w:numPr>
          <w:ilvl w:val="0"/>
          <w:numId w:val="33"/>
        </w:numPr>
        <w:spacing w:line="360" w:lineRule="auto"/>
        <w:rPr>
          <w:rFonts w:ascii="宋体" w:hAnsi="宋体"/>
          <w:color w:val="auto"/>
          <w:kern w:val="0"/>
        </w:rPr>
      </w:pPr>
      <w:r>
        <w:rPr>
          <w:rFonts w:hint="eastAsia" w:ascii="宋体" w:hAnsi="宋体" w:cs="宋体"/>
          <w:color w:val="auto"/>
          <w:szCs w:val="21"/>
        </w:rPr>
        <w:t>联合体投标的，可以由联合体中的一方或者共同提交投标保证金，以一方名义提交投标保证金的，对联合体各方均具有约束力。</w:t>
      </w:r>
    </w:p>
    <w:p>
      <w:pPr>
        <w:numPr>
          <w:ilvl w:val="0"/>
          <w:numId w:val="33"/>
        </w:numPr>
        <w:spacing w:line="360" w:lineRule="auto"/>
        <w:rPr>
          <w:rFonts w:ascii="宋体" w:hAnsi="宋体"/>
          <w:color w:val="auto"/>
          <w:kern w:val="0"/>
        </w:rPr>
      </w:pPr>
      <w:r>
        <w:rPr>
          <w:rFonts w:hint="eastAsia" w:ascii="宋体" w:hAnsi="宋体"/>
          <w:color w:val="auto"/>
          <w:kern w:val="0"/>
        </w:rPr>
        <w:t>联合体中标的，联合体各方应当共同与招标人签订合同。</w:t>
      </w:r>
    </w:p>
    <w:p>
      <w:pPr>
        <w:numPr>
          <w:ilvl w:val="0"/>
          <w:numId w:val="33"/>
        </w:numPr>
        <w:spacing w:line="360" w:lineRule="auto"/>
        <w:rPr>
          <w:rFonts w:ascii="宋体" w:hAnsi="宋体"/>
          <w:color w:val="auto"/>
          <w:kern w:val="0"/>
        </w:rPr>
      </w:pPr>
      <w:r>
        <w:rPr>
          <w:rFonts w:hint="eastAsia" w:ascii="宋体" w:hAnsi="宋体"/>
          <w:color w:val="auto"/>
          <w:kern w:val="0"/>
        </w:rPr>
        <w:t>组成联合体投标的按相关法律、法规、规章等有关规定执行。</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投标人资格证明文件</w:t>
      </w:r>
    </w:p>
    <w:p>
      <w:pPr>
        <w:numPr>
          <w:ilvl w:val="0"/>
          <w:numId w:val="34"/>
        </w:numPr>
        <w:spacing w:line="360" w:lineRule="auto"/>
        <w:rPr>
          <w:rFonts w:ascii="宋体" w:hAnsi="宋体"/>
          <w:color w:val="auto"/>
        </w:rPr>
      </w:pPr>
      <w:r>
        <w:rPr>
          <w:rFonts w:hint="eastAsia" w:ascii="宋体" w:hAnsi="宋体"/>
          <w:color w:val="auto"/>
        </w:rPr>
        <w:t>投标人应按招标文件的要求，提交证明其有资格参加投标和中标后有履行合同能力的文件，并作为其投标文件的组成部分，</w:t>
      </w:r>
      <w:r>
        <w:rPr>
          <w:rFonts w:hint="eastAsia" w:ascii="宋体" w:hAnsi="ËÎÌå" w:cs="宋体"/>
          <w:color w:val="auto"/>
          <w:kern w:val="0"/>
          <w:szCs w:val="21"/>
        </w:rPr>
        <w:t>如果投标人为联合体，应提交联合体各方的资格证明文件、共同投标协议并注明主体方及各方拟承担的工作和责任。否则，将导致其投标无效。</w:t>
      </w:r>
    </w:p>
    <w:p>
      <w:pPr>
        <w:numPr>
          <w:ilvl w:val="0"/>
          <w:numId w:val="34"/>
        </w:numPr>
        <w:spacing w:line="360" w:lineRule="auto"/>
        <w:rPr>
          <w:rFonts w:ascii="宋体" w:hAnsi="宋体"/>
          <w:b/>
          <w:bCs/>
          <w:color w:val="auto"/>
        </w:rPr>
      </w:pPr>
      <w:r>
        <w:rPr>
          <w:rFonts w:hint="eastAsia" w:ascii="宋体" w:hAnsi="ËÎÌå" w:cs="宋体"/>
          <w:color w:val="auto"/>
          <w:kern w:val="0"/>
          <w:szCs w:val="21"/>
        </w:rPr>
        <w:t>投标人提交的资格证明文件应证明其满足本须知定义的合格投标人。</w:t>
      </w:r>
    </w:p>
    <w:p>
      <w:pPr>
        <w:numPr>
          <w:ilvl w:val="3"/>
          <w:numId w:val="11"/>
        </w:numPr>
        <w:tabs>
          <w:tab w:val="center" w:pos="210"/>
          <w:tab w:val="center" w:pos="420"/>
          <w:tab w:val="center" w:pos="630"/>
        </w:tabs>
        <w:spacing w:line="360" w:lineRule="auto"/>
        <w:outlineLvl w:val="2"/>
        <w:rPr>
          <w:rFonts w:ascii="宋体" w:hAnsi="宋体"/>
          <w:b/>
          <w:bCs/>
          <w:color w:val="auto"/>
        </w:rPr>
      </w:pPr>
      <w:r>
        <w:rPr>
          <w:rFonts w:hint="eastAsia" w:ascii="宋体" w:hAnsi="宋体"/>
          <w:b/>
          <w:bCs/>
          <w:color w:val="auto"/>
        </w:rPr>
        <w:t>投标保证金</w:t>
      </w:r>
      <w:r>
        <w:rPr>
          <w:rFonts w:hint="eastAsia" w:ascii="宋体" w:hAnsi="宋体"/>
          <w:b/>
          <w:bCs/>
          <w:color w:val="auto"/>
          <w:lang w:eastAsia="zh-CN"/>
        </w:rPr>
        <w:t>（</w:t>
      </w:r>
      <w:r>
        <w:rPr>
          <w:rFonts w:hint="eastAsia" w:ascii="宋体" w:hAnsi="宋体"/>
          <w:b/>
          <w:bCs/>
          <w:color w:val="auto"/>
          <w:lang w:val="en-US" w:eastAsia="zh-CN"/>
        </w:rPr>
        <w:t>不适用</w:t>
      </w:r>
      <w:r>
        <w:rPr>
          <w:rFonts w:hint="eastAsia" w:ascii="宋体" w:hAnsi="宋体"/>
          <w:b/>
          <w:bCs/>
          <w:color w:val="auto"/>
          <w:lang w:eastAsia="zh-CN"/>
        </w:rPr>
        <w:t>）</w:t>
      </w:r>
    </w:p>
    <w:p>
      <w:pPr>
        <w:numPr>
          <w:ilvl w:val="0"/>
          <w:numId w:val="11"/>
        </w:numPr>
        <w:spacing w:line="360" w:lineRule="auto"/>
        <w:rPr>
          <w:rFonts w:ascii="宋体" w:hAnsi="宋体"/>
          <w:color w:val="auto"/>
        </w:rPr>
      </w:pPr>
      <w:r>
        <w:rPr>
          <w:rFonts w:hint="eastAsia" w:ascii="宋体" w:hAnsi="宋体"/>
          <w:color w:val="auto"/>
        </w:rPr>
        <w:t>投标人应按招标文件规定的金额和期限交纳投标保证金，投标保证金作为投标文件的组成部分。</w:t>
      </w:r>
      <w:r>
        <w:rPr>
          <w:rFonts w:hint="eastAsia" w:ascii="宋体" w:hAnsi="宋体"/>
          <w:color w:val="auto"/>
          <w:szCs w:val="21"/>
        </w:rPr>
        <w:t>投标人与交款人名称必须一致，非投标人缴纳的投标保证金无效。</w:t>
      </w:r>
    </w:p>
    <w:p>
      <w:pPr>
        <w:numPr>
          <w:ilvl w:val="0"/>
          <w:numId w:val="11"/>
        </w:numPr>
        <w:spacing w:line="360" w:lineRule="auto"/>
        <w:rPr>
          <w:rFonts w:hint="eastAsia" w:ascii="宋体" w:hAnsi="宋体"/>
          <w:color w:val="auto"/>
        </w:rPr>
      </w:pPr>
      <w:r>
        <w:rPr>
          <w:rFonts w:hint="eastAsia" w:ascii="宋体" w:hAnsi="宋体"/>
          <w:color w:val="auto"/>
        </w:rPr>
        <w:t>投标保证金交纳形式：</w:t>
      </w:r>
      <w:r>
        <w:rPr>
          <w:rFonts w:hint="eastAsia" w:ascii="&amp;quot" w:hAnsi="&amp;quot" w:cs="宋体"/>
          <w:color w:val="auto"/>
          <w:kern w:val="0"/>
          <w:szCs w:val="21"/>
        </w:rPr>
        <w:t>投标保证金可以采用现金、支票、汇票、信用证、保函、保险等能够实现保证目的的方式提交</w:t>
      </w:r>
      <w:r>
        <w:rPr>
          <w:rFonts w:hint="eastAsia" w:ascii="宋体" w:hAnsi="宋体"/>
          <w:color w:val="auto"/>
        </w:rPr>
        <w:t>。</w:t>
      </w:r>
    </w:p>
    <w:p>
      <w:pPr>
        <w:numPr>
          <w:ilvl w:val="0"/>
          <w:numId w:val="11"/>
        </w:numPr>
        <w:spacing w:line="360" w:lineRule="auto"/>
        <w:rPr>
          <w:rFonts w:hint="eastAsia" w:ascii="宋体" w:hAnsi="宋体"/>
          <w:color w:val="auto"/>
        </w:rPr>
      </w:pPr>
      <w:r>
        <w:rPr>
          <w:rFonts w:hint="eastAsia" w:ascii="宋体" w:hAnsi="宋体"/>
          <w:color w:val="auto"/>
        </w:rPr>
        <w:t>投标保证金交纳时间：须在投标截止时间前到达招标人账户</w:t>
      </w:r>
      <w:r>
        <w:rPr>
          <w:rFonts w:hint="eastAsia" w:ascii="宋体" w:hAnsi="宋体"/>
          <w:color w:val="auto"/>
          <w:szCs w:val="21"/>
        </w:rPr>
        <w:t>（以银行到账时间为准）</w:t>
      </w:r>
      <w:r>
        <w:rPr>
          <w:rFonts w:hint="eastAsia" w:ascii="宋体" w:hAnsi="宋体"/>
          <w:color w:val="auto"/>
        </w:rPr>
        <w:t>。</w:t>
      </w:r>
    </w:p>
    <w:p>
      <w:pPr>
        <w:numPr>
          <w:ilvl w:val="0"/>
          <w:numId w:val="11"/>
        </w:numPr>
        <w:spacing w:line="360" w:lineRule="auto"/>
        <w:rPr>
          <w:rFonts w:hint="eastAsia" w:ascii="宋体" w:hAnsi="宋体"/>
          <w:color w:val="auto"/>
        </w:rPr>
      </w:pPr>
      <w:r>
        <w:rPr>
          <w:rFonts w:hint="eastAsia" w:ascii="宋体" w:hAnsi="宋体"/>
          <w:color w:val="auto"/>
        </w:rPr>
        <w:t xml:space="preserve">投标人应向招标人提交投标保证金，金额见《投标须知前附表》。 </w:t>
      </w:r>
    </w:p>
    <w:p>
      <w:pPr>
        <w:numPr>
          <w:ilvl w:val="0"/>
          <w:numId w:val="11"/>
        </w:numPr>
        <w:spacing w:line="360" w:lineRule="auto"/>
        <w:rPr>
          <w:rFonts w:hint="eastAsia" w:ascii="宋体" w:hAnsi="宋体"/>
          <w:color w:val="auto"/>
        </w:rPr>
      </w:pPr>
      <w:r>
        <w:rPr>
          <w:rFonts w:hint="eastAsia" w:ascii="宋体" w:hAnsi="宋体"/>
          <w:color w:val="auto"/>
        </w:rPr>
        <w:t>投标保证金应为人民币，</w:t>
      </w:r>
      <w:r>
        <w:rPr>
          <w:rFonts w:hint="eastAsia" w:ascii="宋体" w:hAnsi="宋体"/>
          <w:color w:val="auto"/>
          <w:szCs w:val="21"/>
        </w:rPr>
        <w:t>投标保证金交纳证明</w:t>
      </w:r>
      <w:r>
        <w:rPr>
          <w:rFonts w:hint="eastAsia" w:ascii="宋体" w:hAnsi="宋体"/>
          <w:color w:val="auto"/>
        </w:rPr>
        <w:t>复印件在投标时与开标一览表复印件装入同一单独信封密封提交：</w:t>
      </w:r>
    </w:p>
    <w:p>
      <w:pPr>
        <w:numPr>
          <w:ilvl w:val="0"/>
          <w:numId w:val="11"/>
        </w:numPr>
        <w:spacing w:line="360" w:lineRule="auto"/>
        <w:rPr>
          <w:rFonts w:hint="eastAsia" w:ascii="宋体" w:hAnsi="宋体"/>
          <w:color w:val="auto"/>
        </w:rPr>
      </w:pPr>
      <w:r>
        <w:rPr>
          <w:rFonts w:hint="eastAsia" w:ascii="宋体" w:hAnsi="宋体"/>
          <w:color w:val="auto"/>
        </w:rPr>
        <w:t>投标人未按照招标文件要求提交投标保证金的，投标无效。</w:t>
      </w:r>
    </w:p>
    <w:p>
      <w:pPr>
        <w:numPr>
          <w:ilvl w:val="0"/>
          <w:numId w:val="11"/>
        </w:numPr>
        <w:spacing w:line="360" w:lineRule="auto"/>
        <w:rPr>
          <w:rFonts w:hint="eastAsia" w:ascii="宋体" w:hAnsi="宋体"/>
          <w:color w:val="auto"/>
        </w:rPr>
      </w:pPr>
      <w:r>
        <w:rPr>
          <w:rFonts w:hint="eastAsia" w:ascii="宋体" w:hAnsi="宋体"/>
          <w:color w:val="auto"/>
        </w:rPr>
        <w:t>如无异议或投诉，未中标的投标人保证金，在中标通知书发出之日起五日内原额退还；如有</w:t>
      </w:r>
      <w:r>
        <w:rPr>
          <w:rFonts w:hint="eastAsia" w:ascii="宋体" w:hAnsi="宋体"/>
          <w:color w:val="auto"/>
          <w:szCs w:val="21"/>
        </w:rPr>
        <w:t>异议</w:t>
      </w:r>
      <w:r>
        <w:rPr>
          <w:rFonts w:hint="eastAsia" w:ascii="宋体" w:hAnsi="宋体"/>
          <w:color w:val="auto"/>
        </w:rPr>
        <w:t>或投诉，将在</w:t>
      </w:r>
      <w:r>
        <w:rPr>
          <w:rFonts w:hint="eastAsia" w:ascii="宋体" w:hAnsi="宋体"/>
          <w:color w:val="auto"/>
          <w:szCs w:val="21"/>
        </w:rPr>
        <w:t>异议</w:t>
      </w:r>
      <w:r>
        <w:rPr>
          <w:rFonts w:hint="eastAsia" w:ascii="宋体" w:hAnsi="宋体"/>
          <w:color w:val="auto"/>
        </w:rPr>
        <w:t>和投诉处理完毕后原额退还。</w:t>
      </w:r>
    </w:p>
    <w:p>
      <w:pPr>
        <w:numPr>
          <w:ilvl w:val="0"/>
          <w:numId w:val="11"/>
        </w:numPr>
        <w:spacing w:line="360" w:lineRule="auto"/>
        <w:rPr>
          <w:rFonts w:hint="eastAsia" w:ascii="宋体" w:hAnsi="宋体"/>
          <w:color w:val="auto"/>
        </w:rPr>
      </w:pPr>
      <w:r>
        <w:rPr>
          <w:rFonts w:hint="eastAsia" w:ascii="宋体" w:hAnsi="宋体"/>
          <w:color w:val="auto"/>
        </w:rPr>
        <w:t>中标人的投标保证金,在中标人与招标人签订合同之日起五日内原额退还。</w:t>
      </w:r>
    </w:p>
    <w:p>
      <w:pPr>
        <w:numPr>
          <w:ilvl w:val="0"/>
          <w:numId w:val="11"/>
        </w:numPr>
        <w:spacing w:line="360" w:lineRule="auto"/>
        <w:rPr>
          <w:rFonts w:hint="eastAsia" w:ascii="宋体" w:hAnsi="宋体"/>
          <w:color w:val="auto"/>
        </w:rPr>
      </w:pPr>
      <w:r>
        <w:rPr>
          <w:rFonts w:hint="eastAsia" w:ascii="宋体" w:hAnsi="宋体"/>
          <w:color w:val="auto"/>
        </w:rPr>
        <w:t xml:space="preserve">下列任何情况发生时，投标保证金将不予退还： </w:t>
      </w:r>
    </w:p>
    <w:p>
      <w:pPr>
        <w:tabs>
          <w:tab w:val="left" w:pos="420"/>
        </w:tabs>
        <w:spacing w:line="360" w:lineRule="auto"/>
        <w:ind w:left="420"/>
        <w:jc w:val="left"/>
        <w:rPr>
          <w:rFonts w:hint="eastAsia"/>
          <w:color w:val="auto"/>
        </w:rPr>
      </w:pPr>
      <w:r>
        <w:rPr>
          <w:rFonts w:hint="eastAsia"/>
          <w:color w:val="auto"/>
        </w:rPr>
        <w:t>（</w:t>
      </w:r>
      <w:r>
        <w:rPr>
          <w:color w:val="auto"/>
        </w:rPr>
        <w:t>1</w:t>
      </w:r>
      <w:r>
        <w:rPr>
          <w:rFonts w:hint="eastAsia"/>
          <w:color w:val="auto"/>
        </w:rPr>
        <w:t>）投标人在招标文件中规定的投标有效期内撤回投标；</w:t>
      </w:r>
    </w:p>
    <w:p>
      <w:pPr>
        <w:tabs>
          <w:tab w:val="left" w:pos="420"/>
        </w:tabs>
        <w:spacing w:line="360" w:lineRule="auto"/>
        <w:ind w:left="420"/>
        <w:jc w:val="left"/>
        <w:rPr>
          <w:color w:val="auto"/>
        </w:rPr>
      </w:pPr>
      <w:r>
        <w:rPr>
          <w:rFonts w:hint="eastAsia"/>
          <w:color w:val="auto"/>
        </w:rPr>
        <w:t>（</w:t>
      </w:r>
      <w:r>
        <w:rPr>
          <w:color w:val="auto"/>
        </w:rPr>
        <w:t>2</w:t>
      </w:r>
      <w:r>
        <w:rPr>
          <w:rFonts w:hint="eastAsia"/>
          <w:color w:val="auto"/>
        </w:rPr>
        <w:t>）投标人在投标文件中提供虚假的文件和材料，意图骗取中标的；</w:t>
      </w:r>
    </w:p>
    <w:p>
      <w:pPr>
        <w:tabs>
          <w:tab w:val="left" w:pos="420"/>
        </w:tabs>
        <w:spacing w:line="360" w:lineRule="auto"/>
        <w:ind w:left="420"/>
        <w:jc w:val="left"/>
        <w:rPr>
          <w:color w:val="auto"/>
        </w:rPr>
      </w:pPr>
      <w:r>
        <w:rPr>
          <w:rFonts w:hint="eastAsia"/>
          <w:color w:val="auto"/>
        </w:rPr>
        <w:t>（</w:t>
      </w:r>
      <w:r>
        <w:rPr>
          <w:color w:val="auto"/>
        </w:rPr>
        <w:t>3</w:t>
      </w:r>
      <w:r>
        <w:rPr>
          <w:rFonts w:hint="eastAsia"/>
          <w:color w:val="auto"/>
        </w:rPr>
        <w:t>）中标人未能在规定期限内提交履约保证金或签订合同协议；</w:t>
      </w:r>
    </w:p>
    <w:p>
      <w:pPr>
        <w:tabs>
          <w:tab w:val="left" w:pos="420"/>
        </w:tabs>
        <w:spacing w:line="360" w:lineRule="auto"/>
        <w:ind w:left="420"/>
        <w:jc w:val="left"/>
        <w:rPr>
          <w:color w:val="auto"/>
        </w:rPr>
      </w:pPr>
      <w:r>
        <w:rPr>
          <w:rFonts w:hint="eastAsia"/>
          <w:color w:val="auto"/>
        </w:rPr>
        <w:t>（</w:t>
      </w:r>
      <w:r>
        <w:rPr>
          <w:color w:val="auto"/>
        </w:rPr>
        <w:t>4</w:t>
      </w:r>
      <w:r>
        <w:rPr>
          <w:rFonts w:hint="eastAsia"/>
          <w:color w:val="auto"/>
        </w:rPr>
        <w:t>）中标人未按规定交付招标代理服务费；</w:t>
      </w:r>
    </w:p>
    <w:p>
      <w:pPr>
        <w:tabs>
          <w:tab w:val="left" w:pos="420"/>
        </w:tabs>
        <w:spacing w:line="360" w:lineRule="auto"/>
        <w:ind w:left="420"/>
        <w:jc w:val="left"/>
        <w:rPr>
          <w:color w:val="auto"/>
        </w:rPr>
      </w:pPr>
      <w:r>
        <w:rPr>
          <w:rFonts w:hint="eastAsia"/>
          <w:color w:val="auto"/>
        </w:rPr>
        <w:t>（</w:t>
      </w:r>
      <w:r>
        <w:rPr>
          <w:color w:val="auto"/>
        </w:rPr>
        <w:t>5</w:t>
      </w:r>
      <w:r>
        <w:rPr>
          <w:rFonts w:hint="eastAsia"/>
          <w:color w:val="auto"/>
        </w:rPr>
        <w:t>）招标文件中其他规定。</w:t>
      </w:r>
    </w:p>
    <w:p>
      <w:pPr>
        <w:numPr>
          <w:ilvl w:val="0"/>
          <w:numId w:val="35"/>
        </w:numPr>
        <w:tabs>
          <w:tab w:val="center" w:pos="210"/>
          <w:tab w:val="center" w:pos="630"/>
        </w:tabs>
        <w:spacing w:line="360" w:lineRule="auto"/>
        <w:outlineLvl w:val="2"/>
        <w:rPr>
          <w:rFonts w:ascii="宋体" w:hAnsi="宋体"/>
          <w:b/>
          <w:bCs/>
          <w:color w:val="auto"/>
        </w:rPr>
      </w:pPr>
      <w:r>
        <w:rPr>
          <w:rFonts w:hint="eastAsia" w:ascii="宋体" w:hAnsi="宋体"/>
          <w:b/>
          <w:bCs/>
          <w:color w:val="auto"/>
        </w:rPr>
        <w:t>投标的截止时间、投标有效期</w:t>
      </w:r>
    </w:p>
    <w:p>
      <w:pPr>
        <w:numPr>
          <w:ilvl w:val="0"/>
          <w:numId w:val="36"/>
        </w:numPr>
        <w:spacing w:line="360" w:lineRule="auto"/>
        <w:rPr>
          <w:rFonts w:ascii="宋体" w:hAnsi="宋体"/>
          <w:color w:val="auto"/>
        </w:rPr>
      </w:pPr>
      <w:r>
        <w:rPr>
          <w:rFonts w:hint="eastAsia" w:ascii="宋体" w:hAnsi="宋体"/>
          <w:color w:val="auto"/>
        </w:rPr>
        <w:t>投标的截止时间为第一部分《投标邀请函》中规定时间，超过截止时间后的投标为无效投标，招标代理机构将拒收。</w:t>
      </w:r>
    </w:p>
    <w:p>
      <w:pPr>
        <w:numPr>
          <w:ilvl w:val="0"/>
          <w:numId w:val="36"/>
        </w:numPr>
        <w:spacing w:line="360" w:lineRule="auto"/>
        <w:rPr>
          <w:rFonts w:ascii="宋体" w:hAnsi="宋体"/>
          <w:color w:val="auto"/>
        </w:rPr>
      </w:pPr>
      <w:r>
        <w:rPr>
          <w:rFonts w:hint="eastAsia" w:ascii="宋体" w:hAnsi="宋体"/>
          <w:color w:val="auto"/>
        </w:rPr>
        <w:t>从投标截止日起，投标有效期为《投标须知前附表》规定天数。在特殊情况下，招标代理机构可于投标有效期满之前要求投标人同意延长有效期，要求与答复均应以书面形式。投标人可以拒绝上述要求而其投标保证金不被没收，同意延期的投标人在原投标有效期内应享之权利及应负之责任也相应延续。</w:t>
      </w:r>
    </w:p>
    <w:p>
      <w:pPr>
        <w:numPr>
          <w:ilvl w:val="0"/>
          <w:numId w:val="35"/>
        </w:numPr>
        <w:tabs>
          <w:tab w:val="center" w:pos="210"/>
          <w:tab w:val="center" w:pos="630"/>
        </w:tabs>
        <w:spacing w:line="360" w:lineRule="auto"/>
        <w:outlineLvl w:val="2"/>
        <w:rPr>
          <w:rFonts w:ascii="宋体" w:hAnsi="宋体"/>
          <w:b/>
          <w:bCs/>
          <w:color w:val="auto"/>
        </w:rPr>
      </w:pPr>
      <w:r>
        <w:rPr>
          <w:rFonts w:hint="eastAsia" w:ascii="宋体" w:hAnsi="宋体"/>
          <w:b/>
          <w:bCs/>
          <w:color w:val="auto"/>
        </w:rPr>
        <w:t>投标文件的数量和签署</w:t>
      </w:r>
    </w:p>
    <w:p>
      <w:pPr>
        <w:numPr>
          <w:ilvl w:val="0"/>
          <w:numId w:val="37"/>
        </w:numPr>
        <w:spacing w:line="360" w:lineRule="auto"/>
        <w:rPr>
          <w:rFonts w:ascii="宋体" w:hAnsi="宋体"/>
          <w:color w:val="auto"/>
        </w:rPr>
      </w:pPr>
      <w:r>
        <w:rPr>
          <w:rFonts w:hint="eastAsia" w:ascii="宋体" w:hAnsi="宋体"/>
          <w:color w:val="auto"/>
        </w:rPr>
        <w:t>投标人应编制投标文件的数量见《投标须知前附表》规定，投标文件的副本可采用正本的复印件。每套投标文件须清楚地标明“正本”、“副本”。若副本与正本不符，以正本为准。</w:t>
      </w:r>
    </w:p>
    <w:p>
      <w:pPr>
        <w:numPr>
          <w:ilvl w:val="0"/>
          <w:numId w:val="37"/>
        </w:numPr>
        <w:spacing w:line="360" w:lineRule="auto"/>
        <w:rPr>
          <w:rFonts w:ascii="宋体" w:hAnsi="宋体"/>
          <w:color w:val="auto"/>
        </w:rPr>
      </w:pPr>
      <w:r>
        <w:rPr>
          <w:rFonts w:hint="eastAsia" w:ascii="宋体" w:hAnsi="宋体"/>
          <w:color w:val="auto"/>
        </w:rPr>
        <w:t>投标文件正本必须用计算机打印。投标文件要求签名的均必须用黑色墨水填写，并由法定代表人或其正式授权的代表签字并加盖投标人公章。法定代表人授权代表须以书面形式出具“法定代表人授权委托书”附在投标文件中。</w:t>
      </w:r>
    </w:p>
    <w:p>
      <w:pPr>
        <w:numPr>
          <w:ilvl w:val="0"/>
          <w:numId w:val="37"/>
        </w:numPr>
        <w:spacing w:line="360" w:lineRule="auto"/>
        <w:rPr>
          <w:rFonts w:ascii="宋体" w:hAnsi="宋体"/>
          <w:color w:val="auto"/>
          <w:kern w:val="0"/>
        </w:rPr>
      </w:pPr>
      <w:r>
        <w:rPr>
          <w:rFonts w:hint="eastAsia" w:ascii="宋体" w:hAnsi="宋体"/>
          <w:color w:val="auto"/>
        </w:rPr>
        <w:t>投标文件一般不得涂改和增删，除对差错处做必要修改外，不得行间插字、涂改或增删，如有上述改动，必须由法定代表人或授权代表签字并加盖投标人公章。</w:t>
      </w:r>
    </w:p>
    <w:p>
      <w:pPr>
        <w:numPr>
          <w:ilvl w:val="0"/>
          <w:numId w:val="37"/>
        </w:numPr>
        <w:spacing w:line="360" w:lineRule="auto"/>
        <w:rPr>
          <w:rFonts w:ascii="宋体" w:hAnsi="宋体"/>
          <w:color w:val="auto"/>
        </w:rPr>
      </w:pPr>
      <w:r>
        <w:rPr>
          <w:rFonts w:hint="eastAsia" w:ascii="宋体" w:hAnsi="宋体"/>
          <w:color w:val="auto"/>
          <w:kern w:val="0"/>
        </w:rPr>
        <w:t>若为联合体的，除“联合体协议书”及“法定代表人授权委托书”外，投标文件的其它内容可由联合体主体方进行签署即</w:t>
      </w:r>
      <w:r>
        <w:rPr>
          <w:rFonts w:hint="eastAsia" w:ascii="宋体" w:hAnsi="宋体"/>
          <w:color w:val="auto"/>
        </w:rPr>
        <w:t>可。</w:t>
      </w:r>
    </w:p>
    <w:p>
      <w:pPr>
        <w:numPr>
          <w:ilvl w:val="0"/>
          <w:numId w:val="37"/>
        </w:numPr>
        <w:spacing w:line="360" w:lineRule="auto"/>
        <w:rPr>
          <w:rFonts w:ascii="宋体" w:hAnsi="宋体"/>
          <w:color w:val="auto"/>
        </w:rPr>
      </w:pPr>
      <w:r>
        <w:rPr>
          <w:rFonts w:hint="eastAsia" w:ascii="宋体" w:hAnsi="宋体"/>
          <w:color w:val="auto"/>
        </w:rPr>
        <w:t>投标文件应编制目录，并有页码。</w:t>
      </w:r>
    </w:p>
    <w:p>
      <w:pPr>
        <w:numPr>
          <w:ilvl w:val="0"/>
          <w:numId w:val="10"/>
        </w:numPr>
        <w:spacing w:line="360" w:lineRule="auto"/>
        <w:jc w:val="center"/>
        <w:outlineLvl w:val="1"/>
        <w:rPr>
          <w:rFonts w:ascii="宋体" w:hAnsi="宋体"/>
          <w:b/>
          <w:bCs/>
          <w:color w:val="auto"/>
          <w:sz w:val="30"/>
          <w:szCs w:val="30"/>
        </w:rPr>
      </w:pPr>
      <w:bookmarkStart w:id="46" w:name="_Toc385940880"/>
      <w:r>
        <w:rPr>
          <w:rFonts w:hint="eastAsia" w:ascii="宋体" w:hAnsi="宋体"/>
          <w:b/>
          <w:bCs/>
          <w:color w:val="auto"/>
          <w:sz w:val="30"/>
          <w:szCs w:val="30"/>
        </w:rPr>
        <w:t>投标文件的递交</w:t>
      </w:r>
      <w:bookmarkEnd w:id="46"/>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投标文件的密封和标记</w:t>
      </w:r>
    </w:p>
    <w:p>
      <w:pPr>
        <w:numPr>
          <w:ilvl w:val="0"/>
          <w:numId w:val="38"/>
        </w:numPr>
        <w:spacing w:line="360" w:lineRule="auto"/>
        <w:rPr>
          <w:rFonts w:ascii="宋体" w:hAnsi="宋体"/>
          <w:color w:val="auto"/>
        </w:rPr>
      </w:pPr>
      <w:r>
        <w:rPr>
          <w:rFonts w:hint="eastAsia" w:ascii="宋体" w:hAnsi="宋体"/>
          <w:color w:val="auto"/>
        </w:rPr>
        <w:t>为方便开标时唱标，投标人应将《开标一览表》一份单独放在《唱标信封》中和其他《唱标信封》要求的文件一起密封提交。投标人应将投标文件正本和所有的副本密封包装，并在外包装上清晰标明“正本”、“副本”字样。</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对投标文件投递的要求</w:t>
      </w:r>
    </w:p>
    <w:p>
      <w:pPr>
        <w:numPr>
          <w:ilvl w:val="0"/>
          <w:numId w:val="39"/>
        </w:numPr>
        <w:spacing w:line="360" w:lineRule="auto"/>
        <w:rPr>
          <w:rFonts w:ascii="宋体" w:hAnsi="宋体"/>
          <w:color w:val="auto"/>
        </w:rPr>
      </w:pPr>
      <w:r>
        <w:rPr>
          <w:rFonts w:hint="eastAsia" w:ascii="宋体" w:hAnsi="宋体"/>
          <w:color w:val="auto"/>
        </w:rPr>
        <w:t>所有投标文件应于第一部分《投标邀请函》中规定的</w:t>
      </w:r>
      <w:r>
        <w:rPr>
          <w:rFonts w:hint="eastAsia" w:ascii="宋体" w:hAnsi="宋体"/>
          <w:color w:val="auto"/>
          <w:szCs w:val="18"/>
        </w:rPr>
        <w:t>投标</w:t>
      </w:r>
      <w:r>
        <w:rPr>
          <w:rFonts w:hint="eastAsia" w:ascii="宋体" w:hAnsi="宋体"/>
          <w:color w:val="auto"/>
        </w:rPr>
        <w:t>截止时间前递交到招标代理机构。</w:t>
      </w:r>
    </w:p>
    <w:p>
      <w:pPr>
        <w:numPr>
          <w:ilvl w:val="0"/>
          <w:numId w:val="39"/>
        </w:numPr>
        <w:spacing w:line="360" w:lineRule="auto"/>
        <w:rPr>
          <w:rFonts w:ascii="宋体" w:hAnsi="宋体"/>
          <w:color w:val="auto"/>
        </w:rPr>
      </w:pPr>
      <w:r>
        <w:rPr>
          <w:rFonts w:hint="eastAsia" w:ascii="宋体" w:hAnsi="宋体"/>
          <w:color w:val="auto"/>
        </w:rPr>
        <w:t>投标文件的递交须由投标人代表签名确认。</w:t>
      </w:r>
    </w:p>
    <w:p>
      <w:pPr>
        <w:numPr>
          <w:ilvl w:val="0"/>
          <w:numId w:val="39"/>
        </w:numPr>
        <w:spacing w:line="360" w:lineRule="auto"/>
        <w:rPr>
          <w:rFonts w:ascii="宋体" w:hAnsi="宋体"/>
          <w:color w:val="auto"/>
        </w:rPr>
      </w:pPr>
      <w:r>
        <w:rPr>
          <w:rFonts w:hint="eastAsia" w:ascii="宋体" w:hAnsi="宋体"/>
          <w:color w:val="auto"/>
        </w:rPr>
        <w:t>所有投标文件必须装在密封完好的信封。投标文件的正本和副本应分别封装，并在每一信封或包装的封面上写明：</w:t>
      </w:r>
    </w:p>
    <w:tbl>
      <w:tblPr>
        <w:tblStyle w:val="36"/>
        <w:tblW w:w="0" w:type="auto"/>
        <w:tblInd w:w="63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36"/>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75" w:hRule="atLeast"/>
        </w:trPr>
        <w:tc>
          <w:tcPr>
            <w:tcW w:w="8936" w:type="dxa"/>
            <w:noWrap w:val="0"/>
            <w:vAlign w:val="top"/>
          </w:tcPr>
          <w:p>
            <w:pPr>
              <w:spacing w:line="360" w:lineRule="auto"/>
              <w:jc w:val="center"/>
              <w:rPr>
                <w:rFonts w:ascii="宋体" w:hAnsi="宋体"/>
                <w:b/>
                <w:bCs/>
                <w:color w:val="auto"/>
                <w:sz w:val="30"/>
                <w:szCs w:val="30"/>
              </w:rPr>
            </w:pPr>
            <w:r>
              <w:rPr>
                <w:rFonts w:hint="eastAsia" w:ascii="宋体" w:hAnsi="宋体"/>
                <w:b/>
                <w:bCs/>
                <w:color w:val="auto"/>
                <w:sz w:val="30"/>
                <w:szCs w:val="30"/>
              </w:rPr>
              <w:t>投标文件（正/副本/唱标信封）</w:t>
            </w:r>
          </w:p>
          <w:p>
            <w:pPr>
              <w:spacing w:line="400" w:lineRule="exact"/>
              <w:ind w:left="448"/>
              <w:rPr>
                <w:rFonts w:ascii="宋体" w:hAnsi="宋体"/>
                <w:bCs/>
                <w:color w:val="auto"/>
                <w:szCs w:val="21"/>
              </w:rPr>
            </w:pPr>
            <w:r>
              <w:rPr>
                <w:rFonts w:hint="eastAsia" w:ascii="宋体" w:hAnsi="宋体"/>
                <w:bCs/>
                <w:color w:val="auto"/>
                <w:szCs w:val="21"/>
              </w:rPr>
              <w:t>项目编号：填写招标文件第一章“投标邀请函”中写明的项目编号</w:t>
            </w:r>
          </w:p>
          <w:p>
            <w:pPr>
              <w:spacing w:line="400" w:lineRule="exact"/>
              <w:ind w:left="448"/>
              <w:rPr>
                <w:rFonts w:hint="eastAsia" w:ascii="宋体" w:hAnsi="宋体"/>
                <w:bCs/>
                <w:color w:val="auto"/>
                <w:szCs w:val="20"/>
              </w:rPr>
            </w:pPr>
            <w:r>
              <w:rPr>
                <w:rFonts w:hint="eastAsia" w:ascii="宋体" w:hAnsi="宋体"/>
                <w:bCs/>
                <w:color w:val="auto"/>
                <w:szCs w:val="21"/>
              </w:rPr>
              <w:t>项目名称：填写招标文件第一章“投标邀请函”中写明的</w:t>
            </w:r>
            <w:r>
              <w:rPr>
                <w:rFonts w:hint="eastAsia" w:ascii="宋体" w:hAnsi="宋体"/>
                <w:bCs/>
                <w:color w:val="auto"/>
                <w:szCs w:val="20"/>
              </w:rPr>
              <w:t>项目名称</w:t>
            </w:r>
          </w:p>
          <w:p>
            <w:pPr>
              <w:spacing w:line="400" w:lineRule="exact"/>
              <w:ind w:left="448"/>
              <w:rPr>
                <w:rFonts w:ascii="宋体" w:hAnsi="宋体"/>
                <w:bCs/>
                <w:color w:val="auto"/>
                <w:szCs w:val="21"/>
              </w:rPr>
            </w:pPr>
            <w:r>
              <w:rPr>
                <w:rFonts w:hint="eastAsia" w:ascii="宋体" w:hAnsi="宋体"/>
                <w:bCs/>
                <w:color w:val="auto"/>
                <w:szCs w:val="21"/>
              </w:rPr>
              <w:t>投标人名称（盖章）：</w:t>
            </w:r>
          </w:p>
          <w:p>
            <w:pPr>
              <w:spacing w:line="400" w:lineRule="exact"/>
              <w:ind w:left="448"/>
              <w:rPr>
                <w:rFonts w:ascii="宋体" w:hAnsi="宋体"/>
                <w:bCs/>
                <w:color w:val="auto"/>
                <w:szCs w:val="21"/>
              </w:rPr>
            </w:pPr>
            <w:r>
              <w:rPr>
                <w:rFonts w:hint="eastAsia" w:ascii="宋体" w:hAnsi="宋体"/>
                <w:bCs/>
                <w:color w:val="auto"/>
                <w:szCs w:val="21"/>
              </w:rPr>
              <w:t>投标人地址：</w:t>
            </w:r>
          </w:p>
          <w:p>
            <w:pPr>
              <w:spacing w:line="400" w:lineRule="exact"/>
              <w:ind w:left="448"/>
              <w:rPr>
                <w:rFonts w:ascii="宋体" w:hAnsi="宋体"/>
                <w:bCs/>
                <w:color w:val="auto"/>
                <w:szCs w:val="21"/>
              </w:rPr>
            </w:pPr>
            <w:r>
              <w:rPr>
                <w:rFonts w:hint="eastAsia" w:ascii="宋体" w:hAnsi="宋体"/>
                <w:bCs/>
                <w:color w:val="auto"/>
                <w:szCs w:val="21"/>
              </w:rPr>
              <w:t>联 系 人：</w:t>
            </w:r>
          </w:p>
          <w:p>
            <w:pPr>
              <w:spacing w:line="400" w:lineRule="exact"/>
              <w:ind w:left="448"/>
              <w:rPr>
                <w:rFonts w:ascii="宋体" w:hAnsi="宋体"/>
                <w:bCs/>
                <w:color w:val="auto"/>
                <w:szCs w:val="21"/>
              </w:rPr>
            </w:pPr>
            <w:r>
              <w:rPr>
                <w:rFonts w:hint="eastAsia" w:ascii="宋体" w:hAnsi="宋体"/>
                <w:bCs/>
                <w:color w:val="auto"/>
                <w:szCs w:val="21"/>
              </w:rPr>
              <w:t>联系电话：</w:t>
            </w:r>
          </w:p>
          <w:p>
            <w:pPr>
              <w:spacing w:line="400" w:lineRule="exact"/>
              <w:ind w:left="448"/>
              <w:jc w:val="center"/>
              <w:rPr>
                <w:rFonts w:ascii="宋体" w:hAnsi="宋体"/>
                <w:b/>
                <w:bCs/>
                <w:color w:val="auto"/>
              </w:rPr>
            </w:pPr>
            <w:r>
              <w:rPr>
                <w:rFonts w:hint="eastAsia" w:ascii="宋体" w:hAnsi="宋体"/>
                <w:b/>
                <w:bCs/>
                <w:color w:val="auto"/>
                <w:szCs w:val="21"/>
              </w:rPr>
              <w:t>（注意：       年      月      日     分之前不得开启）</w:t>
            </w:r>
          </w:p>
        </w:tc>
      </w:tr>
    </w:tbl>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投标文件的修改和撤回</w:t>
      </w:r>
    </w:p>
    <w:p>
      <w:pPr>
        <w:numPr>
          <w:ilvl w:val="0"/>
          <w:numId w:val="40"/>
        </w:numPr>
        <w:spacing w:line="360" w:lineRule="auto"/>
        <w:rPr>
          <w:rFonts w:ascii="宋体" w:hAnsi="宋体"/>
          <w:color w:val="auto"/>
        </w:rPr>
      </w:pPr>
      <w:r>
        <w:rPr>
          <w:rFonts w:hint="eastAsia" w:ascii="宋体" w:hAnsi="宋体"/>
          <w:color w:val="auto"/>
        </w:rPr>
        <w:t>投标人在投标截止时间前，可以对所递交的投标文件进行补充、修改或者撤回，并书面通知招标代理机构。补充、修改的内容应当按招标文件要求签署、盖章，并作为投标文件的组成部分。</w:t>
      </w:r>
    </w:p>
    <w:p>
      <w:pPr>
        <w:numPr>
          <w:ilvl w:val="0"/>
          <w:numId w:val="40"/>
        </w:numPr>
        <w:spacing w:line="360" w:lineRule="auto"/>
        <w:rPr>
          <w:rFonts w:ascii="宋体" w:hAnsi="宋体"/>
          <w:color w:val="auto"/>
        </w:rPr>
      </w:pPr>
      <w:r>
        <w:rPr>
          <w:rFonts w:hint="eastAsia" w:ascii="宋体" w:hAnsi="宋体"/>
          <w:color w:val="auto"/>
        </w:rPr>
        <w:t>在投标截止时间之后，投标人不得对其投标文件做任何修改和补充。</w:t>
      </w:r>
    </w:p>
    <w:p>
      <w:pPr>
        <w:numPr>
          <w:ilvl w:val="0"/>
          <w:numId w:val="40"/>
        </w:numPr>
        <w:spacing w:line="360" w:lineRule="auto"/>
        <w:rPr>
          <w:rFonts w:ascii="宋体" w:hAnsi="宋体"/>
          <w:color w:val="auto"/>
        </w:rPr>
      </w:pPr>
      <w:r>
        <w:rPr>
          <w:rFonts w:hint="eastAsia" w:ascii="宋体" w:hAnsi="宋体"/>
          <w:color w:val="auto"/>
        </w:rPr>
        <w:t>招标代理机构不接受电报、电话、电传、传真等形式的投标。</w:t>
      </w:r>
    </w:p>
    <w:p>
      <w:pPr>
        <w:numPr>
          <w:ilvl w:val="0"/>
          <w:numId w:val="40"/>
        </w:numPr>
        <w:spacing w:line="360" w:lineRule="auto"/>
        <w:rPr>
          <w:rFonts w:ascii="宋体" w:hAnsi="宋体"/>
          <w:color w:val="auto"/>
        </w:rPr>
      </w:pPr>
      <w:r>
        <w:rPr>
          <w:rFonts w:hint="eastAsia" w:ascii="宋体" w:hAnsi="宋体"/>
          <w:color w:val="auto"/>
        </w:rPr>
        <w:t>投标人在递交投标文件后，可以撤回其投标，但投标人必须在规定的投标截止时间前以书面形式告知招标代理机构。</w:t>
      </w:r>
    </w:p>
    <w:p>
      <w:pPr>
        <w:numPr>
          <w:ilvl w:val="0"/>
          <w:numId w:val="40"/>
        </w:numPr>
        <w:spacing w:line="360" w:lineRule="auto"/>
        <w:rPr>
          <w:rFonts w:ascii="宋体" w:hAnsi="宋体"/>
          <w:color w:val="auto"/>
        </w:rPr>
      </w:pPr>
      <w:r>
        <w:rPr>
          <w:rFonts w:hint="eastAsia" w:ascii="宋体" w:hAnsi="宋体"/>
          <w:color w:val="auto"/>
        </w:rPr>
        <w:t>投标人所提交的投标文件在评标结束后，无论中标与否都不退还。</w:t>
      </w:r>
    </w:p>
    <w:p>
      <w:pPr>
        <w:numPr>
          <w:ilvl w:val="0"/>
          <w:numId w:val="40"/>
        </w:numPr>
        <w:spacing w:line="360" w:lineRule="auto"/>
        <w:rPr>
          <w:rFonts w:ascii="宋体" w:hAnsi="宋体"/>
          <w:color w:val="auto"/>
        </w:rPr>
      </w:pPr>
      <w:r>
        <w:rPr>
          <w:rFonts w:hint="eastAsia" w:ascii="宋体" w:hAnsi="宋体"/>
          <w:color w:val="auto"/>
        </w:rPr>
        <w:t>招标代理机构对不可抗力事件所造成投标文件的损坏、丢失不承担任何责任。</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投标样品</w:t>
      </w:r>
    </w:p>
    <w:p>
      <w:pPr>
        <w:numPr>
          <w:ilvl w:val="0"/>
          <w:numId w:val="41"/>
        </w:numPr>
        <w:spacing w:line="360" w:lineRule="auto"/>
        <w:rPr>
          <w:rFonts w:ascii="宋体" w:hAnsi="宋体"/>
          <w:color w:val="auto"/>
        </w:rPr>
      </w:pPr>
      <w:r>
        <w:rPr>
          <w:rFonts w:hint="eastAsia" w:ascii="宋体" w:hAnsi="宋体"/>
          <w:color w:val="auto"/>
        </w:rPr>
        <w:t>本项目如要求提交投标样品的，招标代理机构在收取样品时没有对样品外观进行验收及性能测试，对样品的破损或质量概不负责。</w:t>
      </w:r>
    </w:p>
    <w:p>
      <w:pPr>
        <w:numPr>
          <w:ilvl w:val="0"/>
          <w:numId w:val="41"/>
        </w:numPr>
        <w:spacing w:line="360" w:lineRule="auto"/>
        <w:rPr>
          <w:rFonts w:ascii="宋体" w:hAnsi="宋体"/>
          <w:color w:val="auto"/>
        </w:rPr>
      </w:pPr>
      <w:r>
        <w:rPr>
          <w:rFonts w:hint="eastAsia" w:ascii="宋体" w:hAnsi="宋体"/>
          <w:color w:val="auto"/>
        </w:rPr>
        <w:t>由于招标代理机构存放样品的空间有限，如招标人无需留存样品的情况下，请各有关投标人收到招标代理机构的投标样品退还通知后7日内取回，否则视同投标人不再认领，招标代理机构有权进行处理。</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投标文件的拒收</w:t>
      </w:r>
    </w:p>
    <w:p>
      <w:pPr>
        <w:numPr>
          <w:ilvl w:val="0"/>
          <w:numId w:val="42"/>
        </w:numPr>
        <w:spacing w:line="360" w:lineRule="auto"/>
        <w:rPr>
          <w:rFonts w:ascii="宋体" w:hAnsi="宋体"/>
          <w:color w:val="auto"/>
        </w:rPr>
      </w:pPr>
      <w:r>
        <w:rPr>
          <w:rFonts w:hint="eastAsia" w:ascii="宋体" w:hAnsi="宋体"/>
          <w:color w:val="auto"/>
        </w:rPr>
        <w:t>投标文件有下列情形之一的，招标代理机构拒绝收取投标文件：</w:t>
      </w:r>
    </w:p>
    <w:p>
      <w:pPr>
        <w:spacing w:line="360" w:lineRule="auto"/>
        <w:ind w:left="630" w:leftChars="200" w:hanging="210" w:hangingChars="100"/>
        <w:jc w:val="left"/>
        <w:rPr>
          <w:rFonts w:ascii="宋体" w:hAnsi="宋体"/>
          <w:color w:val="auto"/>
        </w:rPr>
      </w:pPr>
      <w:r>
        <w:rPr>
          <w:rFonts w:hint="eastAsia" w:ascii="宋体" w:hAnsi="宋体"/>
          <w:color w:val="auto"/>
        </w:rPr>
        <w:t>（1）在超过投标截止时间送达的或未送达指定地点的；</w:t>
      </w:r>
    </w:p>
    <w:p>
      <w:pPr>
        <w:spacing w:line="360" w:lineRule="auto"/>
        <w:ind w:left="735" w:leftChars="200" w:hanging="315" w:hangingChars="150"/>
        <w:jc w:val="left"/>
        <w:rPr>
          <w:rFonts w:ascii="宋体" w:hAnsi="宋体"/>
          <w:color w:val="auto"/>
        </w:rPr>
      </w:pPr>
      <w:r>
        <w:rPr>
          <w:rFonts w:hint="eastAsia" w:ascii="宋体" w:hAnsi="宋体"/>
          <w:color w:val="auto"/>
        </w:rPr>
        <w:t>（2）投标文件未密封。</w:t>
      </w:r>
    </w:p>
    <w:p>
      <w:pPr>
        <w:spacing w:line="360" w:lineRule="auto"/>
        <w:rPr>
          <w:rFonts w:ascii="宋体" w:hAnsi="宋体"/>
          <w:b/>
          <w:color w:val="auto"/>
        </w:rPr>
      </w:pPr>
    </w:p>
    <w:p>
      <w:pPr>
        <w:numPr>
          <w:ilvl w:val="0"/>
          <w:numId w:val="10"/>
        </w:numPr>
        <w:spacing w:line="360" w:lineRule="auto"/>
        <w:jc w:val="center"/>
        <w:outlineLvl w:val="1"/>
        <w:rPr>
          <w:rFonts w:ascii="宋体" w:hAnsi="宋体"/>
          <w:b/>
          <w:bCs/>
          <w:color w:val="auto"/>
          <w:sz w:val="30"/>
          <w:szCs w:val="30"/>
        </w:rPr>
      </w:pPr>
      <w:r>
        <w:rPr>
          <w:rFonts w:hint="eastAsia" w:ascii="宋体" w:hAnsi="宋体"/>
          <w:b/>
          <w:bCs/>
          <w:color w:val="auto"/>
          <w:sz w:val="30"/>
          <w:szCs w:val="30"/>
        </w:rPr>
        <w:t>开标、评标定标</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开标</w:t>
      </w:r>
    </w:p>
    <w:p>
      <w:pPr>
        <w:numPr>
          <w:ilvl w:val="0"/>
          <w:numId w:val="43"/>
        </w:numPr>
        <w:spacing w:line="360" w:lineRule="auto"/>
        <w:rPr>
          <w:rFonts w:ascii="宋体" w:hAnsi="宋体"/>
          <w:color w:val="auto"/>
        </w:rPr>
      </w:pPr>
      <w:r>
        <w:rPr>
          <w:rFonts w:hint="eastAsia" w:ascii="宋体" w:hAnsi="宋体"/>
          <w:color w:val="auto"/>
        </w:rPr>
        <w:t>招标代理机构在《投标邀请函》中规定的日期、时间和地点组织公开开标。开标时原则上应当有招标人代表和投标人代表参加。参加开标的代表应签到以证明其出席。投标人未参加开标的，视同认可开标结果。</w:t>
      </w:r>
    </w:p>
    <w:p>
      <w:pPr>
        <w:numPr>
          <w:ilvl w:val="0"/>
          <w:numId w:val="43"/>
        </w:numPr>
        <w:spacing w:line="360" w:lineRule="auto"/>
        <w:rPr>
          <w:rFonts w:ascii="宋体" w:hAnsi="宋体"/>
          <w:color w:val="auto"/>
        </w:rPr>
      </w:pPr>
      <w:r>
        <w:rPr>
          <w:rFonts w:hint="eastAsia" w:ascii="宋体" w:hAnsi="宋体"/>
          <w:color w:val="auto"/>
        </w:rPr>
        <w:t>开标时，由投标人或投标人的推选代表（投标人代表产生原则：参加投标的投标人超过5家时按照签到顺序递交投标文件的前五名投标人代表作为全体投标人的推选的代表）检查投标文件的密封情况，也可以由招标人委托的机构检查并见证，经确认无误后由招标工作人员当众拆封，宣读投标人名称、投标价格、价格折扣、投标文件的其他主要内容和招标文件允许提供的备选投标方案。</w:t>
      </w:r>
    </w:p>
    <w:p>
      <w:pPr>
        <w:numPr>
          <w:ilvl w:val="0"/>
          <w:numId w:val="43"/>
        </w:numPr>
        <w:spacing w:line="360" w:lineRule="auto"/>
        <w:rPr>
          <w:rFonts w:ascii="宋体" w:hAnsi="宋体"/>
          <w:color w:val="auto"/>
        </w:rPr>
      </w:pPr>
      <w:r>
        <w:rPr>
          <w:rFonts w:hint="eastAsia" w:ascii="宋体" w:hAnsi="宋体"/>
          <w:color w:val="auto"/>
        </w:rPr>
        <w:t>在开标时，未宣读的投标价格和招标文件允许提供的备选投标方案等实质内容，评标时不予承认。</w:t>
      </w:r>
    </w:p>
    <w:p>
      <w:pPr>
        <w:numPr>
          <w:ilvl w:val="0"/>
          <w:numId w:val="43"/>
        </w:numPr>
        <w:spacing w:line="360" w:lineRule="auto"/>
        <w:rPr>
          <w:rFonts w:ascii="宋体" w:hAnsi="宋体"/>
          <w:color w:val="auto"/>
        </w:rPr>
      </w:pPr>
      <w:r>
        <w:rPr>
          <w:rFonts w:hint="eastAsia" w:ascii="宋体" w:hAnsi="宋体"/>
          <w:color w:val="auto"/>
        </w:rPr>
        <w:t>招标代理机构将做开标记录，开标记录由各投标人签字确认。</w:t>
      </w:r>
    </w:p>
    <w:p>
      <w:pPr>
        <w:numPr>
          <w:ilvl w:val="0"/>
          <w:numId w:val="43"/>
        </w:numPr>
        <w:spacing w:line="360" w:lineRule="auto"/>
        <w:rPr>
          <w:rFonts w:ascii="宋体" w:hAnsi="宋体"/>
          <w:color w:val="auto"/>
        </w:rPr>
      </w:pPr>
      <w:r>
        <w:rPr>
          <w:rFonts w:hint="eastAsia" w:ascii="宋体" w:hAnsi="宋体"/>
          <w:color w:val="auto"/>
        </w:rPr>
        <w:t>开标时，开标一览表投标总报价与投标分项报价表中的投标总报价不一致的，以投标分项报价表中的单价金额计算结果为准。开标一览表的大写金额和小写金额不一致的，以大写金额为准；对不同文字文本投标文件的解释发生异议的，以中文文本为准。</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评标过程的保密性</w:t>
      </w:r>
    </w:p>
    <w:p>
      <w:pPr>
        <w:numPr>
          <w:ilvl w:val="0"/>
          <w:numId w:val="44"/>
        </w:numPr>
        <w:spacing w:line="360" w:lineRule="auto"/>
        <w:rPr>
          <w:rFonts w:ascii="宋体" w:hAnsi="宋体"/>
          <w:color w:val="auto"/>
        </w:rPr>
      </w:pPr>
      <w:r>
        <w:rPr>
          <w:rFonts w:hint="eastAsia" w:ascii="宋体" w:hAnsi="宋体"/>
          <w:color w:val="auto"/>
        </w:rPr>
        <w:t>从开标到签订合同，凡与审查、澄清、评审和投标有关的资料以及定标意见相关的事项，参与招投标的有关人员均不得向投标人及与评标无关的其他人透露。</w:t>
      </w:r>
    </w:p>
    <w:p>
      <w:pPr>
        <w:numPr>
          <w:ilvl w:val="0"/>
          <w:numId w:val="44"/>
        </w:numPr>
        <w:spacing w:line="360" w:lineRule="auto"/>
        <w:rPr>
          <w:rFonts w:ascii="宋体" w:hAnsi="宋体"/>
          <w:color w:val="auto"/>
        </w:rPr>
      </w:pPr>
      <w:r>
        <w:rPr>
          <w:rFonts w:hint="eastAsia" w:ascii="宋体" w:hAnsi="宋体"/>
          <w:color w:val="auto"/>
        </w:rPr>
        <w:t>招标人应采取必要的措施，保证评标在严格保密的情况下进行。任何单位和个人不得非法干预、影响评标的过程和结果。</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评标委员会的组成和评标方法</w:t>
      </w:r>
    </w:p>
    <w:p>
      <w:pPr>
        <w:numPr>
          <w:ilvl w:val="0"/>
          <w:numId w:val="45"/>
        </w:numPr>
        <w:spacing w:line="360" w:lineRule="auto"/>
        <w:rPr>
          <w:rFonts w:ascii="宋体" w:hAnsi="宋体"/>
          <w:color w:val="auto"/>
        </w:rPr>
      </w:pPr>
      <w:r>
        <w:rPr>
          <w:rFonts w:hint="eastAsia" w:ascii="宋体" w:hAnsi="宋体"/>
          <w:color w:val="auto"/>
        </w:rPr>
        <w:t>评标由招标代理机构依照法律、法规、规章、政策的规定，组建的评标委员会负责。评标委员会成员由招标人代表和（技术、经济等）方面的评审专家组成，招标人代表人数、专家人数（具体组成人数见《投标须知前附表》）及专业构成按相关法规确定。评标委员会成员依法从招标代理专家库中随机抽取。</w:t>
      </w:r>
    </w:p>
    <w:p>
      <w:pPr>
        <w:numPr>
          <w:ilvl w:val="0"/>
          <w:numId w:val="45"/>
        </w:numPr>
        <w:spacing w:line="360" w:lineRule="auto"/>
        <w:rPr>
          <w:rFonts w:ascii="宋体" w:hAnsi="宋体"/>
          <w:color w:val="auto"/>
        </w:rPr>
      </w:pPr>
      <w:r>
        <w:rPr>
          <w:rFonts w:hint="eastAsia" w:ascii="宋体" w:hAnsi="宋体"/>
          <w:color w:val="auto"/>
        </w:rPr>
        <w:t>评标委员会将按照招标文件确定的评标方法进行评标。</w:t>
      </w:r>
    </w:p>
    <w:p>
      <w:pPr>
        <w:numPr>
          <w:ilvl w:val="0"/>
          <w:numId w:val="45"/>
        </w:numPr>
        <w:spacing w:line="360" w:lineRule="auto"/>
        <w:rPr>
          <w:rFonts w:ascii="宋体" w:hAnsi="宋体"/>
          <w:color w:val="auto"/>
        </w:rPr>
      </w:pPr>
      <w:r>
        <w:rPr>
          <w:rFonts w:hint="eastAsia" w:ascii="宋体" w:hAnsi="宋体"/>
          <w:color w:val="auto"/>
        </w:rPr>
        <w:t>评标委员会或者与评标活动有关的工作人员不得泄露有关投标文件的评审和比较、中标候选人的推荐以及与评标有关的其他情况。</w:t>
      </w:r>
    </w:p>
    <w:p>
      <w:pPr>
        <w:numPr>
          <w:ilvl w:val="0"/>
          <w:numId w:val="45"/>
        </w:numPr>
        <w:spacing w:line="360" w:lineRule="auto"/>
        <w:rPr>
          <w:rFonts w:ascii="宋体" w:hAnsi="宋体"/>
          <w:color w:val="auto"/>
        </w:rPr>
      </w:pPr>
      <w:r>
        <w:rPr>
          <w:rFonts w:hint="eastAsia" w:ascii="宋体" w:hAnsi="宋体"/>
          <w:color w:val="auto"/>
        </w:rPr>
        <w:t>有下列情形之一的，不得担任评标委员会成员：</w:t>
      </w:r>
    </w:p>
    <w:p>
      <w:pPr>
        <w:spacing w:line="360" w:lineRule="auto"/>
        <w:ind w:left="113"/>
        <w:rPr>
          <w:rFonts w:ascii="宋体" w:hAnsi="宋体"/>
          <w:color w:val="auto"/>
        </w:rPr>
      </w:pPr>
      <w:r>
        <w:rPr>
          <w:rFonts w:hint="eastAsia" w:ascii="宋体" w:hAnsi="宋体"/>
          <w:color w:val="auto"/>
        </w:rPr>
        <w:t>（1）投标人或者投标主要负责人的近亲属；</w:t>
      </w:r>
    </w:p>
    <w:p>
      <w:pPr>
        <w:spacing w:line="360" w:lineRule="auto"/>
        <w:ind w:left="113"/>
        <w:rPr>
          <w:rFonts w:ascii="宋体" w:hAnsi="宋体"/>
          <w:color w:val="auto"/>
        </w:rPr>
      </w:pPr>
      <w:r>
        <w:rPr>
          <w:rFonts w:hint="eastAsia" w:ascii="宋体" w:hAnsi="宋体"/>
          <w:color w:val="auto"/>
        </w:rPr>
        <w:t>（2）项目主管部门或者行政监督部门的人员；</w:t>
      </w:r>
    </w:p>
    <w:p>
      <w:pPr>
        <w:spacing w:line="360" w:lineRule="auto"/>
        <w:ind w:left="113"/>
        <w:rPr>
          <w:rFonts w:ascii="宋体" w:hAnsi="宋体"/>
          <w:color w:val="auto"/>
        </w:rPr>
      </w:pPr>
      <w:r>
        <w:rPr>
          <w:rFonts w:hint="eastAsia" w:ascii="宋体" w:hAnsi="宋体"/>
          <w:color w:val="auto"/>
        </w:rPr>
        <w:t>（3）与投标人有经济利益关系，可能影响对投标公正评审的；</w:t>
      </w:r>
    </w:p>
    <w:p>
      <w:pPr>
        <w:spacing w:line="360" w:lineRule="auto"/>
        <w:ind w:left="113"/>
        <w:rPr>
          <w:rFonts w:ascii="宋体" w:hAnsi="宋体"/>
          <w:color w:val="auto"/>
        </w:rPr>
      </w:pPr>
      <w:r>
        <w:rPr>
          <w:rFonts w:hint="eastAsia" w:ascii="宋体" w:hAnsi="宋体"/>
          <w:color w:val="auto"/>
        </w:rPr>
        <w:t>（4）曾因在招标、评标以及其他与招标投标有关活动从事违法行为而受过行政处罚或刑事处罚的。</w:t>
      </w:r>
    </w:p>
    <w:p>
      <w:pPr>
        <w:spacing w:line="360" w:lineRule="auto"/>
        <w:ind w:firstLine="630" w:firstLineChars="300"/>
        <w:rPr>
          <w:rFonts w:ascii="宋体" w:hAnsi="宋体"/>
          <w:color w:val="auto"/>
        </w:rPr>
      </w:pPr>
      <w:r>
        <w:rPr>
          <w:rFonts w:hint="eastAsia" w:ascii="宋体" w:hAnsi="宋体"/>
          <w:color w:val="auto"/>
        </w:rPr>
        <w:t>评标委员会成员有前款规定情形之一的，应当主动提出回避。</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评标方法、步骤及标准</w:t>
      </w:r>
    </w:p>
    <w:p>
      <w:pPr>
        <w:numPr>
          <w:ilvl w:val="0"/>
          <w:numId w:val="46"/>
        </w:numPr>
        <w:spacing w:line="360" w:lineRule="auto"/>
        <w:rPr>
          <w:rFonts w:ascii="宋体" w:hAnsi="宋体"/>
          <w:color w:val="auto"/>
          <w:szCs w:val="21"/>
        </w:rPr>
      </w:pPr>
      <w:r>
        <w:rPr>
          <w:rFonts w:hint="eastAsia" w:ascii="宋体" w:hAnsi="宋体"/>
          <w:color w:val="auto"/>
          <w:szCs w:val="21"/>
        </w:rPr>
        <w:t>评标方法</w:t>
      </w:r>
    </w:p>
    <w:p>
      <w:pPr>
        <w:numPr>
          <w:ilvl w:val="0"/>
          <w:numId w:val="47"/>
        </w:numPr>
        <w:tabs>
          <w:tab w:val="left" w:pos="945"/>
        </w:tabs>
        <w:spacing w:line="360" w:lineRule="auto"/>
        <w:rPr>
          <w:rFonts w:ascii="宋体" w:hAnsi="宋体"/>
          <w:color w:val="auto"/>
          <w:szCs w:val="21"/>
        </w:rPr>
      </w:pPr>
      <w:r>
        <w:rPr>
          <w:rFonts w:hint="eastAsia" w:ascii="宋体" w:hAnsi="宋体"/>
          <w:color w:val="auto"/>
          <w:szCs w:val="21"/>
        </w:rPr>
        <w:t>本次评标采用</w:t>
      </w:r>
      <w:r>
        <w:rPr>
          <w:rFonts w:hint="eastAsia" w:ascii="宋体" w:hAnsi="宋体"/>
          <w:color w:val="auto"/>
          <w:szCs w:val="21"/>
          <w:u w:val="single"/>
        </w:rPr>
        <w:t>综合评分法</w:t>
      </w:r>
      <w:r>
        <w:rPr>
          <w:rFonts w:hint="eastAsia" w:ascii="宋体" w:hAnsi="宋体"/>
          <w:color w:val="auto"/>
          <w:szCs w:val="21"/>
        </w:rPr>
        <w:t>。</w:t>
      </w:r>
    </w:p>
    <w:p>
      <w:pPr>
        <w:numPr>
          <w:ilvl w:val="0"/>
          <w:numId w:val="47"/>
        </w:numPr>
        <w:tabs>
          <w:tab w:val="left" w:pos="945"/>
        </w:tabs>
        <w:spacing w:line="360" w:lineRule="auto"/>
        <w:rPr>
          <w:rFonts w:ascii="宋体" w:hAnsi="宋体"/>
          <w:color w:val="auto"/>
          <w:szCs w:val="21"/>
        </w:rPr>
      </w:pPr>
      <w:r>
        <w:rPr>
          <w:rFonts w:hint="eastAsia" w:ascii="宋体" w:hAnsi="宋体"/>
          <w:color w:val="auto"/>
          <w:szCs w:val="21"/>
        </w:rPr>
        <w:t>本次评标是以招标文件为依据，遵循公开、公平、公正和诚实信用原则。</w:t>
      </w:r>
    </w:p>
    <w:p>
      <w:pPr>
        <w:numPr>
          <w:ilvl w:val="0"/>
          <w:numId w:val="46"/>
        </w:numPr>
        <w:spacing w:line="360" w:lineRule="auto"/>
        <w:rPr>
          <w:rFonts w:ascii="宋体" w:hAnsi="宋体"/>
          <w:color w:val="auto"/>
          <w:szCs w:val="21"/>
        </w:rPr>
      </w:pPr>
      <w:r>
        <w:rPr>
          <w:rFonts w:hint="eastAsia" w:ascii="宋体" w:hAnsi="宋体"/>
          <w:color w:val="auto"/>
          <w:szCs w:val="21"/>
        </w:rPr>
        <w:t>评标步骤</w:t>
      </w:r>
    </w:p>
    <w:p>
      <w:pPr>
        <w:numPr>
          <w:ilvl w:val="0"/>
          <w:numId w:val="48"/>
        </w:numPr>
        <w:tabs>
          <w:tab w:val="left" w:pos="945"/>
        </w:tabs>
        <w:spacing w:line="360" w:lineRule="auto"/>
        <w:rPr>
          <w:rFonts w:ascii="宋体" w:hAnsi="宋体"/>
          <w:color w:val="auto"/>
          <w:szCs w:val="21"/>
        </w:rPr>
      </w:pPr>
      <w:r>
        <w:rPr>
          <w:rFonts w:hint="eastAsia" w:ascii="宋体" w:hAnsi="宋体"/>
          <w:color w:val="auto"/>
          <w:szCs w:val="21"/>
        </w:rPr>
        <w:t>评标委员会先进行初步评审，再进行商务、技术及价格的详细评审。只有通过初步评审的投标才能进入详细的评审。最后评标委员会出具评标报告，并排序推荐二位中标候选人。</w:t>
      </w:r>
    </w:p>
    <w:p>
      <w:pPr>
        <w:numPr>
          <w:ilvl w:val="0"/>
          <w:numId w:val="46"/>
        </w:numPr>
        <w:spacing w:line="360" w:lineRule="auto"/>
        <w:rPr>
          <w:rFonts w:ascii="宋体" w:hAnsi="宋体"/>
          <w:color w:val="auto"/>
          <w:szCs w:val="21"/>
        </w:rPr>
      </w:pPr>
      <w:r>
        <w:rPr>
          <w:rFonts w:hint="eastAsia" w:ascii="宋体" w:hAnsi="宋体"/>
          <w:color w:val="auto"/>
          <w:szCs w:val="21"/>
        </w:rPr>
        <w:t>评分及其统计</w:t>
      </w:r>
    </w:p>
    <w:p>
      <w:pPr>
        <w:numPr>
          <w:ilvl w:val="0"/>
          <w:numId w:val="49"/>
        </w:numPr>
        <w:tabs>
          <w:tab w:val="left" w:pos="945"/>
        </w:tabs>
        <w:spacing w:line="360" w:lineRule="auto"/>
        <w:rPr>
          <w:rFonts w:ascii="宋体" w:hAnsi="宋体"/>
          <w:color w:val="auto"/>
        </w:rPr>
      </w:pPr>
      <w:r>
        <w:rPr>
          <w:rFonts w:hint="eastAsia" w:ascii="宋体" w:hAnsi="宋体"/>
          <w:color w:val="auto"/>
        </w:rPr>
        <w:t>按照评标程序、评分标准以及权重分配的规定，评标委员会各成员分别就各个投标人的商务、技术状况及其对招标文件要求的响应情况进行评议和比较，评出其商务评分和技术评分。各评委的商务评分和技术评分的算术平均值即为该投标人的商务和技术评分。然后，评出投标人的价格评分。将各投标人的商务评分、技术评分和价格评分相加得出其综合得分。将各综合得分由高到低顺序排列，综合得分排名第一的投标人为第一中标候选人，综合得分排名第二的投标人为第二中标候选人。</w:t>
      </w:r>
    </w:p>
    <w:p>
      <w:pPr>
        <w:numPr>
          <w:ilvl w:val="0"/>
          <w:numId w:val="35"/>
        </w:numPr>
        <w:tabs>
          <w:tab w:val="center" w:pos="210"/>
          <w:tab w:val="center" w:pos="630"/>
        </w:tabs>
        <w:spacing w:line="360" w:lineRule="auto"/>
        <w:outlineLvl w:val="2"/>
        <w:rPr>
          <w:rFonts w:ascii="宋体" w:hAnsi="宋体"/>
          <w:b/>
          <w:color w:val="auto"/>
          <w:szCs w:val="21"/>
        </w:rPr>
      </w:pPr>
      <w:r>
        <w:rPr>
          <w:rFonts w:hint="eastAsia" w:ascii="宋体" w:hAnsi="宋体"/>
          <w:b/>
          <w:color w:val="auto"/>
          <w:szCs w:val="21"/>
        </w:rPr>
        <w:t>初步评审</w:t>
      </w:r>
    </w:p>
    <w:p>
      <w:pPr>
        <w:numPr>
          <w:ilvl w:val="0"/>
          <w:numId w:val="50"/>
        </w:numPr>
        <w:spacing w:line="360" w:lineRule="auto"/>
        <w:rPr>
          <w:rFonts w:ascii="宋体" w:hAnsi="宋体"/>
          <w:color w:val="auto"/>
        </w:rPr>
      </w:pPr>
      <w:r>
        <w:rPr>
          <w:rFonts w:hint="eastAsia" w:ascii="宋体" w:hAnsi="宋体"/>
          <w:color w:val="auto"/>
        </w:rPr>
        <w:t>评标委员会按照以下《初步评审表》(否决投标条款)内容对投标文件进行资格性检查及符合性审查，只有对《初步评审表》(否决投标条款)所列各项内容全部作出实质性响应的投标文件才能通过初步评审。对是否实质性响应《初步评审表》(否决投标条款)所列各项内容有争议的投标文件，评标委员按照少数服从多数的原则以记名方式进行投标表决，只有得票超过半数的投标文件才有资格进入下一阶段的详细评审，否则认定为无效投标。</w:t>
      </w:r>
    </w:p>
    <w:p>
      <w:pPr>
        <w:spacing w:line="360" w:lineRule="auto"/>
        <w:ind w:left="1000" w:leftChars="100" w:hanging="790" w:hangingChars="328"/>
        <w:jc w:val="center"/>
        <w:rPr>
          <w:rFonts w:ascii="宋体" w:hAnsi="宋体"/>
          <w:b/>
          <w:color w:val="auto"/>
          <w:sz w:val="24"/>
        </w:rPr>
      </w:pPr>
      <w:r>
        <w:rPr>
          <w:rFonts w:hint="eastAsia" w:ascii="宋体" w:hAnsi="宋体"/>
          <w:b/>
          <w:color w:val="auto"/>
          <w:sz w:val="24"/>
        </w:rPr>
        <w:t>初步评审表</w:t>
      </w:r>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23"/>
        <w:gridCol w:w="837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12" w:space="0"/>
              <w:bottom w:val="single" w:color="auto" w:sz="4" w:space="0"/>
            </w:tcBorders>
            <w:noWrap w:val="0"/>
            <w:vAlign w:val="center"/>
          </w:tcPr>
          <w:p>
            <w:pPr>
              <w:spacing w:line="360" w:lineRule="auto"/>
              <w:ind w:left="-120" w:leftChars="-57"/>
              <w:jc w:val="center"/>
              <w:rPr>
                <w:rFonts w:ascii="宋体" w:hAnsi="宋体"/>
                <w:b/>
                <w:color w:val="auto"/>
              </w:rPr>
            </w:pPr>
            <w:r>
              <w:rPr>
                <w:rFonts w:hint="eastAsia" w:ascii="宋体" w:hAnsi="宋体"/>
                <w:b/>
                <w:color w:val="auto"/>
              </w:rPr>
              <w:t>序号</w:t>
            </w:r>
          </w:p>
        </w:tc>
        <w:tc>
          <w:tcPr>
            <w:tcW w:w="8373" w:type="dxa"/>
            <w:tcBorders>
              <w:top w:val="single" w:color="auto" w:sz="12" w:space="0"/>
            </w:tcBorders>
            <w:noWrap w:val="0"/>
            <w:vAlign w:val="center"/>
          </w:tcPr>
          <w:p>
            <w:pPr>
              <w:spacing w:line="360" w:lineRule="auto"/>
              <w:jc w:val="center"/>
              <w:rPr>
                <w:rFonts w:ascii="宋体" w:hAnsi="宋体"/>
                <w:b/>
                <w:color w:val="auto"/>
                <w:szCs w:val="21"/>
              </w:rPr>
            </w:pPr>
            <w:r>
              <w:rPr>
                <w:rFonts w:hint="eastAsia" w:ascii="宋体" w:hAnsi="宋体"/>
                <w:b/>
                <w:color w:val="auto"/>
                <w:szCs w:val="21"/>
              </w:rPr>
              <w:t>初审内容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bottom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1</w:t>
            </w:r>
          </w:p>
        </w:tc>
        <w:tc>
          <w:tcPr>
            <w:tcW w:w="8373" w:type="dxa"/>
            <w:noWrap w:val="0"/>
            <w:vAlign w:val="center"/>
          </w:tcPr>
          <w:p>
            <w:pPr>
              <w:spacing w:line="360" w:lineRule="auto"/>
              <w:rPr>
                <w:rFonts w:ascii="宋体" w:hAnsi="宋体" w:cs="宋体"/>
                <w:color w:val="auto"/>
                <w:szCs w:val="21"/>
              </w:rPr>
            </w:pPr>
            <w:r>
              <w:rPr>
                <w:rFonts w:hint="eastAsia" w:ascii="宋体" w:hAnsi="宋体"/>
                <w:color w:val="auto"/>
                <w:szCs w:val="21"/>
              </w:rPr>
              <w:t>投标函、资格声明函</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bottom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2</w:t>
            </w:r>
          </w:p>
        </w:tc>
        <w:tc>
          <w:tcPr>
            <w:tcW w:w="8373" w:type="dxa"/>
            <w:noWrap w:val="0"/>
            <w:vAlign w:val="center"/>
          </w:tcPr>
          <w:p>
            <w:pPr>
              <w:spacing w:line="360" w:lineRule="auto"/>
              <w:rPr>
                <w:rFonts w:ascii="宋体" w:hAnsi="宋体" w:cs="宋体"/>
                <w:color w:val="auto"/>
                <w:szCs w:val="21"/>
              </w:rPr>
            </w:pPr>
            <w:r>
              <w:rPr>
                <w:rFonts w:hint="eastAsia" w:ascii="宋体" w:hAnsi="宋体"/>
                <w:color w:val="auto"/>
                <w:szCs w:val="21"/>
              </w:rPr>
              <w:t>法定代表人（负责人）证明书、法定代表人授权委托书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3</w:t>
            </w:r>
          </w:p>
        </w:tc>
        <w:tc>
          <w:tcPr>
            <w:tcW w:w="8373" w:type="dxa"/>
            <w:noWrap w:val="0"/>
            <w:vAlign w:val="center"/>
          </w:tcPr>
          <w:p>
            <w:pPr>
              <w:spacing w:line="360" w:lineRule="auto"/>
              <w:rPr>
                <w:rFonts w:hint="eastAsia" w:ascii="宋体" w:hAnsi="宋体"/>
                <w:bCs/>
                <w:color w:val="auto"/>
                <w:szCs w:val="20"/>
              </w:rPr>
            </w:pPr>
            <w:r>
              <w:rPr>
                <w:rFonts w:hint="eastAsia" w:ascii="宋体" w:hAnsi="宋体"/>
                <w:bCs/>
                <w:color w:val="auto"/>
                <w:szCs w:val="20"/>
              </w:rPr>
              <w:t>（1）</w:t>
            </w:r>
            <w:r>
              <w:rPr>
                <w:rFonts w:hint="eastAsia" w:ascii="宋体" w:hAnsi="宋体"/>
                <w:bCs/>
                <w:color w:val="auto"/>
                <w:szCs w:val="20"/>
              </w:rPr>
              <w:tab/>
            </w:r>
            <w:r>
              <w:rPr>
                <w:rFonts w:hint="eastAsia" w:ascii="宋体" w:hAnsi="宋体"/>
                <w:bCs/>
                <w:color w:val="auto"/>
                <w:szCs w:val="20"/>
              </w:rPr>
              <w:t>具有独立承担民事责任能力的在中华人民共和国境内注册的法人或其他组织；</w:t>
            </w:r>
          </w:p>
          <w:p>
            <w:pPr>
              <w:spacing w:line="360" w:lineRule="auto"/>
              <w:rPr>
                <w:rFonts w:hint="eastAsia" w:ascii="宋体" w:hAnsi="宋体"/>
                <w:bCs/>
                <w:color w:val="auto"/>
                <w:szCs w:val="20"/>
              </w:rPr>
            </w:pPr>
            <w:r>
              <w:rPr>
                <w:rFonts w:hint="eastAsia" w:ascii="宋体" w:hAnsi="宋体"/>
                <w:bCs/>
                <w:color w:val="auto"/>
                <w:szCs w:val="20"/>
              </w:rPr>
              <w:t>（2）</w:t>
            </w:r>
            <w:r>
              <w:rPr>
                <w:rFonts w:hint="eastAsia" w:ascii="宋体" w:hAnsi="宋体"/>
                <w:bCs/>
                <w:color w:val="auto"/>
                <w:szCs w:val="20"/>
              </w:rPr>
              <w:tab/>
            </w:r>
            <w:r>
              <w:rPr>
                <w:rFonts w:hint="eastAsia" w:ascii="宋体" w:hAnsi="宋体"/>
                <w:bCs/>
                <w:color w:val="auto"/>
                <w:szCs w:val="20"/>
              </w:rPr>
              <w:t>具有良好的商业信誉和健全的财务会计制度；</w:t>
            </w:r>
          </w:p>
          <w:p>
            <w:pPr>
              <w:spacing w:line="360" w:lineRule="auto"/>
              <w:rPr>
                <w:rFonts w:hint="eastAsia" w:ascii="宋体" w:hAnsi="宋体"/>
                <w:bCs/>
                <w:color w:val="auto"/>
                <w:szCs w:val="20"/>
              </w:rPr>
            </w:pPr>
            <w:r>
              <w:rPr>
                <w:rFonts w:hint="eastAsia" w:ascii="宋体" w:hAnsi="宋体"/>
                <w:bCs/>
                <w:color w:val="auto"/>
                <w:szCs w:val="20"/>
              </w:rPr>
              <w:t>（3）</w:t>
            </w:r>
            <w:r>
              <w:rPr>
                <w:rFonts w:hint="eastAsia" w:ascii="宋体" w:hAnsi="宋体"/>
                <w:bCs/>
                <w:color w:val="auto"/>
                <w:szCs w:val="20"/>
              </w:rPr>
              <w:tab/>
            </w:r>
            <w:r>
              <w:rPr>
                <w:rFonts w:hint="eastAsia" w:ascii="宋体" w:hAnsi="宋体"/>
                <w:bCs/>
                <w:color w:val="auto"/>
                <w:szCs w:val="20"/>
              </w:rPr>
              <w:t>有依法缴纳税收和社会保障资金的良好记录；</w:t>
            </w:r>
          </w:p>
          <w:p>
            <w:pPr>
              <w:spacing w:line="360" w:lineRule="auto"/>
              <w:rPr>
                <w:rFonts w:hint="eastAsia" w:ascii="宋体" w:hAnsi="宋体"/>
                <w:bCs/>
                <w:color w:val="auto"/>
                <w:szCs w:val="20"/>
              </w:rPr>
            </w:pPr>
            <w:r>
              <w:rPr>
                <w:rFonts w:hint="eastAsia" w:ascii="宋体" w:hAnsi="宋体"/>
                <w:bCs/>
                <w:color w:val="auto"/>
                <w:szCs w:val="20"/>
              </w:rPr>
              <w:t>（4）</w:t>
            </w:r>
            <w:r>
              <w:rPr>
                <w:rFonts w:hint="eastAsia" w:ascii="宋体" w:hAnsi="宋体"/>
                <w:bCs/>
                <w:color w:val="auto"/>
                <w:szCs w:val="20"/>
              </w:rPr>
              <w:tab/>
            </w:r>
            <w:r>
              <w:rPr>
                <w:rFonts w:hint="eastAsia" w:ascii="宋体" w:hAnsi="宋体"/>
                <w:bCs/>
                <w:color w:val="auto"/>
                <w:szCs w:val="20"/>
              </w:rPr>
              <w:tab/>
            </w:r>
            <w:r>
              <w:rPr>
                <w:rFonts w:hint="eastAsia" w:ascii="宋体" w:hAnsi="宋体"/>
                <w:bCs/>
                <w:color w:val="auto"/>
                <w:szCs w:val="20"/>
              </w:rPr>
              <w:t>具有履行合同所必需的设备和专业技术能力；</w:t>
            </w:r>
          </w:p>
          <w:p>
            <w:pPr>
              <w:spacing w:line="360" w:lineRule="auto"/>
              <w:rPr>
                <w:rFonts w:hint="eastAsia" w:ascii="宋体" w:hAnsi="宋体"/>
                <w:bCs/>
                <w:color w:val="auto"/>
                <w:szCs w:val="20"/>
              </w:rPr>
            </w:pPr>
            <w:r>
              <w:rPr>
                <w:rFonts w:hint="eastAsia" w:ascii="宋体" w:hAnsi="宋体"/>
                <w:bCs/>
                <w:color w:val="auto"/>
                <w:szCs w:val="20"/>
              </w:rPr>
              <w:t>（5）</w:t>
            </w:r>
            <w:r>
              <w:rPr>
                <w:rFonts w:hint="eastAsia" w:ascii="宋体" w:hAnsi="宋体"/>
                <w:bCs/>
                <w:color w:val="auto"/>
                <w:szCs w:val="20"/>
              </w:rPr>
              <w:tab/>
            </w:r>
            <w:r>
              <w:rPr>
                <w:rFonts w:hint="eastAsia" w:ascii="宋体" w:hAnsi="宋体"/>
                <w:bCs/>
                <w:color w:val="auto"/>
                <w:szCs w:val="20"/>
              </w:rPr>
              <w:t>投标人承诺在过往三年内没有违法违规行为或违反合同约定行为；</w:t>
            </w:r>
          </w:p>
          <w:p>
            <w:pPr>
              <w:spacing w:line="360" w:lineRule="auto"/>
              <w:rPr>
                <w:rFonts w:hint="eastAsia" w:ascii="宋体" w:hAnsi="宋体"/>
                <w:bCs/>
                <w:color w:val="auto"/>
                <w:szCs w:val="20"/>
              </w:rPr>
            </w:pPr>
            <w:r>
              <w:rPr>
                <w:rFonts w:hint="eastAsia" w:ascii="宋体" w:hAnsi="宋体"/>
                <w:bCs/>
                <w:color w:val="auto"/>
                <w:szCs w:val="20"/>
              </w:rPr>
              <w:t>（6）</w:t>
            </w:r>
            <w:r>
              <w:rPr>
                <w:rFonts w:hint="eastAsia" w:ascii="宋体" w:hAnsi="宋体"/>
                <w:bCs/>
                <w:color w:val="auto"/>
                <w:szCs w:val="20"/>
              </w:rPr>
              <w:tab/>
            </w:r>
            <w:r>
              <w:rPr>
                <w:rFonts w:hint="eastAsia" w:ascii="宋体" w:hAnsi="宋体"/>
                <w:bCs/>
                <w:color w:val="auto"/>
                <w:szCs w:val="20"/>
              </w:rPr>
              <w:t>单位负责人为同一人或者存在控股、管理关系的不同投标人，不得同时参加本采购项目同一合同项下的投标；</w:t>
            </w:r>
          </w:p>
          <w:p>
            <w:pPr>
              <w:spacing w:line="360" w:lineRule="auto"/>
              <w:rPr>
                <w:rFonts w:hint="eastAsia" w:ascii="宋体" w:hAnsi="宋体"/>
                <w:bCs/>
                <w:color w:val="auto"/>
                <w:szCs w:val="20"/>
              </w:rPr>
            </w:pPr>
            <w:r>
              <w:rPr>
                <w:rFonts w:hint="eastAsia" w:ascii="宋体" w:hAnsi="宋体"/>
                <w:bCs/>
                <w:color w:val="auto"/>
                <w:szCs w:val="20"/>
              </w:rPr>
              <w:t>（7）</w:t>
            </w:r>
            <w:r>
              <w:rPr>
                <w:rFonts w:hint="eastAsia" w:ascii="宋体" w:hAnsi="宋体"/>
                <w:bCs/>
                <w:color w:val="auto"/>
                <w:szCs w:val="20"/>
              </w:rPr>
              <w:tab/>
            </w:r>
            <w:r>
              <w:rPr>
                <w:rFonts w:hint="eastAsia" w:ascii="宋体" w:hAnsi="宋体"/>
                <w:bCs/>
                <w:color w:val="auto"/>
                <w:szCs w:val="20"/>
              </w:rPr>
              <w:t>为采购项目提供整体设计、规范编制或者项目管理、监理、检测等服务的投标人，不得再参加本采购项目的其他采购活动；</w:t>
            </w:r>
          </w:p>
          <w:p>
            <w:pPr>
              <w:spacing w:line="360" w:lineRule="auto"/>
              <w:rPr>
                <w:rFonts w:ascii="宋体" w:hAnsi="宋体"/>
                <w:bCs/>
                <w:color w:val="auto"/>
                <w:szCs w:val="20"/>
              </w:rPr>
            </w:pPr>
            <w:r>
              <w:rPr>
                <w:rFonts w:hint="eastAsia" w:ascii="宋体" w:hAnsi="宋体"/>
                <w:bCs/>
                <w:color w:val="auto"/>
                <w:szCs w:val="20"/>
              </w:rPr>
              <w:t>（8）</w:t>
            </w:r>
            <w:r>
              <w:rPr>
                <w:rFonts w:hint="eastAsia" w:ascii="宋体" w:hAnsi="宋体"/>
                <w:bCs/>
                <w:color w:val="auto"/>
                <w:szCs w:val="20"/>
              </w:rPr>
              <w:tab/>
            </w:r>
            <w:r>
              <w:rPr>
                <w:rFonts w:hint="eastAsia" w:ascii="宋体" w:hAnsi="宋体"/>
                <w:bCs/>
                <w:color w:val="auto"/>
                <w:szCs w:val="20"/>
              </w:rPr>
              <w:t>投标人已进驻广东政府采购智慧云平台电子卖场（定点集市互联网接入服务类）；</w:t>
            </w:r>
          </w:p>
          <w:p>
            <w:pPr>
              <w:spacing w:line="360" w:lineRule="auto"/>
              <w:rPr>
                <w:rFonts w:hint="eastAsia" w:ascii="宋体" w:hAnsi="宋体"/>
                <w:bCs/>
                <w:color w:val="auto"/>
                <w:szCs w:val="20"/>
              </w:rPr>
            </w:pPr>
            <w:r>
              <w:rPr>
                <w:rFonts w:hint="eastAsia" w:ascii="宋体" w:hAnsi="宋体"/>
                <w:color w:val="auto"/>
                <w:szCs w:val="21"/>
              </w:rPr>
              <w:t>（9）本项目不属于专门面向中小企业采购的项目；</w:t>
            </w:r>
          </w:p>
          <w:p>
            <w:pPr>
              <w:spacing w:line="360" w:lineRule="auto"/>
              <w:rPr>
                <w:rFonts w:hint="eastAsia" w:ascii="宋体" w:hAnsi="宋体"/>
                <w:bCs/>
                <w:color w:val="auto"/>
                <w:szCs w:val="20"/>
              </w:rPr>
            </w:pPr>
            <w:r>
              <w:rPr>
                <w:rFonts w:hint="eastAsia" w:ascii="宋体" w:hAnsi="宋体"/>
                <w:bCs/>
                <w:color w:val="auto"/>
                <w:szCs w:val="20"/>
              </w:rPr>
              <w:t>（</w:t>
            </w:r>
            <w:r>
              <w:rPr>
                <w:rFonts w:ascii="宋体" w:hAnsi="宋体"/>
                <w:bCs/>
                <w:color w:val="auto"/>
                <w:szCs w:val="20"/>
              </w:rPr>
              <w:t>10</w:t>
            </w:r>
            <w:r>
              <w:rPr>
                <w:rFonts w:hint="eastAsia" w:ascii="宋体" w:hAnsi="宋体"/>
                <w:bCs/>
                <w:color w:val="auto"/>
                <w:szCs w:val="20"/>
              </w:rPr>
              <w:t>）</w:t>
            </w:r>
            <w:r>
              <w:rPr>
                <w:rFonts w:hint="eastAsia" w:ascii="宋体" w:hAnsi="宋体"/>
                <w:bCs/>
                <w:color w:val="auto"/>
                <w:szCs w:val="20"/>
              </w:rPr>
              <w:tab/>
            </w:r>
            <w:r>
              <w:rPr>
                <w:rFonts w:hint="eastAsia" w:ascii="宋体" w:hAnsi="宋体"/>
                <w:bCs/>
                <w:color w:val="auto"/>
                <w:szCs w:val="20"/>
              </w:rPr>
              <w:t>本项目不接受联合体投标；</w:t>
            </w:r>
          </w:p>
          <w:p>
            <w:pPr>
              <w:spacing w:line="360" w:lineRule="auto"/>
              <w:rPr>
                <w:rFonts w:ascii="宋体" w:hAnsi="宋体" w:cs="Tahoma"/>
                <w:color w:val="auto"/>
                <w:kern w:val="28"/>
                <w:szCs w:val="21"/>
              </w:rPr>
            </w:pPr>
            <w:r>
              <w:rPr>
                <w:rFonts w:hint="eastAsia" w:ascii="宋体" w:hAnsi="宋体"/>
                <w:bCs/>
                <w:color w:val="auto"/>
                <w:szCs w:val="20"/>
              </w:rPr>
              <w:t>（</w:t>
            </w:r>
            <w:r>
              <w:rPr>
                <w:rFonts w:ascii="宋体" w:hAnsi="宋体"/>
                <w:bCs/>
                <w:color w:val="auto"/>
                <w:szCs w:val="20"/>
              </w:rPr>
              <w:t>11</w:t>
            </w:r>
            <w:r>
              <w:rPr>
                <w:rFonts w:hint="eastAsia" w:ascii="宋体" w:hAnsi="宋体"/>
                <w:bCs/>
                <w:color w:val="auto"/>
                <w:szCs w:val="20"/>
              </w:rPr>
              <w:t>）已登记报名并购买了招标文件。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4</w:t>
            </w:r>
          </w:p>
        </w:tc>
        <w:tc>
          <w:tcPr>
            <w:tcW w:w="8373" w:type="dxa"/>
            <w:noWrap w:val="0"/>
            <w:vAlign w:val="center"/>
          </w:tcPr>
          <w:p>
            <w:pPr>
              <w:spacing w:line="360" w:lineRule="auto"/>
              <w:rPr>
                <w:rFonts w:ascii="宋体" w:hAnsi="宋体"/>
                <w:color w:val="auto"/>
                <w:szCs w:val="21"/>
              </w:rPr>
            </w:pPr>
            <w:r>
              <w:rPr>
                <w:rFonts w:hint="eastAsia" w:ascii="宋体" w:hAnsi="宋体"/>
                <w:color w:val="auto"/>
                <w:szCs w:val="21"/>
              </w:rPr>
              <w:t>投标有效期：90日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bottom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5</w:t>
            </w:r>
          </w:p>
        </w:tc>
        <w:tc>
          <w:tcPr>
            <w:tcW w:w="8373" w:type="dxa"/>
            <w:noWrap w:val="0"/>
            <w:vAlign w:val="center"/>
          </w:tcPr>
          <w:p>
            <w:pPr>
              <w:spacing w:line="360" w:lineRule="auto"/>
              <w:rPr>
                <w:rFonts w:ascii="宋体" w:hAnsi="宋体"/>
                <w:color w:val="auto"/>
                <w:szCs w:val="21"/>
              </w:rPr>
            </w:pPr>
            <w:r>
              <w:rPr>
                <w:rFonts w:hint="eastAsia"/>
                <w:color w:val="auto"/>
              </w:rPr>
              <w:t>投标文件</w:t>
            </w:r>
            <w:r>
              <w:rPr>
                <w:rFonts w:hint="eastAsia" w:ascii="宋体" w:hAnsi="宋体"/>
                <w:color w:val="auto"/>
                <w:szCs w:val="21"/>
              </w:rPr>
              <w:t>按照规定要求签署、盖章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bottom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6</w:t>
            </w:r>
          </w:p>
        </w:tc>
        <w:tc>
          <w:tcPr>
            <w:tcW w:w="8373" w:type="dxa"/>
            <w:noWrap w:val="0"/>
            <w:vAlign w:val="center"/>
          </w:tcPr>
          <w:p>
            <w:pPr>
              <w:spacing w:line="360" w:lineRule="auto"/>
              <w:rPr>
                <w:rFonts w:ascii="宋体" w:hAnsi="宋体"/>
                <w:color w:val="auto"/>
              </w:rPr>
            </w:pPr>
            <w:r>
              <w:rPr>
                <w:rFonts w:hint="eastAsia" w:ascii="宋体" w:hAnsi="宋体"/>
                <w:color w:val="auto"/>
                <w:szCs w:val="21"/>
              </w:rPr>
              <w:t>投标报价是固定价且未超过本项目招标预算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bottom w:val="single" w:color="auto" w:sz="4" w:space="0"/>
            </w:tcBorders>
            <w:noWrap w:val="0"/>
            <w:vAlign w:val="center"/>
          </w:tcPr>
          <w:p>
            <w:pPr>
              <w:spacing w:line="360" w:lineRule="auto"/>
              <w:jc w:val="center"/>
              <w:rPr>
                <w:rFonts w:ascii="宋体" w:hAnsi="宋体"/>
                <w:color w:val="auto"/>
              </w:rPr>
            </w:pPr>
            <w:r>
              <w:rPr>
                <w:rFonts w:hint="eastAsia" w:ascii="宋体" w:hAnsi="宋体"/>
                <w:color w:val="auto"/>
              </w:rPr>
              <w:t>7</w:t>
            </w:r>
          </w:p>
        </w:tc>
        <w:tc>
          <w:tcPr>
            <w:tcW w:w="8373" w:type="dxa"/>
            <w:noWrap w:val="0"/>
            <w:vAlign w:val="center"/>
          </w:tcPr>
          <w:p>
            <w:pPr>
              <w:spacing w:line="360" w:lineRule="auto"/>
              <w:rPr>
                <w:rFonts w:ascii="宋体" w:hAnsi="宋体"/>
                <w:color w:val="auto"/>
                <w:szCs w:val="21"/>
              </w:rPr>
            </w:pPr>
            <w:r>
              <w:rPr>
                <w:rFonts w:hint="eastAsia" w:ascii="宋体" w:hAnsi="宋体"/>
                <w:color w:val="auto"/>
                <w:szCs w:val="21"/>
              </w:rPr>
              <w:t>能满足用户需求的主要参数（带“★”号条款）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bottom w:val="single" w:color="auto" w:sz="4" w:space="0"/>
            </w:tcBorders>
            <w:noWrap w:val="0"/>
            <w:vAlign w:val="center"/>
          </w:tcPr>
          <w:p>
            <w:pPr>
              <w:spacing w:line="360" w:lineRule="auto"/>
              <w:jc w:val="center"/>
              <w:rPr>
                <w:rFonts w:hint="eastAsia" w:ascii="宋体" w:hAnsi="宋体" w:eastAsia="宋体"/>
                <w:color w:val="auto"/>
                <w:lang w:eastAsia="zh-CN"/>
              </w:rPr>
            </w:pPr>
            <w:r>
              <w:rPr>
                <w:rFonts w:hint="eastAsia" w:ascii="宋体" w:hAnsi="宋体"/>
                <w:color w:val="auto"/>
                <w:lang w:val="en-US" w:eastAsia="zh-CN"/>
              </w:rPr>
              <w:t>8</w:t>
            </w:r>
          </w:p>
        </w:tc>
        <w:tc>
          <w:tcPr>
            <w:tcW w:w="8373" w:type="dxa"/>
            <w:noWrap w:val="0"/>
            <w:vAlign w:val="center"/>
          </w:tcPr>
          <w:p>
            <w:pPr>
              <w:spacing w:line="360" w:lineRule="auto"/>
              <w:rPr>
                <w:rFonts w:ascii="宋体" w:hAnsi="宋体" w:cs="宋体"/>
                <w:color w:val="auto"/>
                <w:kern w:val="0"/>
                <w:szCs w:val="21"/>
              </w:rPr>
            </w:pPr>
            <w:r>
              <w:rPr>
                <w:rFonts w:hint="eastAsia" w:ascii="宋体" w:hAnsi="宋体" w:cs="宋体"/>
                <w:color w:val="auto"/>
                <w:kern w:val="0"/>
                <w:szCs w:val="21"/>
              </w:rPr>
              <w:t>未出现恶意竞争低于成本价的情形</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bottom w:val="single" w:color="auto" w:sz="4" w:space="0"/>
            </w:tcBorders>
            <w:noWrap w:val="0"/>
            <w:vAlign w:val="center"/>
          </w:tcPr>
          <w:p>
            <w:pPr>
              <w:spacing w:line="360" w:lineRule="auto"/>
              <w:jc w:val="center"/>
              <w:rPr>
                <w:rFonts w:hint="eastAsia" w:ascii="宋体" w:hAnsi="宋体" w:eastAsia="宋体"/>
                <w:color w:val="auto"/>
                <w:lang w:eastAsia="zh-CN"/>
              </w:rPr>
            </w:pPr>
            <w:r>
              <w:rPr>
                <w:rFonts w:hint="eastAsia" w:ascii="宋体" w:hAnsi="宋体"/>
                <w:color w:val="auto"/>
                <w:lang w:val="en-US" w:eastAsia="zh-CN"/>
              </w:rPr>
              <w:t>9</w:t>
            </w:r>
          </w:p>
        </w:tc>
        <w:tc>
          <w:tcPr>
            <w:tcW w:w="8373" w:type="dxa"/>
            <w:noWrap w:val="0"/>
            <w:vAlign w:val="center"/>
          </w:tcPr>
          <w:p>
            <w:pPr>
              <w:spacing w:line="360" w:lineRule="auto"/>
              <w:rPr>
                <w:rFonts w:ascii="宋体" w:hAnsi="宋体" w:cs="宋体"/>
                <w:color w:val="auto"/>
                <w:kern w:val="0"/>
                <w:szCs w:val="21"/>
              </w:rPr>
            </w:pPr>
            <w:r>
              <w:rPr>
                <w:rFonts w:hint="eastAsia" w:ascii="宋体" w:hAnsi="宋体"/>
                <w:color w:val="auto"/>
                <w:szCs w:val="21"/>
              </w:rPr>
              <w:t>无招标文件中规定的被视为无效投标的其它条款的</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4" w:hRule="atLeast"/>
          <w:jc w:val="center"/>
        </w:trPr>
        <w:tc>
          <w:tcPr>
            <w:tcW w:w="723" w:type="dxa"/>
            <w:tcBorders>
              <w:top w:val="single" w:color="auto" w:sz="4" w:space="0"/>
              <w:bottom w:val="single" w:color="auto" w:sz="12" w:space="0"/>
            </w:tcBorders>
            <w:noWrap w:val="0"/>
            <w:vAlign w:val="center"/>
          </w:tcPr>
          <w:p>
            <w:pPr>
              <w:spacing w:line="360" w:lineRule="auto"/>
              <w:jc w:val="center"/>
              <w:rPr>
                <w:rFonts w:hint="eastAsia" w:ascii="宋体" w:hAnsi="宋体" w:eastAsia="宋体"/>
                <w:color w:val="auto"/>
                <w:lang w:eastAsia="zh-CN"/>
              </w:rPr>
            </w:pPr>
            <w:r>
              <w:rPr>
                <w:rFonts w:hint="eastAsia" w:ascii="宋体" w:hAnsi="宋体"/>
                <w:color w:val="auto"/>
              </w:rPr>
              <w:t>1</w:t>
            </w:r>
            <w:r>
              <w:rPr>
                <w:rFonts w:hint="eastAsia" w:ascii="宋体" w:hAnsi="宋体"/>
                <w:color w:val="auto"/>
                <w:lang w:val="en-US" w:eastAsia="zh-CN"/>
              </w:rPr>
              <w:t>0</w:t>
            </w:r>
          </w:p>
        </w:tc>
        <w:tc>
          <w:tcPr>
            <w:tcW w:w="8373" w:type="dxa"/>
            <w:tcBorders>
              <w:bottom w:val="single" w:color="auto" w:sz="12" w:space="0"/>
            </w:tcBorders>
            <w:noWrap w:val="0"/>
            <w:vAlign w:val="center"/>
          </w:tcPr>
          <w:p>
            <w:pPr>
              <w:spacing w:line="360" w:lineRule="auto"/>
              <w:rPr>
                <w:rFonts w:ascii="宋体" w:hAnsi="宋体"/>
                <w:color w:val="auto"/>
                <w:szCs w:val="21"/>
              </w:rPr>
            </w:pPr>
            <w:r>
              <w:rPr>
                <w:rFonts w:hint="eastAsia" w:ascii="宋体" w:hAnsi="宋体"/>
                <w:color w:val="auto"/>
                <w:szCs w:val="21"/>
              </w:rPr>
              <w:t>未出现法律、法规、规章规定属于投标无效的其他情形</w:t>
            </w:r>
          </w:p>
        </w:tc>
      </w:tr>
    </w:tbl>
    <w:p>
      <w:pPr>
        <w:numPr>
          <w:ilvl w:val="0"/>
          <w:numId w:val="50"/>
        </w:numPr>
        <w:spacing w:line="360" w:lineRule="auto"/>
        <w:rPr>
          <w:rFonts w:ascii="宋体" w:hAnsi="宋体"/>
          <w:color w:val="auto"/>
        </w:rPr>
      </w:pPr>
      <w:r>
        <w:rPr>
          <w:rFonts w:hint="eastAsia" w:ascii="宋体" w:hAnsi="宋体"/>
          <w:color w:val="auto"/>
        </w:rPr>
        <w:t>在详细评标之前，评标委员会要审查每份投标文件是否实质上响应了招标文件的要求。实质上响应的投标文件应该是与招标文件要求的关键条款、条件和规格相符没有实质偏离的投标文件。评标委员会决定投标文件的响应程度只依据投标文件本身的真实无误的内容，而不依据外部的证据。但投标文件有不真实、不正确内容的除外。</w:t>
      </w:r>
    </w:p>
    <w:p>
      <w:pPr>
        <w:numPr>
          <w:ilvl w:val="0"/>
          <w:numId w:val="50"/>
        </w:numPr>
        <w:spacing w:line="360" w:lineRule="auto"/>
        <w:rPr>
          <w:rFonts w:ascii="宋体" w:hAnsi="宋体"/>
          <w:color w:val="auto"/>
        </w:rPr>
      </w:pPr>
      <w:r>
        <w:rPr>
          <w:color w:val="auto"/>
        </w:rPr>
        <w:t>评标委员会认为投标人的报价明显低于其他通过</w:t>
      </w:r>
      <w:r>
        <w:rPr>
          <w:rFonts w:hint="eastAsia"/>
          <w:color w:val="auto"/>
        </w:rPr>
        <w:t>初步</w:t>
      </w:r>
      <w:r>
        <w:rPr>
          <w:color w:val="auto"/>
        </w:rPr>
        <w:t>审查投标人的报价，有可能影响</w:t>
      </w:r>
      <w:r>
        <w:rPr>
          <w:rFonts w:hint="eastAsia"/>
          <w:color w:val="auto"/>
        </w:rPr>
        <w:t>服务</w:t>
      </w:r>
      <w:r>
        <w:rPr>
          <w:color w:val="auto"/>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50"/>
        </w:numPr>
        <w:spacing w:line="360" w:lineRule="auto"/>
        <w:rPr>
          <w:rFonts w:ascii="宋体" w:hAnsi="宋体"/>
          <w:color w:val="auto"/>
        </w:rPr>
      </w:pPr>
      <w:r>
        <w:rPr>
          <w:rFonts w:hint="eastAsia" w:ascii="宋体" w:hAnsi="宋体"/>
          <w:color w:val="auto"/>
        </w:rPr>
        <w:t>如果通过初步评审的投标人不够3家，本次招标失败。</w:t>
      </w:r>
    </w:p>
    <w:p>
      <w:pPr>
        <w:numPr>
          <w:ilvl w:val="0"/>
          <w:numId w:val="35"/>
        </w:numPr>
        <w:tabs>
          <w:tab w:val="center" w:pos="210"/>
          <w:tab w:val="center" w:pos="630"/>
        </w:tabs>
        <w:spacing w:line="360" w:lineRule="auto"/>
        <w:outlineLvl w:val="2"/>
        <w:rPr>
          <w:rFonts w:ascii="宋体" w:hAnsi="宋体"/>
          <w:b/>
          <w:color w:val="auto"/>
          <w:szCs w:val="21"/>
        </w:rPr>
      </w:pPr>
      <w:r>
        <w:rPr>
          <w:rFonts w:hint="eastAsia" w:ascii="宋体" w:hAnsi="宋体"/>
          <w:b/>
          <w:color w:val="auto"/>
          <w:szCs w:val="21"/>
        </w:rPr>
        <w:t>详细评审</w:t>
      </w:r>
    </w:p>
    <w:p>
      <w:pPr>
        <w:numPr>
          <w:ilvl w:val="0"/>
          <w:numId w:val="51"/>
        </w:numPr>
        <w:tabs>
          <w:tab w:val="left" w:pos="0"/>
          <w:tab w:val="clear" w:pos="171"/>
        </w:tabs>
        <w:spacing w:line="360" w:lineRule="auto"/>
        <w:ind w:left="567"/>
        <w:rPr>
          <w:rFonts w:ascii="宋体" w:hAnsi="宋体"/>
          <w:color w:val="auto"/>
        </w:rPr>
      </w:pPr>
      <w:r>
        <w:rPr>
          <w:rFonts w:hint="eastAsia" w:ascii="宋体" w:hAnsi="宋体"/>
          <w:color w:val="auto"/>
        </w:rPr>
        <w:t>详细评审是对通过初步评审的投标文件进行商务、技术和价格的评审。</w:t>
      </w:r>
    </w:p>
    <w:p>
      <w:pPr>
        <w:numPr>
          <w:ilvl w:val="0"/>
          <w:numId w:val="51"/>
        </w:numPr>
        <w:tabs>
          <w:tab w:val="left" w:pos="0"/>
          <w:tab w:val="clear" w:pos="171"/>
        </w:tabs>
        <w:spacing w:line="360" w:lineRule="auto"/>
        <w:ind w:left="567"/>
        <w:rPr>
          <w:rFonts w:ascii="宋体" w:hAnsi="宋体"/>
          <w:color w:val="auto"/>
          <w:szCs w:val="21"/>
        </w:rPr>
      </w:pPr>
      <w:r>
        <w:rPr>
          <w:rFonts w:hint="eastAsia" w:ascii="宋体" w:hAnsi="宋体"/>
          <w:color w:val="auto"/>
          <w:szCs w:val="21"/>
        </w:rPr>
        <w:t>分值（权重）分配</w:t>
      </w:r>
    </w:p>
    <w:p>
      <w:pPr>
        <w:numPr>
          <w:ilvl w:val="0"/>
          <w:numId w:val="52"/>
        </w:numPr>
        <w:tabs>
          <w:tab w:val="left" w:pos="945"/>
        </w:tabs>
        <w:spacing w:line="360" w:lineRule="auto"/>
        <w:rPr>
          <w:rFonts w:hint="eastAsia" w:ascii="宋体" w:hAnsi="宋体"/>
          <w:color w:val="auto"/>
        </w:rPr>
      </w:pPr>
      <w:r>
        <w:rPr>
          <w:rFonts w:hint="eastAsia" w:ascii="宋体" w:hAnsi="宋体"/>
          <w:color w:val="auto"/>
        </w:rPr>
        <w:t>综合得分最高为100分，商务、</w:t>
      </w:r>
      <w:r>
        <w:rPr>
          <w:rFonts w:hint="eastAsia" w:ascii="宋体" w:hAnsi="宋体"/>
          <w:color w:val="auto"/>
          <w:szCs w:val="21"/>
        </w:rPr>
        <w:t>技术</w:t>
      </w:r>
      <w:r>
        <w:rPr>
          <w:rFonts w:hint="eastAsia" w:ascii="宋体" w:hAnsi="宋体"/>
          <w:color w:val="auto"/>
        </w:rPr>
        <w:t>及投标报价权重分配如下：</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2357"/>
        <w:gridCol w:w="2357"/>
        <w:gridCol w:w="2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5" w:hRule="atLeast"/>
          <w:jc w:val="center"/>
        </w:trPr>
        <w:tc>
          <w:tcPr>
            <w:tcW w:w="208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
                <w:bCs/>
                <w:color w:val="auto"/>
                <w:szCs w:val="21"/>
              </w:rPr>
            </w:pPr>
            <w:r>
              <w:rPr>
                <w:rFonts w:hint="eastAsia" w:ascii="宋体" w:cs="宋体"/>
                <w:b/>
                <w:bCs/>
                <w:color w:val="auto"/>
                <w:szCs w:val="21"/>
              </w:rPr>
              <w:t>评分项目</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
                <w:bCs/>
                <w:color w:val="auto"/>
                <w:szCs w:val="21"/>
              </w:rPr>
            </w:pPr>
            <w:r>
              <w:rPr>
                <w:rFonts w:hint="eastAsia" w:ascii="宋体" w:cs="宋体"/>
                <w:b/>
                <w:bCs/>
                <w:color w:val="auto"/>
                <w:szCs w:val="21"/>
              </w:rPr>
              <w:t>商务部分</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
                <w:bCs/>
                <w:color w:val="auto"/>
                <w:szCs w:val="21"/>
              </w:rPr>
            </w:pPr>
            <w:r>
              <w:rPr>
                <w:rFonts w:hint="eastAsia" w:ascii="宋体" w:cs="宋体"/>
                <w:b/>
                <w:bCs/>
                <w:color w:val="auto"/>
                <w:szCs w:val="21"/>
              </w:rPr>
              <w:t>技术部分</w:t>
            </w:r>
          </w:p>
        </w:tc>
        <w:tc>
          <w:tcPr>
            <w:tcW w:w="23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
                <w:bCs/>
                <w:color w:val="auto"/>
                <w:szCs w:val="21"/>
              </w:rPr>
            </w:pPr>
            <w:r>
              <w:rPr>
                <w:rFonts w:hint="eastAsia" w:ascii="宋体" w:cs="宋体"/>
                <w:b/>
                <w:bCs/>
                <w:color w:val="auto"/>
                <w:szCs w:val="21"/>
              </w:rPr>
              <w:t>价格部分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08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权重100%</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40%</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50%</w:t>
            </w:r>
          </w:p>
        </w:tc>
        <w:tc>
          <w:tcPr>
            <w:tcW w:w="23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08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综合得分100分</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4</w:t>
            </w:r>
            <w:r>
              <w:rPr>
                <w:rFonts w:ascii="宋体" w:cs="宋体"/>
                <w:bCs/>
                <w:color w:val="auto"/>
                <w:szCs w:val="21"/>
              </w:rPr>
              <w:t>0</w:t>
            </w:r>
            <w:r>
              <w:rPr>
                <w:rFonts w:hint="eastAsia" w:ascii="宋体" w:cs="宋体"/>
                <w:bCs/>
                <w:color w:val="auto"/>
                <w:szCs w:val="21"/>
              </w:rPr>
              <w:t>分</w:t>
            </w:r>
          </w:p>
        </w:tc>
        <w:tc>
          <w:tcPr>
            <w:tcW w:w="235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50分</w:t>
            </w:r>
          </w:p>
        </w:tc>
        <w:tc>
          <w:tcPr>
            <w:tcW w:w="23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cs="宋体"/>
                <w:bCs/>
                <w:color w:val="auto"/>
                <w:szCs w:val="21"/>
              </w:rPr>
            </w:pPr>
            <w:r>
              <w:rPr>
                <w:rFonts w:hint="eastAsia" w:ascii="宋体" w:cs="宋体"/>
                <w:bCs/>
                <w:color w:val="auto"/>
                <w:szCs w:val="21"/>
              </w:rPr>
              <w:t>10分</w:t>
            </w:r>
          </w:p>
        </w:tc>
      </w:tr>
    </w:tbl>
    <w:p>
      <w:pPr>
        <w:numPr>
          <w:ilvl w:val="0"/>
          <w:numId w:val="51"/>
        </w:numPr>
        <w:tabs>
          <w:tab w:val="left" w:pos="0"/>
          <w:tab w:val="clear" w:pos="171"/>
        </w:tabs>
        <w:spacing w:line="360" w:lineRule="auto"/>
        <w:ind w:left="567"/>
        <w:rPr>
          <w:rFonts w:ascii="宋体" w:hAnsi="宋体"/>
          <w:color w:val="auto"/>
        </w:rPr>
      </w:pPr>
      <w:r>
        <w:rPr>
          <w:rFonts w:hint="eastAsia" w:ascii="宋体" w:hAnsi="宋体"/>
          <w:color w:val="auto"/>
        </w:rPr>
        <w:t>商务评分：评标委员会就各投标文件对商务评审内容的各项要求进行评分，评审的具体内容见《商务评审表》：</w:t>
      </w:r>
    </w:p>
    <w:p>
      <w:pPr>
        <w:spacing w:line="360" w:lineRule="auto"/>
        <w:jc w:val="center"/>
        <w:rPr>
          <w:rFonts w:hint="eastAsia" w:ascii="宋体" w:hAnsi="宋体" w:cs="宋体"/>
          <w:b/>
          <w:color w:val="auto"/>
          <w:kern w:val="1"/>
          <w:sz w:val="24"/>
        </w:rPr>
      </w:pPr>
      <w:r>
        <w:rPr>
          <w:rFonts w:ascii="宋体" w:hAnsi="宋体" w:cs="宋体"/>
          <w:b/>
          <w:color w:val="auto"/>
          <w:kern w:val="1"/>
          <w:sz w:val="24"/>
        </w:rPr>
        <w:t>商务评审</w:t>
      </w:r>
      <w:r>
        <w:rPr>
          <w:rFonts w:hint="eastAsia" w:ascii="宋体" w:hAnsi="宋体" w:cs="宋体"/>
          <w:b/>
          <w:color w:val="auto"/>
          <w:kern w:val="1"/>
          <w:sz w:val="24"/>
        </w:rPr>
        <w:t>表</w:t>
      </w:r>
    </w:p>
    <w:tbl>
      <w:tblPr>
        <w:tblStyle w:val="36"/>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79"/>
        <w:gridCol w:w="1289"/>
        <w:gridCol w:w="743"/>
        <w:gridCol w:w="681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77" w:hRule="atLeast"/>
          <w:tblHeader/>
        </w:trPr>
        <w:tc>
          <w:tcPr>
            <w:tcW w:w="405" w:type="pct"/>
            <w:tcBorders>
              <w:top w:val="single" w:color="000000" w:sz="8" w:space="0"/>
              <w:left w:val="single" w:color="000000" w:sz="8" w:space="0"/>
              <w:bottom w:val="single" w:color="000000" w:sz="8" w:space="0"/>
              <w:right w:val="single" w:color="000000" w:sz="8" w:space="0"/>
            </w:tcBorders>
            <w:shd w:val="clear" w:color="auto" w:fill="D7D7D7"/>
            <w:noWrap w:val="0"/>
            <w:vAlign w:val="center"/>
          </w:tcPr>
          <w:p>
            <w:pPr>
              <w:spacing w:line="440" w:lineRule="exact"/>
              <w:jc w:val="center"/>
              <w:rPr>
                <w:rFonts w:ascii="宋体" w:hAnsi="宋体" w:cs="宋体"/>
                <w:b/>
                <w:color w:val="auto"/>
                <w:szCs w:val="21"/>
              </w:rPr>
            </w:pPr>
            <w:r>
              <w:rPr>
                <w:rFonts w:hint="eastAsia" w:ascii="宋体" w:hAnsi="宋体" w:cs="宋体"/>
                <w:b/>
                <w:color w:val="auto"/>
                <w:szCs w:val="21"/>
              </w:rPr>
              <w:t>序号</w:t>
            </w:r>
          </w:p>
        </w:tc>
        <w:tc>
          <w:tcPr>
            <w:tcW w:w="669" w:type="pct"/>
            <w:tcBorders>
              <w:top w:val="single" w:color="000000" w:sz="8" w:space="0"/>
              <w:left w:val="single" w:color="000000" w:sz="8" w:space="0"/>
              <w:bottom w:val="single" w:color="000000" w:sz="8" w:space="0"/>
              <w:right w:val="single" w:color="000000" w:sz="8" w:space="0"/>
            </w:tcBorders>
            <w:shd w:val="clear" w:color="auto" w:fill="D7D7D7"/>
            <w:noWrap w:val="0"/>
            <w:vAlign w:val="center"/>
          </w:tcPr>
          <w:p>
            <w:pPr>
              <w:spacing w:line="440" w:lineRule="exact"/>
              <w:jc w:val="center"/>
              <w:rPr>
                <w:rFonts w:ascii="宋体" w:hAnsi="宋体" w:cs="宋体"/>
                <w:b/>
                <w:color w:val="auto"/>
                <w:szCs w:val="21"/>
              </w:rPr>
            </w:pPr>
            <w:r>
              <w:rPr>
                <w:rFonts w:hint="eastAsia" w:ascii="宋体" w:hAnsi="宋体" w:cs="宋体"/>
                <w:b/>
                <w:color w:val="auto"/>
                <w:szCs w:val="21"/>
              </w:rPr>
              <w:t>评审项目</w:t>
            </w:r>
          </w:p>
        </w:tc>
        <w:tc>
          <w:tcPr>
            <w:tcW w:w="386" w:type="pct"/>
            <w:tcBorders>
              <w:top w:val="single" w:color="000000" w:sz="8" w:space="0"/>
              <w:left w:val="single" w:color="000000" w:sz="8" w:space="0"/>
              <w:bottom w:val="single" w:color="000000" w:sz="8" w:space="0"/>
              <w:right w:val="single" w:color="000000" w:sz="8" w:space="0"/>
            </w:tcBorders>
            <w:shd w:val="clear" w:color="auto" w:fill="D7D7D7"/>
            <w:noWrap w:val="0"/>
            <w:vAlign w:val="center"/>
          </w:tcPr>
          <w:p>
            <w:pPr>
              <w:spacing w:line="440" w:lineRule="exact"/>
              <w:jc w:val="center"/>
              <w:rPr>
                <w:rFonts w:ascii="宋体" w:hAnsi="宋体" w:cs="宋体"/>
                <w:b/>
                <w:color w:val="auto"/>
                <w:szCs w:val="21"/>
              </w:rPr>
            </w:pPr>
            <w:r>
              <w:rPr>
                <w:rFonts w:hint="eastAsia" w:ascii="宋体" w:hAnsi="宋体" w:cs="宋体"/>
                <w:b/>
                <w:color w:val="auto"/>
                <w:szCs w:val="21"/>
              </w:rPr>
              <w:t>分值</w:t>
            </w:r>
          </w:p>
        </w:tc>
        <w:tc>
          <w:tcPr>
            <w:tcW w:w="3539" w:type="pct"/>
            <w:tcBorders>
              <w:top w:val="single" w:color="000000" w:sz="8" w:space="0"/>
              <w:left w:val="single" w:color="000000" w:sz="8" w:space="0"/>
              <w:bottom w:val="single" w:color="000000" w:sz="8" w:space="0"/>
              <w:right w:val="single" w:color="000000" w:sz="8" w:space="0"/>
            </w:tcBorders>
            <w:shd w:val="clear" w:color="auto" w:fill="D7D7D7"/>
            <w:noWrap w:val="0"/>
            <w:vAlign w:val="center"/>
          </w:tcPr>
          <w:p>
            <w:pPr>
              <w:spacing w:line="440" w:lineRule="exact"/>
              <w:jc w:val="center"/>
              <w:rPr>
                <w:rFonts w:ascii="宋体" w:hAnsi="宋体" w:cs="宋体"/>
                <w:b/>
                <w:color w:val="auto"/>
                <w:szCs w:val="21"/>
              </w:rPr>
            </w:pPr>
            <w:r>
              <w:rPr>
                <w:rFonts w:hint="eastAsia" w:ascii="宋体" w:hAnsi="宋体" w:cs="宋体"/>
                <w:b/>
                <w:color w:val="auto"/>
                <w:szCs w:val="21"/>
              </w:rPr>
              <w:t>评审标准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9" w:hRule="atLeast"/>
        </w:trPr>
        <w:tc>
          <w:tcPr>
            <w:tcW w:w="405" w:type="pct"/>
            <w:tcBorders>
              <w:top w:val="single" w:color="000000" w:sz="8" w:space="0"/>
              <w:left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1</w:t>
            </w:r>
          </w:p>
        </w:tc>
        <w:tc>
          <w:tcPr>
            <w:tcW w:w="669" w:type="pct"/>
            <w:tcBorders>
              <w:top w:val="single" w:color="000000" w:sz="8" w:space="0"/>
              <w:left w:val="single" w:color="000000" w:sz="8" w:space="0"/>
              <w:right w:val="single" w:color="000000" w:sz="8" w:space="0"/>
            </w:tcBorders>
            <w:noWrap w:val="0"/>
            <w:vAlign w:val="center"/>
          </w:tcPr>
          <w:p>
            <w:pPr>
              <w:spacing w:line="276" w:lineRule="auto"/>
              <w:jc w:val="center"/>
              <w:rPr>
                <w:rFonts w:ascii="宋体" w:hAnsi="宋体"/>
                <w:bCs/>
                <w:color w:val="auto"/>
                <w:szCs w:val="21"/>
              </w:rPr>
            </w:pPr>
            <w:r>
              <w:rPr>
                <w:rFonts w:hint="eastAsia" w:ascii="宋体" w:hAnsi="宋体"/>
                <w:bCs/>
                <w:color w:val="auto"/>
                <w:szCs w:val="21"/>
              </w:rPr>
              <w:t>投标人拟派项目经理（仅1人）经验及资质能力水平情况</w:t>
            </w:r>
          </w:p>
        </w:tc>
        <w:tc>
          <w:tcPr>
            <w:tcW w:w="386" w:type="pct"/>
            <w:tcBorders>
              <w:top w:val="single" w:color="000000" w:sz="8" w:space="0"/>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ascii="宋体" w:hAnsi="宋体" w:cs="宋体"/>
                <w:color w:val="auto"/>
                <w:szCs w:val="21"/>
              </w:rPr>
              <w:t>10</w:t>
            </w:r>
          </w:p>
        </w:tc>
        <w:tc>
          <w:tcPr>
            <w:tcW w:w="3539" w:type="pct"/>
            <w:tcBorders>
              <w:top w:val="single" w:color="000000" w:sz="8" w:space="0"/>
              <w:left w:val="single" w:color="000000" w:sz="8" w:space="0"/>
              <w:bottom w:val="single" w:color="000000" w:sz="8" w:space="0"/>
              <w:right w:val="single" w:color="000000" w:sz="8" w:space="0"/>
            </w:tcBorders>
            <w:noWrap w:val="0"/>
            <w:vAlign w:val="top"/>
          </w:tcPr>
          <w:p>
            <w:pPr>
              <w:spacing w:line="276" w:lineRule="auto"/>
              <w:jc w:val="left"/>
              <w:rPr>
                <w:rFonts w:ascii="宋体" w:hAnsi="宋体"/>
                <w:bCs/>
                <w:color w:val="auto"/>
                <w:szCs w:val="21"/>
              </w:rPr>
            </w:pPr>
            <w:r>
              <w:rPr>
                <w:rFonts w:hint="eastAsia" w:ascii="宋体" w:hAnsi="宋体"/>
                <w:bCs/>
                <w:color w:val="auto"/>
                <w:szCs w:val="21"/>
              </w:rPr>
              <w:t>投标人拟派项目经理经验及资质能力水平情况：</w:t>
            </w:r>
          </w:p>
          <w:p>
            <w:pPr>
              <w:spacing w:line="276" w:lineRule="auto"/>
              <w:jc w:val="left"/>
              <w:rPr>
                <w:rFonts w:ascii="宋体" w:hAnsi="宋体"/>
                <w:bCs/>
                <w:color w:val="auto"/>
                <w:szCs w:val="21"/>
              </w:rPr>
            </w:pPr>
            <w:r>
              <w:rPr>
                <w:rFonts w:hint="eastAsia" w:ascii="宋体" w:hAnsi="宋体"/>
                <w:bCs/>
                <w:color w:val="auto"/>
                <w:szCs w:val="21"/>
              </w:rPr>
              <w:t>1、具有信息系统项目管理师证书；</w:t>
            </w:r>
          </w:p>
          <w:p>
            <w:pPr>
              <w:spacing w:line="276" w:lineRule="auto"/>
              <w:jc w:val="left"/>
              <w:rPr>
                <w:rFonts w:ascii="宋体" w:hAnsi="宋体"/>
                <w:bCs/>
                <w:color w:val="auto"/>
                <w:szCs w:val="21"/>
              </w:rPr>
            </w:pPr>
            <w:r>
              <w:rPr>
                <w:rFonts w:hint="eastAsia" w:ascii="宋体" w:hAnsi="宋体"/>
                <w:bCs/>
                <w:color w:val="auto"/>
                <w:szCs w:val="21"/>
              </w:rPr>
              <w:t>2、具有高级通信工程师证书；</w:t>
            </w:r>
          </w:p>
          <w:p>
            <w:pPr>
              <w:spacing w:line="276" w:lineRule="auto"/>
              <w:jc w:val="left"/>
              <w:rPr>
                <w:rFonts w:ascii="宋体" w:hAnsi="宋体"/>
                <w:bCs/>
                <w:color w:val="auto"/>
                <w:szCs w:val="21"/>
              </w:rPr>
            </w:pPr>
            <w:r>
              <w:rPr>
                <w:rFonts w:hint="eastAsia" w:ascii="宋体" w:hAnsi="宋体"/>
                <w:bCs/>
                <w:color w:val="auto"/>
                <w:szCs w:val="21"/>
              </w:rPr>
              <w:t>3、具有网络工程师证书；</w:t>
            </w:r>
          </w:p>
          <w:p>
            <w:pPr>
              <w:spacing w:line="276" w:lineRule="auto"/>
              <w:jc w:val="left"/>
              <w:rPr>
                <w:rFonts w:ascii="宋体" w:hAnsi="宋体"/>
                <w:bCs/>
                <w:color w:val="auto"/>
                <w:szCs w:val="21"/>
              </w:rPr>
            </w:pPr>
            <w:r>
              <w:rPr>
                <w:rFonts w:hint="eastAsia" w:ascii="宋体" w:hAnsi="宋体"/>
                <w:bCs/>
                <w:color w:val="auto"/>
                <w:szCs w:val="21"/>
              </w:rPr>
              <w:t>4、具有通信专业硕士或以上学位证书；</w:t>
            </w:r>
          </w:p>
          <w:p>
            <w:pPr>
              <w:spacing w:line="276" w:lineRule="auto"/>
              <w:jc w:val="left"/>
              <w:rPr>
                <w:rFonts w:ascii="宋体" w:hAnsi="宋体"/>
                <w:bCs/>
                <w:color w:val="auto"/>
                <w:szCs w:val="21"/>
              </w:rPr>
            </w:pPr>
            <w:r>
              <w:rPr>
                <w:rFonts w:hint="eastAsia" w:ascii="宋体" w:hAnsi="宋体"/>
                <w:bCs/>
                <w:color w:val="auto"/>
                <w:szCs w:val="21"/>
              </w:rPr>
              <w:t>项目经理同时具备以上证书得满分，每缺一项扣2</w:t>
            </w:r>
            <w:r>
              <w:rPr>
                <w:rFonts w:ascii="宋体" w:hAnsi="宋体"/>
                <w:bCs/>
                <w:color w:val="auto"/>
                <w:szCs w:val="21"/>
              </w:rPr>
              <w:t>.5</w:t>
            </w:r>
            <w:r>
              <w:rPr>
                <w:rFonts w:hint="eastAsia" w:ascii="宋体" w:hAnsi="宋体"/>
                <w:bCs/>
                <w:color w:val="auto"/>
                <w:szCs w:val="21"/>
              </w:rPr>
              <w:t>分，扣完即止。</w:t>
            </w:r>
          </w:p>
          <w:p>
            <w:pPr>
              <w:spacing w:line="276" w:lineRule="auto"/>
              <w:jc w:val="left"/>
              <w:rPr>
                <w:rFonts w:ascii="宋体" w:hAnsi="宋体"/>
                <w:bCs/>
                <w:color w:val="auto"/>
                <w:szCs w:val="21"/>
              </w:rPr>
            </w:pPr>
            <w:r>
              <w:rPr>
                <w:rFonts w:hint="eastAsia" w:ascii="宋体" w:hAnsi="宋体"/>
                <w:bCs/>
                <w:color w:val="auto"/>
                <w:szCs w:val="21"/>
              </w:rPr>
              <w:t>注：须同时提供上述人员的证书以及在本公司任职的外部证明材料（如加盖政府有关部门印章的打印日期在本项目投标截止日之前六个月的任意一个月《投保单》或《社会保险参保人员证明》，或单位代缴个人所得税税单等），不按要求提供或提供不全或无法认定的不得分。如无提供在本公司任职的外部证明材料，即本项内容均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6" w:hRule="atLeast"/>
        </w:trPr>
        <w:tc>
          <w:tcPr>
            <w:tcW w:w="405" w:type="pct"/>
            <w:tcBorders>
              <w:top w:val="single" w:color="000000" w:sz="8" w:space="0"/>
              <w:left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2</w:t>
            </w:r>
          </w:p>
        </w:tc>
        <w:tc>
          <w:tcPr>
            <w:tcW w:w="669" w:type="pct"/>
            <w:tcBorders>
              <w:top w:val="single" w:color="000000" w:sz="8" w:space="0"/>
              <w:left w:val="single" w:color="000000" w:sz="8" w:space="0"/>
              <w:right w:val="single" w:color="000000" w:sz="8" w:space="0"/>
            </w:tcBorders>
            <w:noWrap w:val="0"/>
            <w:vAlign w:val="center"/>
          </w:tcPr>
          <w:p>
            <w:pPr>
              <w:spacing w:line="276" w:lineRule="auto"/>
              <w:jc w:val="center"/>
              <w:rPr>
                <w:rFonts w:ascii="宋体" w:hAnsi="宋体"/>
                <w:bCs/>
                <w:color w:val="auto"/>
                <w:szCs w:val="21"/>
              </w:rPr>
            </w:pPr>
            <w:r>
              <w:rPr>
                <w:rFonts w:hint="eastAsia" w:ascii="宋体" w:hAnsi="宋体"/>
                <w:bCs/>
                <w:color w:val="auto"/>
                <w:szCs w:val="21"/>
              </w:rPr>
              <w:t>投标人拟派任本项目的技术负责人（仅1人，项目经理除外）</w:t>
            </w:r>
          </w:p>
        </w:tc>
        <w:tc>
          <w:tcPr>
            <w:tcW w:w="386" w:type="pct"/>
            <w:tcBorders>
              <w:top w:val="single" w:color="000000" w:sz="8" w:space="0"/>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ascii="宋体" w:hAnsi="宋体" w:cs="宋体"/>
                <w:color w:val="auto"/>
                <w:szCs w:val="21"/>
              </w:rPr>
              <w:t>5</w:t>
            </w:r>
          </w:p>
        </w:tc>
        <w:tc>
          <w:tcPr>
            <w:tcW w:w="3539" w:type="pct"/>
            <w:tcBorders>
              <w:top w:val="single" w:color="000000" w:sz="8" w:space="0"/>
              <w:left w:val="single" w:color="000000" w:sz="8" w:space="0"/>
              <w:bottom w:val="single" w:color="000000" w:sz="8" w:space="0"/>
              <w:right w:val="single" w:color="000000" w:sz="8" w:space="0"/>
            </w:tcBorders>
            <w:noWrap w:val="0"/>
            <w:vAlign w:val="top"/>
          </w:tcPr>
          <w:p>
            <w:pPr>
              <w:spacing w:line="276" w:lineRule="auto"/>
              <w:jc w:val="left"/>
              <w:rPr>
                <w:rFonts w:ascii="宋体" w:hAnsi="宋体"/>
                <w:bCs/>
                <w:color w:val="auto"/>
                <w:szCs w:val="21"/>
              </w:rPr>
            </w:pPr>
            <w:r>
              <w:rPr>
                <w:rFonts w:hint="eastAsia" w:ascii="宋体" w:hAnsi="宋体"/>
                <w:bCs/>
                <w:color w:val="auto"/>
                <w:szCs w:val="21"/>
              </w:rPr>
              <w:t>1、具有信息系统项目管理师证书；</w:t>
            </w:r>
          </w:p>
          <w:p>
            <w:pPr>
              <w:spacing w:line="276" w:lineRule="auto"/>
              <w:jc w:val="left"/>
              <w:rPr>
                <w:rFonts w:ascii="宋体" w:hAnsi="宋体"/>
                <w:bCs/>
                <w:color w:val="auto"/>
                <w:szCs w:val="21"/>
              </w:rPr>
            </w:pPr>
            <w:r>
              <w:rPr>
                <w:rFonts w:hint="eastAsia" w:ascii="宋体" w:hAnsi="宋体"/>
                <w:bCs/>
                <w:color w:val="auto"/>
                <w:szCs w:val="21"/>
              </w:rPr>
              <w:t xml:space="preserve">2、具有中级或以上通信专业资格认定证书； </w:t>
            </w:r>
          </w:p>
          <w:p>
            <w:pPr>
              <w:spacing w:line="276" w:lineRule="auto"/>
              <w:jc w:val="left"/>
              <w:rPr>
                <w:rFonts w:ascii="宋体" w:hAnsi="宋体"/>
                <w:bCs/>
                <w:color w:val="auto"/>
                <w:szCs w:val="21"/>
              </w:rPr>
            </w:pPr>
            <w:r>
              <w:rPr>
                <w:rFonts w:hint="eastAsia" w:ascii="宋体" w:hAnsi="宋体"/>
                <w:bCs/>
                <w:color w:val="auto"/>
                <w:szCs w:val="21"/>
              </w:rPr>
              <w:t>技术负责人同时具备以上证书得满分，每缺一项扣</w:t>
            </w:r>
            <w:r>
              <w:rPr>
                <w:rFonts w:ascii="宋体" w:hAnsi="宋体"/>
                <w:bCs/>
                <w:color w:val="auto"/>
                <w:szCs w:val="21"/>
              </w:rPr>
              <w:t>2</w:t>
            </w:r>
            <w:r>
              <w:rPr>
                <w:rFonts w:hint="eastAsia" w:ascii="宋体" w:hAnsi="宋体"/>
                <w:bCs/>
                <w:color w:val="auto"/>
                <w:szCs w:val="21"/>
              </w:rPr>
              <w:t>.5分，扣完即止。</w:t>
            </w:r>
          </w:p>
          <w:p>
            <w:pPr>
              <w:spacing w:line="276" w:lineRule="auto"/>
              <w:jc w:val="left"/>
              <w:rPr>
                <w:rFonts w:ascii="宋体" w:hAnsi="宋体"/>
                <w:bCs/>
                <w:color w:val="auto"/>
                <w:szCs w:val="21"/>
              </w:rPr>
            </w:pPr>
            <w:r>
              <w:rPr>
                <w:rFonts w:hint="eastAsia" w:ascii="宋体" w:hAnsi="宋体"/>
                <w:bCs/>
                <w:color w:val="auto"/>
                <w:szCs w:val="21"/>
              </w:rPr>
              <w:t>注：须提供上述人员的证书以及在本公司任职的外部证明材料（如加盖政府有关部门印章的打印日期在本项目投标截止日之前六个月的任意一个月《投保单》或《社会保险参保人员证明》，或单位代缴个人所得税税单等），不按要求提供或提供不全或无法认定的不得分。如无提供在本公司任职的外部证明材料，即本项内容均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6" w:hRule="atLeast"/>
        </w:trPr>
        <w:tc>
          <w:tcPr>
            <w:tcW w:w="405" w:type="pct"/>
            <w:tcBorders>
              <w:top w:val="single" w:color="000000" w:sz="8" w:space="0"/>
              <w:left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3</w:t>
            </w:r>
          </w:p>
        </w:tc>
        <w:tc>
          <w:tcPr>
            <w:tcW w:w="669" w:type="pct"/>
            <w:tcBorders>
              <w:top w:val="single" w:color="000000" w:sz="8" w:space="0"/>
              <w:left w:val="single" w:color="000000" w:sz="8" w:space="0"/>
              <w:right w:val="single" w:color="000000" w:sz="8" w:space="0"/>
            </w:tcBorders>
            <w:noWrap w:val="0"/>
            <w:vAlign w:val="center"/>
          </w:tcPr>
          <w:p>
            <w:pPr>
              <w:spacing w:line="276" w:lineRule="auto"/>
              <w:jc w:val="center"/>
              <w:rPr>
                <w:rFonts w:ascii="宋体" w:hAnsi="宋体"/>
                <w:color w:val="auto"/>
                <w:szCs w:val="21"/>
              </w:rPr>
            </w:pPr>
            <w:r>
              <w:rPr>
                <w:rFonts w:hint="eastAsia" w:ascii="宋体" w:hAnsi="宋体" w:cs="宋体"/>
                <w:color w:val="auto"/>
                <w:szCs w:val="21"/>
              </w:rPr>
              <w:t>项目主要技术管理人员情况（项目经理、技术负责人除外）</w:t>
            </w:r>
          </w:p>
        </w:tc>
        <w:tc>
          <w:tcPr>
            <w:tcW w:w="386" w:type="pct"/>
            <w:tcBorders>
              <w:top w:val="single" w:color="000000" w:sz="8" w:space="0"/>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1</w:t>
            </w:r>
            <w:r>
              <w:rPr>
                <w:rFonts w:ascii="宋体" w:hAnsi="宋体" w:cs="宋体"/>
                <w:color w:val="auto"/>
                <w:szCs w:val="21"/>
              </w:rPr>
              <w:t>2</w:t>
            </w:r>
          </w:p>
        </w:tc>
        <w:tc>
          <w:tcPr>
            <w:tcW w:w="3539" w:type="pct"/>
            <w:tcBorders>
              <w:top w:val="single" w:color="000000" w:sz="8" w:space="0"/>
              <w:left w:val="single" w:color="000000" w:sz="8" w:space="0"/>
              <w:bottom w:val="single" w:color="000000" w:sz="8" w:space="0"/>
              <w:right w:val="single" w:color="000000" w:sz="8" w:space="0"/>
            </w:tcBorders>
            <w:noWrap w:val="0"/>
            <w:vAlign w:val="top"/>
          </w:tcPr>
          <w:p>
            <w:pPr>
              <w:snapToGrid w:val="0"/>
              <w:spacing w:line="320" w:lineRule="exact"/>
              <w:rPr>
                <w:rFonts w:ascii="宋体" w:hAnsi="宋体"/>
                <w:color w:val="auto"/>
                <w:szCs w:val="21"/>
              </w:rPr>
            </w:pPr>
            <w:r>
              <w:rPr>
                <w:rFonts w:hint="eastAsia" w:ascii="宋体" w:hAnsi="宋体"/>
                <w:color w:val="auto"/>
                <w:szCs w:val="21"/>
              </w:rPr>
              <w:t>参与本项目其他团队人员具备以下资质证书：</w:t>
            </w:r>
          </w:p>
          <w:p>
            <w:pPr>
              <w:snapToGrid w:val="0"/>
              <w:spacing w:line="320" w:lineRule="exact"/>
              <w:rPr>
                <w:rFonts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 1 \* GB3</w:instrText>
            </w:r>
            <w:r>
              <w:rPr>
                <w:rFonts w:ascii="宋体" w:hAnsi="宋体"/>
                <w:color w:val="auto"/>
                <w:szCs w:val="21"/>
              </w:rPr>
              <w:instrText xml:space="preserve"> </w:instrText>
            </w:r>
            <w:r>
              <w:rPr>
                <w:rFonts w:ascii="宋体" w:hAnsi="宋体"/>
                <w:color w:val="auto"/>
                <w:szCs w:val="21"/>
              </w:rPr>
              <w:fldChar w:fldCharType="separate"/>
            </w:r>
            <w:r>
              <w:rPr>
                <w:rFonts w:hint="eastAsia" w:ascii="宋体" w:hAnsi="宋体"/>
                <w:color w:val="auto"/>
                <w:szCs w:val="21"/>
              </w:rPr>
              <w:t>①</w:t>
            </w:r>
            <w:r>
              <w:rPr>
                <w:rFonts w:ascii="宋体" w:hAnsi="宋体"/>
                <w:color w:val="auto"/>
                <w:szCs w:val="21"/>
              </w:rPr>
              <w:fldChar w:fldCharType="end"/>
            </w:r>
            <w:r>
              <w:rPr>
                <w:rFonts w:hint="eastAsia" w:ascii="宋体" w:hAnsi="宋体"/>
                <w:color w:val="auto"/>
                <w:szCs w:val="21"/>
              </w:rPr>
              <w:t>具有高级网络规划设计师证书；</w:t>
            </w:r>
          </w:p>
          <w:p>
            <w:pPr>
              <w:snapToGrid w:val="0"/>
              <w:spacing w:line="320" w:lineRule="exact"/>
              <w:rPr>
                <w:rFonts w:ascii="宋体" w:hAnsi="宋体"/>
                <w:color w:val="auto"/>
                <w:szCs w:val="21"/>
              </w:rPr>
            </w:pPr>
            <w:r>
              <w:rPr>
                <w:rFonts w:hint="eastAsia" w:ascii="宋体" w:hAnsi="宋体"/>
                <w:color w:val="auto"/>
                <w:szCs w:val="21"/>
              </w:rPr>
              <w:t>②具有</w:t>
            </w:r>
            <w:r>
              <w:rPr>
                <w:rFonts w:hint="eastAsia" w:ascii="宋体" w:hAnsi="宋体"/>
                <w:bCs/>
                <w:color w:val="auto"/>
                <w:szCs w:val="21"/>
              </w:rPr>
              <w:t>网络工程师证书</w:t>
            </w:r>
            <w:r>
              <w:rPr>
                <w:rFonts w:hint="eastAsia" w:ascii="宋体" w:hAnsi="宋体"/>
                <w:color w:val="auto"/>
                <w:szCs w:val="21"/>
              </w:rPr>
              <w:t>；</w:t>
            </w:r>
          </w:p>
          <w:p>
            <w:pPr>
              <w:snapToGrid w:val="0"/>
              <w:spacing w:line="320" w:lineRule="exact"/>
              <w:rPr>
                <w:rFonts w:ascii="宋体" w:hAnsi="宋体"/>
                <w:color w:val="auto"/>
                <w:szCs w:val="21"/>
              </w:rPr>
            </w:pPr>
            <w:r>
              <w:rPr>
                <w:rFonts w:hint="eastAsia" w:ascii="宋体" w:hAnsi="宋体"/>
                <w:color w:val="auto"/>
                <w:szCs w:val="21"/>
              </w:rPr>
              <w:t>③</w:t>
            </w:r>
            <w:r>
              <w:rPr>
                <w:rFonts w:hint="eastAsia" w:ascii="宋体" w:hAnsi="宋体"/>
                <w:bCs/>
                <w:color w:val="auto"/>
                <w:szCs w:val="21"/>
              </w:rPr>
              <w:t>具有高级通信工程师资质证书；</w:t>
            </w:r>
          </w:p>
          <w:p>
            <w:pPr>
              <w:snapToGrid w:val="0"/>
              <w:spacing w:line="320" w:lineRule="exact"/>
              <w:rPr>
                <w:rFonts w:ascii="宋体" w:hAnsi="宋体"/>
                <w:color w:val="auto"/>
                <w:szCs w:val="21"/>
              </w:rPr>
            </w:pPr>
            <w:r>
              <w:rPr>
                <w:rFonts w:hint="eastAsia" w:ascii="宋体" w:hAnsi="宋体"/>
                <w:color w:val="auto"/>
                <w:szCs w:val="21"/>
              </w:rPr>
              <w:t>以上证书每具备一项得</w:t>
            </w:r>
            <w:r>
              <w:rPr>
                <w:rFonts w:ascii="宋体" w:hAnsi="宋体"/>
                <w:color w:val="auto"/>
                <w:szCs w:val="21"/>
              </w:rPr>
              <w:t>4</w:t>
            </w:r>
            <w:r>
              <w:rPr>
                <w:rFonts w:hint="eastAsia" w:ascii="宋体" w:hAnsi="宋体"/>
                <w:color w:val="auto"/>
                <w:szCs w:val="21"/>
              </w:rPr>
              <w:t>分，最高得</w:t>
            </w:r>
            <w:r>
              <w:rPr>
                <w:rFonts w:ascii="宋体" w:hAnsi="宋体"/>
                <w:color w:val="auto"/>
                <w:szCs w:val="21"/>
              </w:rPr>
              <w:t>12</w:t>
            </w:r>
            <w:r>
              <w:rPr>
                <w:rFonts w:hint="eastAsia" w:ascii="宋体" w:hAnsi="宋体"/>
                <w:color w:val="auto"/>
                <w:szCs w:val="21"/>
              </w:rPr>
              <w:t>分。</w:t>
            </w:r>
          </w:p>
          <w:p>
            <w:pPr>
              <w:snapToGrid w:val="0"/>
              <w:spacing w:line="320" w:lineRule="exact"/>
              <w:rPr>
                <w:rFonts w:ascii="宋体" w:hAnsi="宋体"/>
                <w:color w:val="auto"/>
                <w:szCs w:val="21"/>
              </w:rPr>
            </w:pPr>
            <w:r>
              <w:rPr>
                <w:rFonts w:hint="eastAsia" w:ascii="宋体" w:hAnsi="宋体"/>
                <w:color w:val="auto"/>
                <w:szCs w:val="21"/>
              </w:rPr>
              <w:t>同一人员同时具有不同证书，或者不同人员同时具备同一证书，都只计算一次，不累计计分。</w:t>
            </w:r>
          </w:p>
          <w:p>
            <w:pPr>
              <w:spacing w:line="276" w:lineRule="auto"/>
              <w:rPr>
                <w:rFonts w:ascii="宋体" w:hAnsi="宋体"/>
                <w:color w:val="auto"/>
                <w:szCs w:val="21"/>
              </w:rPr>
            </w:pPr>
            <w:r>
              <w:rPr>
                <w:rFonts w:hint="eastAsia" w:ascii="宋体" w:hAnsi="宋体"/>
                <w:color w:val="auto"/>
                <w:szCs w:val="21"/>
              </w:rPr>
              <w:t>注：</w:t>
            </w: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 1 \* GB3</w:instrText>
            </w:r>
            <w:r>
              <w:rPr>
                <w:rFonts w:ascii="宋体" w:hAnsi="宋体"/>
                <w:color w:val="auto"/>
                <w:szCs w:val="21"/>
              </w:rPr>
              <w:instrText xml:space="preserve"> </w:instrText>
            </w:r>
            <w:r>
              <w:rPr>
                <w:rFonts w:ascii="宋体" w:hAnsi="宋体"/>
                <w:color w:val="auto"/>
                <w:szCs w:val="21"/>
              </w:rPr>
              <w:fldChar w:fldCharType="separate"/>
            </w:r>
            <w:r>
              <w:rPr>
                <w:rFonts w:hint="eastAsia" w:ascii="宋体" w:hAnsi="宋体"/>
                <w:color w:val="auto"/>
                <w:szCs w:val="21"/>
              </w:rPr>
              <w:t>①</w:t>
            </w:r>
            <w:r>
              <w:rPr>
                <w:rFonts w:ascii="宋体" w:hAnsi="宋体"/>
                <w:color w:val="auto"/>
                <w:szCs w:val="21"/>
              </w:rPr>
              <w:fldChar w:fldCharType="end"/>
            </w:r>
            <w:r>
              <w:rPr>
                <w:rFonts w:hint="eastAsia" w:ascii="宋体" w:hAnsi="宋体"/>
                <w:color w:val="auto"/>
                <w:szCs w:val="21"/>
              </w:rPr>
              <w:t>提供有效期内的职称证书复印件或有效的网络查询路径,否则无效。</w:t>
            </w:r>
          </w:p>
          <w:p>
            <w:pPr>
              <w:spacing w:line="276" w:lineRule="auto"/>
              <w:rPr>
                <w:rFonts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 2 \* GB3</w:instrText>
            </w:r>
            <w:r>
              <w:rPr>
                <w:rFonts w:ascii="宋体" w:hAnsi="宋体"/>
                <w:color w:val="auto"/>
                <w:szCs w:val="21"/>
              </w:rPr>
              <w:instrText xml:space="preserve"> </w:instrText>
            </w:r>
            <w:r>
              <w:rPr>
                <w:rFonts w:ascii="宋体" w:hAnsi="宋体"/>
                <w:color w:val="auto"/>
                <w:szCs w:val="21"/>
              </w:rPr>
              <w:fldChar w:fldCharType="separate"/>
            </w:r>
            <w:r>
              <w:rPr>
                <w:rFonts w:hint="eastAsia" w:ascii="宋体" w:hAnsi="宋体"/>
                <w:color w:val="auto"/>
                <w:szCs w:val="21"/>
              </w:rPr>
              <w:t>②</w:t>
            </w:r>
            <w:r>
              <w:rPr>
                <w:rFonts w:ascii="宋体" w:hAnsi="宋体"/>
                <w:color w:val="auto"/>
                <w:szCs w:val="21"/>
              </w:rPr>
              <w:fldChar w:fldCharType="end"/>
            </w:r>
            <w:r>
              <w:rPr>
                <w:rFonts w:hint="eastAsia" w:ascii="宋体" w:hAnsi="宋体"/>
                <w:color w:val="auto"/>
                <w:szCs w:val="21"/>
              </w:rPr>
              <w:t>提供上述人员在本项目投标截止日之前6个月内任意一个月的《投保单》或《社会保险参保人员证明》，或单位代缴个人所得税税单等，否则无效。</w:t>
            </w:r>
          </w:p>
          <w:p>
            <w:pPr>
              <w:rPr>
                <w:b/>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 3 \* GB3</w:instrText>
            </w:r>
            <w:r>
              <w:rPr>
                <w:rFonts w:ascii="宋体" w:hAnsi="宋体"/>
                <w:color w:val="auto"/>
                <w:szCs w:val="21"/>
              </w:rPr>
              <w:instrText xml:space="preserve"> </w:instrText>
            </w:r>
            <w:r>
              <w:rPr>
                <w:rFonts w:ascii="宋体" w:hAnsi="宋体"/>
                <w:color w:val="auto"/>
                <w:szCs w:val="21"/>
              </w:rPr>
              <w:fldChar w:fldCharType="separate"/>
            </w:r>
            <w:r>
              <w:rPr>
                <w:rFonts w:hint="eastAsia" w:ascii="宋体" w:hAnsi="宋体"/>
                <w:color w:val="auto"/>
                <w:szCs w:val="21"/>
              </w:rPr>
              <w:t>③</w:t>
            </w:r>
            <w:r>
              <w:rPr>
                <w:rFonts w:ascii="宋体" w:hAnsi="宋体"/>
                <w:color w:val="auto"/>
                <w:szCs w:val="21"/>
              </w:rPr>
              <w:fldChar w:fldCharType="end"/>
            </w:r>
            <w:r>
              <w:rPr>
                <w:rFonts w:hint="eastAsia" w:ascii="宋体" w:hAnsi="宋体"/>
                <w:color w:val="auto"/>
                <w:szCs w:val="21"/>
              </w:rPr>
              <w:t>无或未按要求递交证明材料的不得分。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6" w:hRule="atLeast"/>
        </w:trPr>
        <w:tc>
          <w:tcPr>
            <w:tcW w:w="405" w:type="pct"/>
            <w:tcBorders>
              <w:top w:val="single" w:color="000000" w:sz="8" w:space="0"/>
              <w:left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4</w:t>
            </w:r>
          </w:p>
        </w:tc>
        <w:tc>
          <w:tcPr>
            <w:tcW w:w="669" w:type="pct"/>
            <w:tcBorders>
              <w:left w:val="single" w:color="000000" w:sz="8" w:space="0"/>
              <w:right w:val="single" w:color="000000" w:sz="8" w:space="0"/>
            </w:tcBorders>
            <w:noWrap w:val="0"/>
            <w:vAlign w:val="center"/>
          </w:tcPr>
          <w:p>
            <w:pPr>
              <w:spacing w:line="276" w:lineRule="auto"/>
              <w:jc w:val="center"/>
              <w:rPr>
                <w:rFonts w:ascii="宋体" w:hAnsi="宋体"/>
                <w:color w:val="auto"/>
                <w:szCs w:val="21"/>
              </w:rPr>
            </w:pPr>
            <w:r>
              <w:rPr>
                <w:rFonts w:hint="eastAsia" w:ascii="宋体" w:hAnsi="宋体"/>
                <w:color w:val="auto"/>
                <w:szCs w:val="21"/>
              </w:rPr>
              <w:t>企业质量管理认证证书</w:t>
            </w:r>
          </w:p>
        </w:tc>
        <w:tc>
          <w:tcPr>
            <w:tcW w:w="386" w:type="pct"/>
            <w:tcBorders>
              <w:top w:val="single" w:color="000000" w:sz="8" w:space="0"/>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s="宋体"/>
                <w:color w:val="auto"/>
                <w:szCs w:val="21"/>
              </w:rPr>
            </w:pPr>
            <w:r>
              <w:rPr>
                <w:rFonts w:hint="eastAsia" w:ascii="宋体" w:hAnsi="宋体" w:cs="宋体"/>
                <w:color w:val="auto"/>
                <w:szCs w:val="21"/>
              </w:rPr>
              <w:t>1</w:t>
            </w:r>
            <w:r>
              <w:rPr>
                <w:rFonts w:ascii="宋体" w:hAnsi="宋体" w:cs="宋体"/>
                <w:color w:val="auto"/>
                <w:szCs w:val="21"/>
              </w:rPr>
              <w:t>3</w:t>
            </w:r>
          </w:p>
        </w:tc>
        <w:tc>
          <w:tcPr>
            <w:tcW w:w="3539" w:type="pct"/>
            <w:tcBorders>
              <w:top w:val="single" w:color="000000" w:sz="8" w:space="0"/>
              <w:left w:val="single" w:color="000000" w:sz="8" w:space="0"/>
              <w:bottom w:val="single" w:color="000000" w:sz="8" w:space="0"/>
              <w:right w:val="single" w:color="000000" w:sz="8" w:space="0"/>
            </w:tcBorders>
            <w:noWrap w:val="0"/>
            <w:vAlign w:val="top"/>
          </w:tcPr>
          <w:p>
            <w:pPr>
              <w:snapToGrid w:val="0"/>
              <w:spacing w:line="288" w:lineRule="auto"/>
              <w:rPr>
                <w:rFonts w:ascii="宋体" w:hAnsi="宋体"/>
                <w:color w:val="auto"/>
                <w:szCs w:val="21"/>
              </w:rPr>
            </w:pPr>
            <w:r>
              <w:rPr>
                <w:rFonts w:ascii="宋体" w:hAnsi="宋体"/>
                <w:color w:val="auto"/>
                <w:szCs w:val="21"/>
              </w:rPr>
              <w:t>1、具有ISO9001 质量管理体系认证证书</w:t>
            </w:r>
            <w:r>
              <w:rPr>
                <w:rFonts w:hint="eastAsia" w:ascii="宋体" w:hAnsi="宋体"/>
                <w:color w:val="auto"/>
                <w:szCs w:val="21"/>
              </w:rPr>
              <w:t>，得</w:t>
            </w:r>
            <w:r>
              <w:rPr>
                <w:rFonts w:ascii="宋体" w:hAnsi="宋体"/>
                <w:color w:val="auto"/>
                <w:szCs w:val="21"/>
              </w:rPr>
              <w:t>2</w:t>
            </w:r>
            <w:r>
              <w:rPr>
                <w:rFonts w:hint="eastAsia" w:ascii="宋体" w:hAnsi="宋体"/>
                <w:color w:val="auto"/>
                <w:szCs w:val="21"/>
              </w:rPr>
              <w:t>分</w:t>
            </w:r>
            <w:r>
              <w:rPr>
                <w:rFonts w:ascii="宋体" w:hAnsi="宋体"/>
                <w:color w:val="auto"/>
                <w:szCs w:val="21"/>
              </w:rPr>
              <w:t>；</w:t>
            </w:r>
          </w:p>
          <w:p>
            <w:pPr>
              <w:snapToGrid w:val="0"/>
              <w:spacing w:line="288" w:lineRule="auto"/>
              <w:rPr>
                <w:rFonts w:ascii="宋体" w:hAnsi="宋体"/>
                <w:color w:val="auto"/>
                <w:szCs w:val="21"/>
              </w:rPr>
            </w:pPr>
            <w:r>
              <w:rPr>
                <w:rFonts w:ascii="宋体" w:hAnsi="宋体"/>
                <w:color w:val="auto"/>
                <w:szCs w:val="21"/>
              </w:rPr>
              <w:t>2、具有</w:t>
            </w:r>
            <w:r>
              <w:rPr>
                <w:rFonts w:hint="eastAsia" w:ascii="宋体" w:hAnsi="宋体"/>
                <w:color w:val="auto"/>
                <w:szCs w:val="21"/>
              </w:rPr>
              <w:t>ISO27001信息安全管理体系认证证书，得</w:t>
            </w:r>
            <w:r>
              <w:rPr>
                <w:rFonts w:ascii="宋体" w:hAnsi="宋体"/>
                <w:color w:val="auto"/>
                <w:szCs w:val="21"/>
              </w:rPr>
              <w:t>2</w:t>
            </w:r>
            <w:r>
              <w:rPr>
                <w:rFonts w:hint="eastAsia" w:ascii="宋体" w:hAnsi="宋体"/>
                <w:color w:val="auto"/>
                <w:szCs w:val="21"/>
              </w:rPr>
              <w:t>分</w:t>
            </w:r>
            <w:r>
              <w:rPr>
                <w:rFonts w:ascii="宋体" w:hAnsi="宋体"/>
                <w:color w:val="auto"/>
                <w:szCs w:val="21"/>
              </w:rPr>
              <w:t>；</w:t>
            </w:r>
          </w:p>
          <w:p>
            <w:pPr>
              <w:snapToGrid w:val="0"/>
              <w:spacing w:line="288" w:lineRule="auto"/>
              <w:rPr>
                <w:rFonts w:ascii="宋体" w:hAnsi="宋体"/>
                <w:color w:val="auto"/>
                <w:szCs w:val="21"/>
              </w:rPr>
            </w:pPr>
            <w:r>
              <w:rPr>
                <w:rFonts w:ascii="宋体" w:hAnsi="宋体"/>
                <w:color w:val="auto"/>
                <w:szCs w:val="21"/>
              </w:rPr>
              <w:t>3、具有</w:t>
            </w:r>
            <w:r>
              <w:rPr>
                <w:rFonts w:hint="eastAsia" w:ascii="宋体" w:hAnsi="宋体"/>
                <w:color w:val="auto"/>
                <w:szCs w:val="21"/>
              </w:rPr>
              <w:t>ISO20000信息技术服务管理体系认证证书，得</w:t>
            </w:r>
            <w:r>
              <w:rPr>
                <w:rFonts w:ascii="宋体" w:hAnsi="宋体"/>
                <w:color w:val="auto"/>
                <w:szCs w:val="21"/>
              </w:rPr>
              <w:t>3</w:t>
            </w:r>
            <w:r>
              <w:rPr>
                <w:rFonts w:hint="eastAsia" w:ascii="宋体" w:hAnsi="宋体"/>
                <w:color w:val="auto"/>
                <w:szCs w:val="21"/>
              </w:rPr>
              <w:t>分</w:t>
            </w:r>
            <w:r>
              <w:rPr>
                <w:rFonts w:ascii="宋体" w:hAnsi="宋体"/>
                <w:color w:val="auto"/>
                <w:szCs w:val="21"/>
              </w:rPr>
              <w:t>；</w:t>
            </w:r>
          </w:p>
          <w:p>
            <w:pPr>
              <w:snapToGrid w:val="0"/>
              <w:spacing w:line="288" w:lineRule="auto"/>
              <w:rPr>
                <w:rFonts w:ascii="宋体" w:hAnsi="宋体"/>
                <w:color w:val="auto"/>
                <w:szCs w:val="21"/>
              </w:rPr>
            </w:pPr>
            <w:r>
              <w:rPr>
                <w:rFonts w:ascii="宋体" w:hAnsi="宋体"/>
                <w:color w:val="auto"/>
                <w:szCs w:val="21"/>
              </w:rPr>
              <w:t>4</w:t>
            </w:r>
            <w:r>
              <w:rPr>
                <w:rFonts w:hint="eastAsia" w:ascii="宋体" w:hAnsi="宋体"/>
                <w:color w:val="auto"/>
                <w:szCs w:val="21"/>
              </w:rPr>
              <w:t>、具有</w:t>
            </w:r>
            <w:r>
              <w:rPr>
                <w:rFonts w:ascii="宋体" w:hAnsi="宋体"/>
                <w:color w:val="auto"/>
                <w:szCs w:val="21"/>
              </w:rPr>
              <w:t>ISO27032网络空间安全管理体系认证证书</w:t>
            </w:r>
            <w:r>
              <w:rPr>
                <w:rFonts w:hint="eastAsia" w:ascii="宋体" w:hAnsi="宋体"/>
                <w:color w:val="auto"/>
                <w:szCs w:val="21"/>
              </w:rPr>
              <w:t>，得</w:t>
            </w:r>
            <w:r>
              <w:rPr>
                <w:rFonts w:ascii="宋体" w:hAnsi="宋体"/>
                <w:color w:val="auto"/>
                <w:szCs w:val="21"/>
              </w:rPr>
              <w:t>3</w:t>
            </w:r>
            <w:r>
              <w:rPr>
                <w:rFonts w:hint="eastAsia" w:ascii="宋体" w:hAnsi="宋体"/>
                <w:color w:val="auto"/>
                <w:szCs w:val="21"/>
              </w:rPr>
              <w:t>分；</w:t>
            </w:r>
          </w:p>
          <w:p>
            <w:pPr>
              <w:snapToGrid w:val="0"/>
              <w:spacing w:line="288" w:lineRule="auto"/>
              <w:rPr>
                <w:rFonts w:ascii="宋体" w:hAnsi="宋体"/>
                <w:color w:val="auto"/>
                <w:szCs w:val="21"/>
              </w:rPr>
            </w:pPr>
            <w:r>
              <w:rPr>
                <w:rFonts w:hint="eastAsia" w:ascii="宋体" w:hAnsi="宋体"/>
                <w:color w:val="auto"/>
                <w:szCs w:val="21"/>
              </w:rPr>
              <w:t>5、具有GBT37228应急预案管理能力评价认证证书，得</w:t>
            </w:r>
            <w:r>
              <w:rPr>
                <w:rFonts w:ascii="宋体" w:hAnsi="宋体"/>
                <w:color w:val="auto"/>
                <w:szCs w:val="21"/>
              </w:rPr>
              <w:t>3</w:t>
            </w:r>
            <w:r>
              <w:rPr>
                <w:rFonts w:hint="eastAsia" w:ascii="宋体" w:hAnsi="宋体"/>
                <w:color w:val="auto"/>
                <w:szCs w:val="21"/>
              </w:rPr>
              <w:t>分；</w:t>
            </w:r>
          </w:p>
          <w:p>
            <w:pPr>
              <w:pStyle w:val="73"/>
              <w:snapToGrid w:val="0"/>
              <w:spacing w:line="288" w:lineRule="auto"/>
              <w:ind w:firstLine="0" w:firstLineChars="0"/>
              <w:rPr>
                <w:rFonts w:ascii="宋体" w:hAnsi="宋体"/>
                <w:b/>
                <w:color w:val="auto"/>
                <w:sz w:val="21"/>
                <w:szCs w:val="21"/>
              </w:rPr>
            </w:pPr>
            <w:r>
              <w:rPr>
                <w:rFonts w:hint="eastAsia" w:ascii="宋体" w:hAnsi="宋体"/>
                <w:color w:val="auto"/>
                <w:sz w:val="21"/>
                <w:szCs w:val="21"/>
              </w:rPr>
              <w:t>注：1.提供与投标人名称一致的有效的相关质量认证证明文件复印件，并加盖投标人公章；2.上述5个证书的发证机构须为境内机构；否则不得分。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0" w:hRule="atLeast"/>
        </w:trPr>
        <w:tc>
          <w:tcPr>
            <w:tcW w:w="1075" w:type="pct"/>
            <w:gridSpan w:val="2"/>
            <w:tcBorders>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olor w:val="auto"/>
                <w:szCs w:val="21"/>
              </w:rPr>
            </w:pPr>
            <w:r>
              <w:rPr>
                <w:rFonts w:hint="eastAsia" w:ascii="宋体" w:hAnsi="宋体" w:cs="宋体"/>
                <w:b/>
                <w:color w:val="auto"/>
                <w:szCs w:val="21"/>
              </w:rPr>
              <w:t>合计</w:t>
            </w:r>
          </w:p>
        </w:tc>
        <w:tc>
          <w:tcPr>
            <w:tcW w:w="3925" w:type="pct"/>
            <w:gridSpan w:val="2"/>
            <w:tcBorders>
              <w:left w:val="single" w:color="000000" w:sz="8" w:space="0"/>
              <w:bottom w:val="single" w:color="000000" w:sz="8" w:space="0"/>
              <w:right w:val="single" w:color="000000" w:sz="8" w:space="0"/>
            </w:tcBorders>
            <w:noWrap w:val="0"/>
            <w:vAlign w:val="center"/>
          </w:tcPr>
          <w:p>
            <w:pPr>
              <w:spacing w:line="440" w:lineRule="exact"/>
              <w:jc w:val="center"/>
              <w:rPr>
                <w:rFonts w:ascii="宋体" w:hAnsi="宋体"/>
                <w:color w:val="auto"/>
                <w:szCs w:val="21"/>
              </w:rPr>
            </w:pPr>
            <w:r>
              <w:rPr>
                <w:rFonts w:ascii="宋体" w:hAnsi="宋体" w:cs="宋体"/>
                <w:b/>
                <w:color w:val="auto"/>
                <w:szCs w:val="21"/>
              </w:rPr>
              <w:t>40</w:t>
            </w:r>
            <w:r>
              <w:rPr>
                <w:rFonts w:hint="eastAsia" w:ascii="宋体" w:hAnsi="宋体" w:cs="宋体"/>
                <w:b/>
                <w:color w:val="auto"/>
                <w:szCs w:val="21"/>
              </w:rPr>
              <w:t>分</w:t>
            </w:r>
          </w:p>
        </w:tc>
      </w:tr>
    </w:tbl>
    <w:p>
      <w:pPr>
        <w:snapToGrid w:val="0"/>
        <w:spacing w:line="360" w:lineRule="auto"/>
        <w:jc w:val="center"/>
        <w:rPr>
          <w:rFonts w:ascii="宋体" w:hAnsi="宋体"/>
          <w:b/>
          <w:color w:val="auto"/>
          <w:sz w:val="24"/>
        </w:rPr>
      </w:pPr>
    </w:p>
    <w:p>
      <w:pPr>
        <w:numPr>
          <w:ilvl w:val="0"/>
          <w:numId w:val="51"/>
        </w:numPr>
        <w:tabs>
          <w:tab w:val="left" w:pos="0"/>
          <w:tab w:val="clear" w:pos="171"/>
        </w:tabs>
        <w:spacing w:line="360" w:lineRule="auto"/>
        <w:ind w:left="567"/>
        <w:rPr>
          <w:rFonts w:ascii="宋体" w:hAnsi="宋体"/>
          <w:color w:val="auto"/>
        </w:rPr>
      </w:pPr>
      <w:r>
        <w:rPr>
          <w:rFonts w:hint="eastAsia" w:ascii="宋体" w:hAnsi="宋体"/>
          <w:color w:val="auto"/>
        </w:rPr>
        <w:t>技术评分：评标委员会就各投标人对技术评审内容的各项要求进行评分，评审的具体内容见《技术评审表》。</w:t>
      </w:r>
    </w:p>
    <w:p>
      <w:pPr>
        <w:spacing w:before="156" w:line="360" w:lineRule="auto"/>
        <w:jc w:val="center"/>
        <w:rPr>
          <w:rFonts w:hint="eastAsia" w:ascii="宋体" w:hAnsi="宋体" w:cs="宋体"/>
          <w:b/>
          <w:color w:val="auto"/>
          <w:kern w:val="1"/>
          <w:sz w:val="24"/>
        </w:rPr>
      </w:pPr>
      <w:r>
        <w:rPr>
          <w:rFonts w:ascii="宋体" w:hAnsi="宋体" w:cs="宋体"/>
          <w:b/>
          <w:color w:val="auto"/>
          <w:kern w:val="1"/>
          <w:sz w:val="24"/>
        </w:rPr>
        <w:t>技术评审</w:t>
      </w:r>
      <w:r>
        <w:rPr>
          <w:rFonts w:hint="eastAsia" w:ascii="宋体" w:hAnsi="宋体" w:cs="宋体"/>
          <w:b/>
          <w:color w:val="auto"/>
          <w:kern w:val="1"/>
          <w:sz w:val="24"/>
        </w:rPr>
        <w:t>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264"/>
        <w:gridCol w:w="754"/>
        <w:gridCol w:w="7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308" w:type="pct"/>
            <w:shd w:val="clear" w:color="auto" w:fill="D7D7D7"/>
            <w:noWrap w:val="0"/>
            <w:vAlign w:val="center"/>
          </w:tcPr>
          <w:p>
            <w:pPr>
              <w:jc w:val="center"/>
              <w:rPr>
                <w:rFonts w:ascii="宋体" w:hAnsi="宋体" w:cs="宋体"/>
                <w:b/>
                <w:color w:val="auto"/>
                <w:szCs w:val="21"/>
              </w:rPr>
            </w:pPr>
            <w:r>
              <w:rPr>
                <w:rFonts w:hint="eastAsia" w:ascii="宋体" w:hAnsi="宋体" w:cs="宋体"/>
                <w:b/>
                <w:color w:val="auto"/>
                <w:szCs w:val="21"/>
              </w:rPr>
              <w:t>序号</w:t>
            </w:r>
          </w:p>
        </w:tc>
        <w:tc>
          <w:tcPr>
            <w:tcW w:w="657" w:type="pct"/>
            <w:shd w:val="clear" w:color="auto" w:fill="D7D7D7"/>
            <w:noWrap w:val="0"/>
            <w:vAlign w:val="center"/>
          </w:tcPr>
          <w:p>
            <w:pPr>
              <w:jc w:val="center"/>
              <w:rPr>
                <w:rFonts w:ascii="宋体" w:hAnsi="宋体" w:cs="宋体"/>
                <w:b/>
                <w:color w:val="auto"/>
                <w:szCs w:val="21"/>
              </w:rPr>
            </w:pPr>
            <w:r>
              <w:rPr>
                <w:rFonts w:hint="eastAsia" w:ascii="宋体" w:hAnsi="宋体" w:cs="宋体"/>
                <w:b/>
                <w:color w:val="auto"/>
                <w:szCs w:val="21"/>
              </w:rPr>
              <w:t>评审项目</w:t>
            </w:r>
          </w:p>
        </w:tc>
        <w:tc>
          <w:tcPr>
            <w:tcW w:w="392" w:type="pct"/>
            <w:shd w:val="clear" w:color="auto" w:fill="D7D7D7"/>
            <w:noWrap w:val="0"/>
            <w:vAlign w:val="center"/>
          </w:tcPr>
          <w:p>
            <w:pPr>
              <w:jc w:val="center"/>
              <w:rPr>
                <w:rFonts w:ascii="宋体" w:hAnsi="宋体" w:cs="宋体"/>
                <w:b/>
                <w:color w:val="auto"/>
                <w:szCs w:val="21"/>
              </w:rPr>
            </w:pPr>
            <w:r>
              <w:rPr>
                <w:rFonts w:hint="eastAsia" w:ascii="宋体" w:hAnsi="宋体" w:cs="宋体"/>
                <w:b/>
                <w:color w:val="auto"/>
                <w:szCs w:val="21"/>
              </w:rPr>
              <w:t>分值</w:t>
            </w:r>
          </w:p>
        </w:tc>
        <w:tc>
          <w:tcPr>
            <w:tcW w:w="3644" w:type="pct"/>
            <w:shd w:val="clear" w:color="auto" w:fill="D7D7D7"/>
            <w:noWrap w:val="0"/>
            <w:vAlign w:val="center"/>
          </w:tcPr>
          <w:p>
            <w:pPr>
              <w:jc w:val="center"/>
              <w:rPr>
                <w:rFonts w:ascii="宋体" w:hAnsi="宋体" w:cs="宋体"/>
                <w:b/>
                <w:color w:val="auto"/>
                <w:szCs w:val="21"/>
              </w:rPr>
            </w:pPr>
            <w:r>
              <w:rPr>
                <w:rFonts w:hint="eastAsia" w:ascii="宋体" w:hAnsi="宋体" w:cs="宋体"/>
                <w:b/>
                <w:color w:val="auto"/>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8" w:type="pct"/>
            <w:noWrap w:val="0"/>
            <w:vAlign w:val="center"/>
          </w:tcPr>
          <w:p>
            <w:pPr>
              <w:jc w:val="center"/>
              <w:rPr>
                <w:rFonts w:ascii="宋体" w:hAnsi="宋体" w:cs="宋体"/>
                <w:color w:val="auto"/>
                <w:szCs w:val="21"/>
              </w:rPr>
            </w:pPr>
            <w:r>
              <w:rPr>
                <w:rFonts w:ascii="宋体" w:hAnsi="宋体" w:cs="宋体"/>
                <w:color w:val="auto"/>
                <w:szCs w:val="21"/>
              </w:rPr>
              <w:t>1</w:t>
            </w:r>
          </w:p>
        </w:tc>
        <w:tc>
          <w:tcPr>
            <w:tcW w:w="657" w:type="pct"/>
            <w:noWrap w:val="0"/>
            <w:vAlign w:val="center"/>
          </w:tcPr>
          <w:p>
            <w:pPr>
              <w:spacing w:line="276" w:lineRule="auto"/>
              <w:jc w:val="center"/>
              <w:rPr>
                <w:rFonts w:ascii="宋体" w:hAnsi="宋体"/>
                <w:bCs/>
                <w:color w:val="auto"/>
                <w:szCs w:val="21"/>
              </w:rPr>
            </w:pPr>
            <w:r>
              <w:rPr>
                <w:rFonts w:hint="eastAsia" w:ascii="宋体" w:hAnsi="宋体" w:cs="宋体"/>
                <w:color w:val="auto"/>
                <w:szCs w:val="21"/>
              </w:rPr>
              <w:t>总体技术方案</w:t>
            </w:r>
          </w:p>
        </w:tc>
        <w:tc>
          <w:tcPr>
            <w:tcW w:w="392" w:type="pct"/>
            <w:noWrap w:val="0"/>
            <w:vAlign w:val="center"/>
          </w:tcPr>
          <w:p>
            <w:pPr>
              <w:spacing w:line="276" w:lineRule="auto"/>
              <w:jc w:val="center"/>
              <w:rPr>
                <w:rFonts w:ascii="宋体" w:hAnsi="宋体" w:cs="宋体"/>
                <w:color w:val="auto"/>
                <w:szCs w:val="21"/>
              </w:rPr>
            </w:pPr>
            <w:r>
              <w:rPr>
                <w:rFonts w:ascii="宋体" w:hAnsi="宋体" w:cs="宋体"/>
                <w:color w:val="auto"/>
                <w:szCs w:val="21"/>
              </w:rPr>
              <w:t>6</w:t>
            </w:r>
          </w:p>
        </w:tc>
        <w:tc>
          <w:tcPr>
            <w:tcW w:w="3644" w:type="pct"/>
            <w:noWrap w:val="0"/>
            <w:vAlign w:val="center"/>
          </w:tcPr>
          <w:p>
            <w:pPr>
              <w:spacing w:line="276" w:lineRule="auto"/>
              <w:rPr>
                <w:rFonts w:ascii="宋体" w:hAnsi="宋体" w:cs="宋体"/>
                <w:color w:val="auto"/>
                <w:szCs w:val="21"/>
              </w:rPr>
            </w:pPr>
            <w:r>
              <w:rPr>
                <w:rFonts w:hint="eastAsia" w:ascii="宋体" w:hAnsi="宋体" w:cs="宋体"/>
                <w:color w:val="auto"/>
                <w:szCs w:val="21"/>
              </w:rPr>
              <w:t>根据投标人总体技术方案进行评审：</w:t>
            </w:r>
          </w:p>
          <w:p>
            <w:pPr>
              <w:spacing w:line="276" w:lineRule="auto"/>
              <w:rPr>
                <w:rFonts w:ascii="宋体" w:hAnsi="宋体" w:cs="宋体"/>
                <w:color w:val="auto"/>
                <w:kern w:val="0"/>
                <w:szCs w:val="21"/>
              </w:rPr>
            </w:pPr>
            <w:r>
              <w:rPr>
                <w:rFonts w:hint="eastAsia" w:ascii="宋体" w:hAnsi="宋体" w:cs="宋体"/>
                <w:color w:val="auto"/>
                <w:kern w:val="0"/>
                <w:szCs w:val="21"/>
              </w:rPr>
              <w:t>对项目需求、现状理解透彻，方案明确且针对性强，内容完整、详细、表述清晰、科学合理、切实可行得</w:t>
            </w:r>
            <w:r>
              <w:rPr>
                <w:rFonts w:ascii="宋体" w:hAnsi="宋体" w:cs="宋体"/>
                <w:color w:val="auto"/>
                <w:kern w:val="0"/>
                <w:szCs w:val="21"/>
              </w:rPr>
              <w:t>6</w:t>
            </w:r>
            <w:r>
              <w:rPr>
                <w:rFonts w:hint="eastAsia" w:ascii="宋体" w:hAnsi="宋体" w:cs="宋体"/>
                <w:color w:val="auto"/>
                <w:kern w:val="0"/>
                <w:szCs w:val="21"/>
              </w:rPr>
              <w:t>分；</w:t>
            </w:r>
          </w:p>
          <w:p>
            <w:pPr>
              <w:spacing w:line="276" w:lineRule="auto"/>
              <w:rPr>
                <w:rFonts w:ascii="宋体" w:hAnsi="宋体" w:cs="宋体"/>
                <w:color w:val="auto"/>
                <w:kern w:val="0"/>
                <w:szCs w:val="21"/>
              </w:rPr>
            </w:pPr>
            <w:r>
              <w:rPr>
                <w:rFonts w:hint="eastAsia" w:ascii="宋体" w:hAnsi="宋体" w:cs="宋体"/>
                <w:color w:val="auto"/>
                <w:kern w:val="0"/>
                <w:szCs w:val="21"/>
              </w:rPr>
              <w:t>对项目需求、现状理解透彻一般，方案结构欠清晰，内容比较完整、详细、表述清晰、比较合理、可行得4分；</w:t>
            </w:r>
          </w:p>
          <w:p>
            <w:pPr>
              <w:spacing w:line="276" w:lineRule="auto"/>
              <w:rPr>
                <w:rFonts w:ascii="宋体" w:hAnsi="宋体" w:cs="宋体"/>
                <w:color w:val="auto"/>
                <w:kern w:val="0"/>
                <w:szCs w:val="21"/>
              </w:rPr>
            </w:pPr>
            <w:r>
              <w:rPr>
                <w:rFonts w:hint="eastAsia" w:ascii="宋体" w:hAnsi="宋体" w:cs="宋体"/>
                <w:color w:val="auto"/>
                <w:kern w:val="0"/>
                <w:szCs w:val="21"/>
              </w:rPr>
              <w:t>对项目需求、现状理解不明确，结构不清晰，表述基本清晰、合理、可行性稍差得1分；</w:t>
            </w:r>
          </w:p>
          <w:p>
            <w:pPr>
              <w:spacing w:line="276" w:lineRule="auto"/>
              <w:rPr>
                <w:rFonts w:ascii="宋体" w:hAnsi="宋体" w:cs="宋体"/>
                <w:color w:val="auto"/>
                <w:szCs w:val="21"/>
              </w:rPr>
            </w:pPr>
            <w:r>
              <w:rPr>
                <w:rFonts w:hint="eastAsia" w:ascii="宋体" w:hAnsi="宋体" w:cs="宋体"/>
                <w:color w:val="auto"/>
                <w:kern w:val="0"/>
                <w:szCs w:val="21"/>
              </w:rPr>
              <w:t>无响应得0分。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8" w:type="pct"/>
            <w:noWrap w:val="0"/>
            <w:vAlign w:val="center"/>
          </w:tcPr>
          <w:p>
            <w:pPr>
              <w:jc w:val="center"/>
              <w:rPr>
                <w:rFonts w:ascii="宋体" w:hAnsi="宋体" w:cs="宋体"/>
                <w:color w:val="auto"/>
                <w:szCs w:val="21"/>
              </w:rPr>
            </w:pPr>
            <w:r>
              <w:rPr>
                <w:rFonts w:hint="eastAsia" w:ascii="宋体" w:hAnsi="宋体" w:cs="宋体"/>
                <w:color w:val="auto"/>
                <w:szCs w:val="21"/>
              </w:rPr>
              <w:t>2</w:t>
            </w:r>
          </w:p>
        </w:tc>
        <w:tc>
          <w:tcPr>
            <w:tcW w:w="657" w:type="pct"/>
            <w:noWrap w:val="0"/>
            <w:vAlign w:val="center"/>
          </w:tcPr>
          <w:p>
            <w:pPr>
              <w:spacing w:line="276" w:lineRule="auto"/>
              <w:jc w:val="center"/>
              <w:rPr>
                <w:rFonts w:ascii="宋体" w:hAnsi="宋体"/>
                <w:bCs/>
                <w:color w:val="auto"/>
                <w:szCs w:val="21"/>
              </w:rPr>
            </w:pPr>
            <w:r>
              <w:rPr>
                <w:rFonts w:hint="eastAsia" w:ascii="宋体" w:hAnsi="宋体"/>
                <w:color w:val="auto"/>
                <w:szCs w:val="21"/>
              </w:rPr>
              <w:t>2Gbps</w:t>
            </w:r>
            <w:r>
              <w:rPr>
                <w:rFonts w:hint="eastAsia" w:ascii="宋体" w:hAnsi="宋体" w:cs="宋体"/>
                <w:color w:val="auto"/>
                <w:szCs w:val="21"/>
              </w:rPr>
              <w:t>上下行对等互联网出口带宽与招标文件中所列的3个站点的平均时延（ping）时间</w:t>
            </w:r>
          </w:p>
        </w:tc>
        <w:tc>
          <w:tcPr>
            <w:tcW w:w="392" w:type="pct"/>
            <w:noWrap w:val="0"/>
            <w:vAlign w:val="center"/>
          </w:tcPr>
          <w:p>
            <w:pPr>
              <w:spacing w:line="276" w:lineRule="auto"/>
              <w:jc w:val="center"/>
              <w:rPr>
                <w:rFonts w:ascii="宋体" w:hAnsi="宋体" w:cs="宋体"/>
                <w:color w:val="auto"/>
                <w:szCs w:val="21"/>
              </w:rPr>
            </w:pPr>
            <w:r>
              <w:rPr>
                <w:rFonts w:ascii="宋体" w:hAnsi="宋体" w:cs="宋体"/>
                <w:color w:val="auto"/>
                <w:szCs w:val="21"/>
              </w:rPr>
              <w:t>6</w:t>
            </w:r>
          </w:p>
        </w:tc>
        <w:tc>
          <w:tcPr>
            <w:tcW w:w="3644" w:type="pct"/>
            <w:noWrap w:val="0"/>
            <w:vAlign w:val="center"/>
          </w:tcPr>
          <w:p>
            <w:pPr>
              <w:spacing w:line="276" w:lineRule="auto"/>
              <w:rPr>
                <w:rFonts w:ascii="宋体" w:hAnsi="宋体" w:cs="宋体"/>
                <w:color w:val="auto"/>
                <w:szCs w:val="21"/>
              </w:rPr>
            </w:pPr>
            <w:r>
              <w:rPr>
                <w:rFonts w:hint="eastAsia" w:ascii="宋体" w:hAnsi="宋体" w:cs="宋体"/>
                <w:color w:val="auto"/>
                <w:szCs w:val="21"/>
              </w:rPr>
              <w:t>平均时延（ping）时间≤50ms得</w:t>
            </w:r>
            <w:r>
              <w:rPr>
                <w:rFonts w:ascii="宋体" w:hAnsi="宋体" w:cs="宋体"/>
                <w:color w:val="auto"/>
                <w:szCs w:val="21"/>
              </w:rPr>
              <w:t>6</w:t>
            </w:r>
            <w:r>
              <w:rPr>
                <w:rFonts w:hint="eastAsia" w:ascii="宋体" w:hAnsi="宋体" w:cs="宋体"/>
                <w:color w:val="auto"/>
                <w:szCs w:val="21"/>
              </w:rPr>
              <w:t>分；</w:t>
            </w:r>
          </w:p>
          <w:p>
            <w:pPr>
              <w:spacing w:line="276" w:lineRule="auto"/>
              <w:rPr>
                <w:rFonts w:ascii="宋体" w:hAnsi="宋体" w:cs="宋体"/>
                <w:color w:val="auto"/>
                <w:szCs w:val="21"/>
              </w:rPr>
            </w:pPr>
            <w:r>
              <w:rPr>
                <w:rFonts w:hint="eastAsia" w:ascii="宋体" w:hAnsi="宋体" w:cs="宋体"/>
                <w:color w:val="auto"/>
                <w:szCs w:val="21"/>
              </w:rPr>
              <w:t>5</w:t>
            </w:r>
            <w:r>
              <w:rPr>
                <w:rFonts w:ascii="宋体" w:hAnsi="宋体" w:cs="宋体"/>
                <w:color w:val="auto"/>
                <w:szCs w:val="21"/>
              </w:rPr>
              <w:t>0</w:t>
            </w:r>
            <w:r>
              <w:rPr>
                <w:rFonts w:hint="eastAsia" w:ascii="宋体" w:hAnsi="宋体" w:cs="宋体"/>
                <w:color w:val="auto"/>
                <w:szCs w:val="21"/>
              </w:rPr>
              <w:t>ms＜平均时延（ping）时间≤55ms得</w:t>
            </w:r>
            <w:r>
              <w:rPr>
                <w:rFonts w:ascii="宋体" w:hAnsi="宋体" w:cs="宋体"/>
                <w:color w:val="auto"/>
                <w:szCs w:val="21"/>
              </w:rPr>
              <w:t>4</w:t>
            </w:r>
            <w:r>
              <w:rPr>
                <w:rFonts w:hint="eastAsia" w:ascii="宋体" w:hAnsi="宋体" w:cs="宋体"/>
                <w:color w:val="auto"/>
                <w:szCs w:val="21"/>
              </w:rPr>
              <w:t>分；</w:t>
            </w:r>
          </w:p>
          <w:p>
            <w:pPr>
              <w:spacing w:line="276" w:lineRule="auto"/>
              <w:rPr>
                <w:rFonts w:ascii="宋体" w:hAnsi="宋体" w:cs="宋体"/>
                <w:color w:val="auto"/>
                <w:szCs w:val="21"/>
              </w:rPr>
            </w:pPr>
            <w:r>
              <w:rPr>
                <w:rFonts w:hint="eastAsia" w:ascii="宋体" w:hAnsi="宋体" w:cs="宋体"/>
                <w:color w:val="auto"/>
                <w:szCs w:val="21"/>
              </w:rPr>
              <w:t>55ms＜平均时延（ping）时间≤60ms得2分；</w:t>
            </w:r>
          </w:p>
          <w:p>
            <w:pPr>
              <w:spacing w:line="276" w:lineRule="auto"/>
              <w:rPr>
                <w:rFonts w:ascii="宋体" w:hAnsi="宋体" w:cs="宋体"/>
                <w:color w:val="auto"/>
                <w:szCs w:val="21"/>
              </w:rPr>
            </w:pPr>
            <w:r>
              <w:rPr>
                <w:rFonts w:hint="eastAsia" w:ascii="宋体" w:hAnsi="宋体" w:cs="宋体"/>
                <w:color w:val="auto"/>
                <w:szCs w:val="21"/>
              </w:rPr>
              <w:t>60ms＜平均时延（ping）时间≤65ms得1分；</w:t>
            </w:r>
          </w:p>
          <w:p>
            <w:pPr>
              <w:spacing w:line="276" w:lineRule="auto"/>
              <w:rPr>
                <w:rFonts w:hint="eastAsia" w:ascii="宋体" w:hAnsi="宋体" w:eastAsia="宋体" w:cs="宋体"/>
                <w:color w:val="auto"/>
                <w:szCs w:val="21"/>
                <w:lang w:eastAsia="zh-CN"/>
              </w:rPr>
            </w:pPr>
            <w:r>
              <w:rPr>
                <w:rFonts w:hint="eastAsia" w:ascii="宋体" w:hAnsi="宋体" w:cs="宋体"/>
                <w:color w:val="auto"/>
                <w:szCs w:val="21"/>
              </w:rPr>
              <w:t>其它得0分。</w:t>
            </w:r>
          </w:p>
          <w:p>
            <w:pPr>
              <w:spacing w:line="276" w:lineRule="auto"/>
              <w:rPr>
                <w:rFonts w:ascii="宋体" w:hAnsi="宋体" w:cs="宋体"/>
                <w:color w:val="auto"/>
                <w:szCs w:val="21"/>
              </w:rPr>
            </w:pPr>
            <w:r>
              <w:rPr>
                <w:rFonts w:hint="eastAsia" w:ascii="宋体" w:hAnsi="宋体" w:cs="宋体"/>
                <w:color w:val="auto"/>
                <w:szCs w:val="21"/>
              </w:rPr>
              <w:t>注：提供测试结果记录或承诺函加盖公章（承诺函格式自拟），不提供不得分。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8" w:type="pct"/>
            <w:noWrap w:val="0"/>
            <w:vAlign w:val="center"/>
          </w:tcPr>
          <w:p>
            <w:pPr>
              <w:jc w:val="center"/>
              <w:rPr>
                <w:rFonts w:ascii="宋体" w:hAnsi="宋体" w:cs="宋体"/>
                <w:color w:val="auto"/>
                <w:szCs w:val="21"/>
              </w:rPr>
            </w:pPr>
            <w:r>
              <w:rPr>
                <w:rFonts w:hint="eastAsia" w:ascii="宋体" w:hAnsi="宋体" w:cs="宋体"/>
                <w:color w:val="auto"/>
                <w:szCs w:val="21"/>
              </w:rPr>
              <w:t>3</w:t>
            </w:r>
          </w:p>
        </w:tc>
        <w:tc>
          <w:tcPr>
            <w:tcW w:w="657" w:type="pct"/>
            <w:noWrap w:val="0"/>
            <w:vAlign w:val="center"/>
          </w:tcPr>
          <w:p>
            <w:pPr>
              <w:spacing w:line="276" w:lineRule="auto"/>
              <w:jc w:val="center"/>
              <w:rPr>
                <w:rFonts w:ascii="宋体" w:hAnsi="宋体"/>
                <w:bCs/>
                <w:color w:val="auto"/>
                <w:szCs w:val="21"/>
              </w:rPr>
            </w:pPr>
            <w:r>
              <w:rPr>
                <w:rFonts w:hint="eastAsia" w:ascii="宋体" w:hAnsi="宋体" w:cs="宋体"/>
                <w:color w:val="auto"/>
                <w:szCs w:val="21"/>
              </w:rPr>
              <w:t>投标人在中国大陆拥有的IPV4地址总数</w:t>
            </w:r>
          </w:p>
        </w:tc>
        <w:tc>
          <w:tcPr>
            <w:tcW w:w="392" w:type="pct"/>
            <w:noWrap w:val="0"/>
            <w:vAlign w:val="center"/>
          </w:tcPr>
          <w:p>
            <w:pPr>
              <w:spacing w:line="276" w:lineRule="auto"/>
              <w:jc w:val="center"/>
              <w:rPr>
                <w:rFonts w:ascii="宋体" w:hAnsi="宋体" w:cs="宋体"/>
                <w:color w:val="auto"/>
                <w:szCs w:val="21"/>
              </w:rPr>
            </w:pPr>
            <w:r>
              <w:rPr>
                <w:rFonts w:hint="eastAsia" w:ascii="宋体" w:hAnsi="宋体" w:cs="宋体"/>
                <w:color w:val="auto"/>
                <w:szCs w:val="21"/>
              </w:rPr>
              <w:t>12</w:t>
            </w:r>
          </w:p>
        </w:tc>
        <w:tc>
          <w:tcPr>
            <w:tcW w:w="3644" w:type="pct"/>
            <w:noWrap w:val="0"/>
            <w:vAlign w:val="center"/>
          </w:tcPr>
          <w:p>
            <w:pPr>
              <w:spacing w:line="276" w:lineRule="auto"/>
              <w:rPr>
                <w:rFonts w:ascii="宋体" w:hAnsi="宋体" w:cs="宋体"/>
                <w:color w:val="auto"/>
                <w:szCs w:val="21"/>
              </w:rPr>
            </w:pPr>
            <w:r>
              <w:rPr>
                <w:rFonts w:hint="eastAsia" w:ascii="宋体" w:hAnsi="宋体" w:cs="宋体"/>
                <w:color w:val="auto"/>
                <w:szCs w:val="21"/>
              </w:rPr>
              <w:t>IPV4地址量＞ 10000 万个，得12分；</w:t>
            </w:r>
          </w:p>
          <w:p>
            <w:pPr>
              <w:spacing w:line="276" w:lineRule="auto"/>
              <w:rPr>
                <w:rFonts w:ascii="宋体" w:hAnsi="宋体" w:cs="宋体"/>
                <w:color w:val="auto"/>
                <w:szCs w:val="21"/>
              </w:rPr>
            </w:pPr>
            <w:r>
              <w:rPr>
                <w:rFonts w:hint="eastAsia" w:ascii="宋体" w:hAnsi="宋体" w:cs="宋体"/>
                <w:color w:val="auto"/>
                <w:szCs w:val="21"/>
              </w:rPr>
              <w:t>IPV4地址量在8500 万个（不含）～10000 万个（含），得9分；</w:t>
            </w:r>
          </w:p>
          <w:p>
            <w:pPr>
              <w:spacing w:line="276" w:lineRule="auto"/>
              <w:rPr>
                <w:rFonts w:ascii="宋体" w:hAnsi="宋体" w:cs="宋体"/>
                <w:color w:val="auto"/>
                <w:szCs w:val="21"/>
              </w:rPr>
            </w:pPr>
            <w:r>
              <w:rPr>
                <w:rFonts w:hint="eastAsia" w:ascii="宋体" w:hAnsi="宋体" w:cs="宋体"/>
                <w:color w:val="auto"/>
                <w:szCs w:val="21"/>
              </w:rPr>
              <w:t>IPV4地址量在7000 万个（不含）～8500 万个（含），得6分；</w:t>
            </w:r>
          </w:p>
          <w:p>
            <w:pPr>
              <w:spacing w:line="276" w:lineRule="auto"/>
              <w:rPr>
                <w:rFonts w:ascii="宋体" w:hAnsi="宋体" w:cs="宋体"/>
                <w:color w:val="auto"/>
                <w:szCs w:val="21"/>
              </w:rPr>
            </w:pPr>
            <w:r>
              <w:rPr>
                <w:rFonts w:hint="eastAsia" w:ascii="宋体" w:hAnsi="宋体" w:cs="宋体"/>
                <w:color w:val="auto"/>
                <w:szCs w:val="21"/>
              </w:rPr>
              <w:t>IPV4地址量在3000 万个（不含）～7000 万个（含），得3分；</w:t>
            </w:r>
          </w:p>
          <w:p>
            <w:pPr>
              <w:spacing w:line="276" w:lineRule="auto"/>
              <w:rPr>
                <w:rFonts w:ascii="宋体" w:hAnsi="宋体" w:cs="宋体"/>
                <w:color w:val="auto"/>
                <w:szCs w:val="21"/>
              </w:rPr>
            </w:pPr>
            <w:r>
              <w:rPr>
                <w:rFonts w:hint="eastAsia" w:ascii="宋体" w:hAnsi="宋体" w:cs="宋体"/>
                <w:color w:val="auto"/>
                <w:szCs w:val="21"/>
              </w:rPr>
              <w:t>其它得0分。</w:t>
            </w:r>
          </w:p>
          <w:p>
            <w:pPr>
              <w:spacing w:line="276" w:lineRule="auto"/>
              <w:rPr>
                <w:rFonts w:ascii="宋体" w:hAnsi="宋体" w:cs="宋体"/>
                <w:color w:val="auto"/>
                <w:szCs w:val="21"/>
              </w:rPr>
            </w:pPr>
            <w:r>
              <w:rPr>
                <w:rFonts w:hint="eastAsia" w:ascii="宋体" w:hAnsi="宋体" w:cs="宋体"/>
                <w:color w:val="auto"/>
                <w:szCs w:val="21"/>
              </w:rPr>
              <w:t>（以国家互联网信息中心CNNIC最新发布的统计报告为准，需提供统计报告页面截图，不提供或无法认定的不得分。）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308" w:type="pct"/>
            <w:noWrap w:val="0"/>
            <w:vAlign w:val="center"/>
          </w:tcPr>
          <w:p>
            <w:pPr>
              <w:jc w:val="center"/>
              <w:rPr>
                <w:rFonts w:ascii="宋体" w:hAnsi="宋体" w:cs="宋体"/>
                <w:color w:val="auto"/>
                <w:szCs w:val="21"/>
              </w:rPr>
            </w:pPr>
            <w:r>
              <w:rPr>
                <w:rFonts w:hint="eastAsia" w:ascii="宋体" w:hAnsi="宋体" w:cs="宋体"/>
                <w:color w:val="auto"/>
                <w:szCs w:val="21"/>
              </w:rPr>
              <w:t>4</w:t>
            </w:r>
          </w:p>
        </w:tc>
        <w:tc>
          <w:tcPr>
            <w:tcW w:w="657" w:type="pct"/>
            <w:noWrap w:val="0"/>
            <w:vAlign w:val="center"/>
          </w:tcPr>
          <w:p>
            <w:pPr>
              <w:spacing w:line="276" w:lineRule="auto"/>
              <w:jc w:val="center"/>
              <w:rPr>
                <w:rFonts w:ascii="宋体" w:hAnsi="宋体"/>
                <w:bCs/>
                <w:color w:val="auto"/>
                <w:szCs w:val="21"/>
              </w:rPr>
            </w:pPr>
            <w:r>
              <w:rPr>
                <w:rFonts w:hint="eastAsia" w:ascii="宋体" w:hAnsi="宋体" w:cs="宋体"/>
                <w:color w:val="auto"/>
                <w:szCs w:val="21"/>
              </w:rPr>
              <w:t>投标人在中国大陆拥有的IPV6地址总数</w:t>
            </w:r>
          </w:p>
        </w:tc>
        <w:tc>
          <w:tcPr>
            <w:tcW w:w="392" w:type="pct"/>
            <w:noWrap w:val="0"/>
            <w:vAlign w:val="center"/>
          </w:tcPr>
          <w:p>
            <w:pPr>
              <w:spacing w:line="276" w:lineRule="auto"/>
              <w:jc w:val="center"/>
              <w:rPr>
                <w:rFonts w:ascii="宋体" w:hAnsi="宋体" w:cs="宋体"/>
                <w:color w:val="auto"/>
                <w:szCs w:val="21"/>
              </w:rPr>
            </w:pPr>
            <w:r>
              <w:rPr>
                <w:rFonts w:hint="eastAsia" w:ascii="宋体" w:hAnsi="宋体" w:cs="宋体"/>
                <w:color w:val="auto"/>
                <w:kern w:val="0"/>
                <w:szCs w:val="21"/>
              </w:rPr>
              <w:t>12</w:t>
            </w:r>
          </w:p>
        </w:tc>
        <w:tc>
          <w:tcPr>
            <w:tcW w:w="3644" w:type="pct"/>
            <w:noWrap w:val="0"/>
            <w:vAlign w:val="center"/>
          </w:tcPr>
          <w:p>
            <w:pPr>
              <w:spacing w:line="276" w:lineRule="auto"/>
              <w:rPr>
                <w:rFonts w:ascii="宋体" w:hAnsi="宋体" w:cs="宋体"/>
                <w:color w:val="auto"/>
                <w:szCs w:val="21"/>
              </w:rPr>
            </w:pPr>
            <w:r>
              <w:rPr>
                <w:rFonts w:hint="eastAsia" w:ascii="宋体" w:hAnsi="宋体" w:cs="宋体"/>
                <w:color w:val="auto"/>
                <w:szCs w:val="21"/>
              </w:rPr>
              <w:t>在中国大陆拥有的IPV6地址量情况：</w:t>
            </w:r>
          </w:p>
          <w:p>
            <w:pPr>
              <w:spacing w:line="276" w:lineRule="auto"/>
              <w:rPr>
                <w:rFonts w:ascii="宋体" w:hAnsi="宋体" w:cs="宋体"/>
                <w:color w:val="auto"/>
                <w:kern w:val="0"/>
                <w:szCs w:val="21"/>
              </w:rPr>
            </w:pPr>
            <w:r>
              <w:rPr>
                <w:rFonts w:hint="eastAsia" w:ascii="宋体" w:hAnsi="宋体" w:cs="宋体"/>
                <w:color w:val="auto"/>
                <w:kern w:val="0"/>
                <w:szCs w:val="21"/>
              </w:rPr>
              <w:t>IPV6地址量＞ 10000块/32，得12分；</w:t>
            </w:r>
          </w:p>
          <w:p>
            <w:pPr>
              <w:spacing w:line="276" w:lineRule="auto"/>
              <w:rPr>
                <w:rFonts w:ascii="宋体" w:hAnsi="宋体" w:cs="宋体"/>
                <w:color w:val="auto"/>
                <w:kern w:val="0"/>
                <w:szCs w:val="21"/>
              </w:rPr>
            </w:pPr>
            <w:r>
              <w:rPr>
                <w:rFonts w:hint="eastAsia" w:ascii="宋体" w:hAnsi="宋体" w:cs="宋体"/>
                <w:color w:val="auto"/>
                <w:kern w:val="0"/>
                <w:szCs w:val="21"/>
              </w:rPr>
              <w:t>IPV6地址量为8000块/32（不含）～10000块/32（含），得9分；</w:t>
            </w:r>
          </w:p>
          <w:p>
            <w:pPr>
              <w:spacing w:line="276" w:lineRule="auto"/>
              <w:rPr>
                <w:rFonts w:ascii="宋体" w:hAnsi="宋体" w:cs="宋体"/>
                <w:color w:val="auto"/>
                <w:kern w:val="0"/>
                <w:szCs w:val="21"/>
              </w:rPr>
            </w:pPr>
            <w:r>
              <w:rPr>
                <w:rFonts w:hint="eastAsia" w:ascii="宋体" w:hAnsi="宋体" w:cs="宋体"/>
                <w:color w:val="auto"/>
                <w:kern w:val="0"/>
                <w:szCs w:val="21"/>
              </w:rPr>
              <w:t>IPV6地址量为6000块/32（不含）～8000块/32（含），得6分；</w:t>
            </w:r>
          </w:p>
          <w:p>
            <w:pPr>
              <w:spacing w:line="276" w:lineRule="auto"/>
              <w:rPr>
                <w:rFonts w:ascii="宋体" w:hAnsi="宋体" w:cs="宋体"/>
                <w:color w:val="auto"/>
                <w:kern w:val="0"/>
                <w:szCs w:val="21"/>
              </w:rPr>
            </w:pPr>
            <w:r>
              <w:rPr>
                <w:rFonts w:hint="eastAsia" w:ascii="宋体" w:hAnsi="宋体" w:cs="宋体"/>
                <w:color w:val="auto"/>
                <w:kern w:val="0"/>
                <w:szCs w:val="21"/>
              </w:rPr>
              <w:t>IPV6地址量为3000块/32（不含）～ 6000块/32（含），得3分；</w:t>
            </w:r>
          </w:p>
          <w:p>
            <w:pPr>
              <w:spacing w:line="276" w:lineRule="auto"/>
              <w:rPr>
                <w:rFonts w:ascii="宋体" w:hAnsi="宋体" w:cs="宋体"/>
                <w:color w:val="auto"/>
                <w:szCs w:val="21"/>
              </w:rPr>
            </w:pPr>
            <w:r>
              <w:rPr>
                <w:rFonts w:hint="eastAsia" w:ascii="宋体" w:hAnsi="宋体" w:cs="宋体"/>
                <w:color w:val="auto"/>
                <w:szCs w:val="21"/>
              </w:rPr>
              <w:t>其它得0分。</w:t>
            </w:r>
          </w:p>
          <w:p>
            <w:pPr>
              <w:spacing w:line="276" w:lineRule="auto"/>
              <w:rPr>
                <w:rFonts w:ascii="宋体" w:hAnsi="宋体" w:cs="宋体"/>
                <w:color w:val="auto"/>
                <w:szCs w:val="21"/>
              </w:rPr>
            </w:pPr>
            <w:r>
              <w:rPr>
                <w:rFonts w:hint="eastAsia" w:ascii="宋体" w:hAnsi="宋体" w:cs="宋体"/>
                <w:color w:val="auto"/>
                <w:szCs w:val="21"/>
              </w:rPr>
              <w:t>（以国家互联网信息中心CNNIC最新发布的统计报告为准，需提供统计报告页面截图，不提供或无法认定的不得分。）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8" w:type="pct"/>
            <w:noWrap w:val="0"/>
            <w:vAlign w:val="center"/>
          </w:tcPr>
          <w:p>
            <w:pPr>
              <w:jc w:val="center"/>
              <w:rPr>
                <w:rFonts w:ascii="宋体" w:hAnsi="宋体" w:cs="宋体"/>
                <w:color w:val="auto"/>
                <w:szCs w:val="21"/>
              </w:rPr>
            </w:pPr>
            <w:r>
              <w:rPr>
                <w:rFonts w:hint="eastAsia" w:ascii="宋体" w:hAnsi="宋体" w:cs="宋体"/>
                <w:color w:val="auto"/>
                <w:szCs w:val="21"/>
              </w:rPr>
              <w:t>5</w:t>
            </w:r>
          </w:p>
        </w:tc>
        <w:tc>
          <w:tcPr>
            <w:tcW w:w="657" w:type="pct"/>
            <w:noWrap w:val="0"/>
            <w:vAlign w:val="center"/>
          </w:tcPr>
          <w:p>
            <w:pPr>
              <w:spacing w:line="276" w:lineRule="auto"/>
              <w:jc w:val="center"/>
              <w:rPr>
                <w:rFonts w:ascii="宋体" w:hAnsi="宋体"/>
                <w:bCs/>
                <w:color w:val="auto"/>
                <w:szCs w:val="21"/>
              </w:rPr>
            </w:pPr>
            <w:r>
              <w:rPr>
                <w:rFonts w:hint="eastAsia" w:ascii="宋体" w:hAnsi="宋体" w:cs="宋体"/>
                <w:color w:val="auto"/>
                <w:szCs w:val="21"/>
              </w:rPr>
              <w:t>能否沿用原来的IP地址，保证现有网络互联网出口IP地址平滑过渡</w:t>
            </w:r>
          </w:p>
        </w:tc>
        <w:tc>
          <w:tcPr>
            <w:tcW w:w="392" w:type="pct"/>
            <w:noWrap w:val="0"/>
            <w:vAlign w:val="center"/>
          </w:tcPr>
          <w:p>
            <w:pPr>
              <w:spacing w:line="276" w:lineRule="auto"/>
              <w:jc w:val="center"/>
              <w:rPr>
                <w:rFonts w:ascii="宋体" w:hAnsi="宋体" w:cs="宋体"/>
                <w:color w:val="auto"/>
                <w:szCs w:val="21"/>
              </w:rPr>
            </w:pPr>
            <w:r>
              <w:rPr>
                <w:rFonts w:hint="eastAsia" w:ascii="宋体" w:hAnsi="宋体" w:cs="宋体"/>
                <w:color w:val="auto"/>
                <w:kern w:val="0"/>
                <w:szCs w:val="21"/>
              </w:rPr>
              <w:t>6</w:t>
            </w:r>
          </w:p>
        </w:tc>
        <w:tc>
          <w:tcPr>
            <w:tcW w:w="3644" w:type="pct"/>
            <w:noWrap w:val="0"/>
            <w:vAlign w:val="center"/>
          </w:tcPr>
          <w:p>
            <w:pPr>
              <w:spacing w:line="276" w:lineRule="auto"/>
              <w:rPr>
                <w:rFonts w:ascii="宋体" w:hAnsi="宋体" w:cs="宋体"/>
                <w:color w:val="auto"/>
                <w:szCs w:val="21"/>
              </w:rPr>
            </w:pPr>
            <w:r>
              <w:rPr>
                <w:rFonts w:hint="eastAsia" w:ascii="宋体" w:hAnsi="宋体" w:cs="宋体"/>
                <w:color w:val="auto"/>
                <w:szCs w:val="21"/>
              </w:rPr>
              <w:t>可维持现有IP地址不变，得6分；</w:t>
            </w:r>
          </w:p>
          <w:p>
            <w:pPr>
              <w:spacing w:line="276" w:lineRule="auto"/>
              <w:rPr>
                <w:rFonts w:ascii="宋体" w:hAnsi="宋体" w:cs="宋体"/>
                <w:color w:val="auto"/>
                <w:szCs w:val="21"/>
              </w:rPr>
            </w:pPr>
            <w:r>
              <w:rPr>
                <w:rFonts w:hint="eastAsia" w:ascii="宋体" w:hAnsi="宋体" w:cs="宋体"/>
                <w:color w:val="auto"/>
                <w:szCs w:val="21"/>
              </w:rPr>
              <w:t>无法沿用原来IP地址但能提供过渡方案，得2分；</w:t>
            </w:r>
          </w:p>
          <w:p>
            <w:pPr>
              <w:spacing w:line="276" w:lineRule="auto"/>
              <w:rPr>
                <w:rFonts w:ascii="宋体" w:hAnsi="宋体" w:cs="宋体"/>
                <w:color w:val="auto"/>
                <w:kern w:val="0"/>
                <w:szCs w:val="21"/>
              </w:rPr>
            </w:pPr>
            <w:r>
              <w:rPr>
                <w:rFonts w:hint="eastAsia" w:ascii="宋体" w:hAnsi="宋体" w:cs="宋体"/>
                <w:color w:val="auto"/>
                <w:kern w:val="0"/>
                <w:szCs w:val="21"/>
              </w:rPr>
              <w:t>其他得0分。</w:t>
            </w:r>
          </w:p>
          <w:p>
            <w:pPr>
              <w:spacing w:line="276" w:lineRule="auto"/>
              <w:rPr>
                <w:rFonts w:ascii="宋体" w:hAnsi="宋体" w:cs="宋体"/>
                <w:color w:val="auto"/>
                <w:szCs w:val="21"/>
              </w:rPr>
            </w:pPr>
            <w:r>
              <w:rPr>
                <w:rFonts w:hint="eastAsia" w:ascii="宋体" w:hAnsi="宋体" w:cs="宋体"/>
                <w:color w:val="auto"/>
                <w:kern w:val="0"/>
                <w:szCs w:val="21"/>
              </w:rPr>
              <w:t>（如可维持现有IP地址不变的，须提供承诺或声明并加盖公章，格式自拟，不提供或无法认定的不得分。）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8" w:type="pct"/>
            <w:noWrap w:val="0"/>
            <w:vAlign w:val="center"/>
          </w:tcPr>
          <w:p>
            <w:pPr>
              <w:jc w:val="center"/>
              <w:rPr>
                <w:rFonts w:ascii="宋体" w:hAnsi="宋体" w:cs="宋体"/>
                <w:color w:val="auto"/>
                <w:szCs w:val="21"/>
              </w:rPr>
            </w:pPr>
            <w:r>
              <w:rPr>
                <w:rFonts w:hint="eastAsia" w:ascii="宋体" w:hAnsi="宋体" w:cs="宋体"/>
                <w:color w:val="auto"/>
                <w:szCs w:val="21"/>
              </w:rPr>
              <w:t>6</w:t>
            </w:r>
          </w:p>
        </w:tc>
        <w:tc>
          <w:tcPr>
            <w:tcW w:w="657" w:type="pct"/>
            <w:noWrap w:val="0"/>
            <w:vAlign w:val="center"/>
          </w:tcPr>
          <w:p>
            <w:pPr>
              <w:spacing w:line="276" w:lineRule="auto"/>
              <w:jc w:val="center"/>
              <w:rPr>
                <w:rFonts w:ascii="宋体" w:hAnsi="宋体"/>
                <w:bCs/>
                <w:color w:val="auto"/>
                <w:szCs w:val="21"/>
              </w:rPr>
            </w:pPr>
            <w:r>
              <w:rPr>
                <w:rFonts w:hint="eastAsia" w:ascii="宋体" w:hAnsi="宋体" w:cs="宋体"/>
                <w:bCs/>
                <w:color w:val="auto"/>
                <w:szCs w:val="21"/>
              </w:rPr>
              <w:t>售后服务响应情况</w:t>
            </w:r>
          </w:p>
        </w:tc>
        <w:tc>
          <w:tcPr>
            <w:tcW w:w="392" w:type="pct"/>
            <w:noWrap w:val="0"/>
            <w:vAlign w:val="center"/>
          </w:tcPr>
          <w:p>
            <w:pPr>
              <w:spacing w:line="276" w:lineRule="auto"/>
              <w:jc w:val="center"/>
              <w:rPr>
                <w:rFonts w:ascii="宋体" w:hAnsi="宋体" w:cs="宋体"/>
                <w:color w:val="auto"/>
                <w:szCs w:val="21"/>
              </w:rPr>
            </w:pPr>
            <w:r>
              <w:rPr>
                <w:rFonts w:ascii="宋体" w:hAnsi="宋体" w:cs="宋体"/>
                <w:color w:val="auto"/>
                <w:kern w:val="0"/>
                <w:szCs w:val="21"/>
              </w:rPr>
              <w:t>8</w:t>
            </w:r>
          </w:p>
        </w:tc>
        <w:tc>
          <w:tcPr>
            <w:tcW w:w="3644" w:type="pct"/>
            <w:noWrap w:val="0"/>
            <w:vAlign w:val="center"/>
          </w:tcPr>
          <w:p>
            <w:pPr>
              <w:spacing w:line="276" w:lineRule="auto"/>
              <w:rPr>
                <w:rFonts w:hint="eastAsia" w:ascii="宋体" w:hAnsi="宋体" w:cs="宋体"/>
                <w:color w:val="auto"/>
                <w:szCs w:val="21"/>
              </w:rPr>
            </w:pPr>
            <w:r>
              <w:rPr>
                <w:rFonts w:hint="eastAsia" w:ascii="宋体" w:hAnsi="宋体" w:cs="宋体"/>
                <w:color w:val="auto"/>
                <w:szCs w:val="21"/>
              </w:rPr>
              <w:t>根据投标人的售后服务响应情况（包括但不限于售后服务承诺、售后服务技术支持、售后服务途径、售后服务质量保证等内容）进行评审。</w:t>
            </w:r>
          </w:p>
          <w:p>
            <w:pPr>
              <w:spacing w:line="276" w:lineRule="auto"/>
              <w:rPr>
                <w:rFonts w:hint="eastAsia" w:ascii="宋体" w:hAnsi="宋体" w:cs="宋体"/>
                <w:color w:val="auto"/>
                <w:szCs w:val="21"/>
              </w:rPr>
            </w:pPr>
            <w:r>
              <w:rPr>
                <w:rFonts w:hint="eastAsia" w:ascii="宋体" w:hAnsi="宋体" w:cs="宋体"/>
                <w:color w:val="auto"/>
                <w:szCs w:val="21"/>
              </w:rPr>
              <w:t>内容完整、详细、表述清晰、科学合理、切实可行，优于或满足采购需求得</w:t>
            </w:r>
            <w:r>
              <w:rPr>
                <w:rFonts w:ascii="宋体" w:hAnsi="宋体" w:cs="宋体"/>
                <w:color w:val="auto"/>
                <w:szCs w:val="21"/>
              </w:rPr>
              <w:t>8</w:t>
            </w:r>
            <w:r>
              <w:rPr>
                <w:rFonts w:hint="eastAsia" w:ascii="宋体" w:hAnsi="宋体" w:cs="宋体"/>
                <w:color w:val="auto"/>
                <w:szCs w:val="21"/>
              </w:rPr>
              <w:t>分；</w:t>
            </w:r>
          </w:p>
          <w:p>
            <w:pPr>
              <w:spacing w:line="276" w:lineRule="auto"/>
              <w:rPr>
                <w:rFonts w:ascii="宋体" w:hAnsi="宋体" w:cs="宋体"/>
                <w:color w:val="auto"/>
                <w:szCs w:val="21"/>
              </w:rPr>
            </w:pPr>
            <w:r>
              <w:rPr>
                <w:rFonts w:hint="eastAsia" w:ascii="宋体" w:hAnsi="宋体" w:cs="宋体"/>
                <w:color w:val="auto"/>
                <w:szCs w:val="21"/>
              </w:rPr>
              <w:t>内容较完整详细、表述较清晰、合理、较具有可行性，得</w:t>
            </w:r>
            <w:r>
              <w:rPr>
                <w:rFonts w:ascii="宋体" w:hAnsi="宋体" w:cs="宋体"/>
                <w:color w:val="auto"/>
                <w:szCs w:val="21"/>
              </w:rPr>
              <w:t>5</w:t>
            </w:r>
            <w:r>
              <w:rPr>
                <w:rFonts w:hint="eastAsia" w:ascii="宋体" w:hAnsi="宋体" w:cs="宋体"/>
                <w:color w:val="auto"/>
                <w:szCs w:val="21"/>
              </w:rPr>
              <w:t>分；</w:t>
            </w:r>
          </w:p>
          <w:p>
            <w:pPr>
              <w:spacing w:line="276" w:lineRule="auto"/>
              <w:rPr>
                <w:rFonts w:ascii="宋体" w:hAnsi="宋体" w:cs="宋体"/>
                <w:color w:val="auto"/>
                <w:szCs w:val="21"/>
              </w:rPr>
            </w:pPr>
            <w:r>
              <w:rPr>
                <w:rFonts w:hint="eastAsia" w:ascii="宋体" w:hAnsi="宋体" w:cs="宋体"/>
                <w:color w:val="auto"/>
                <w:szCs w:val="21"/>
              </w:rPr>
              <w:t>内容基本完整、表述基本清晰、合理性和可行性一般，得</w:t>
            </w:r>
            <w:r>
              <w:rPr>
                <w:rFonts w:ascii="宋体" w:hAnsi="宋体" w:cs="宋体"/>
                <w:color w:val="auto"/>
                <w:szCs w:val="21"/>
              </w:rPr>
              <w:t>3</w:t>
            </w:r>
            <w:r>
              <w:rPr>
                <w:rFonts w:hint="eastAsia" w:ascii="宋体" w:hAnsi="宋体" w:cs="宋体"/>
                <w:color w:val="auto"/>
                <w:szCs w:val="21"/>
              </w:rPr>
              <w:t>分；</w:t>
            </w:r>
          </w:p>
          <w:p>
            <w:pPr>
              <w:spacing w:line="276" w:lineRule="auto"/>
              <w:rPr>
                <w:rFonts w:hint="eastAsia" w:ascii="宋体" w:hAnsi="宋体" w:cs="宋体"/>
                <w:color w:val="auto"/>
                <w:szCs w:val="21"/>
              </w:rPr>
            </w:pPr>
            <w:r>
              <w:rPr>
                <w:rFonts w:hint="eastAsia" w:ascii="宋体" w:hAnsi="宋体" w:cs="宋体"/>
                <w:color w:val="auto"/>
                <w:szCs w:val="21"/>
              </w:rPr>
              <w:t>内容不完整、表述不够清晰、合理性和可行性差，得</w:t>
            </w:r>
            <w:r>
              <w:rPr>
                <w:rFonts w:ascii="宋体" w:hAnsi="宋体" w:cs="宋体"/>
                <w:color w:val="auto"/>
                <w:szCs w:val="21"/>
              </w:rPr>
              <w:t>1</w:t>
            </w:r>
            <w:r>
              <w:rPr>
                <w:rFonts w:hint="eastAsia" w:ascii="宋体" w:hAnsi="宋体" w:cs="宋体"/>
                <w:color w:val="auto"/>
                <w:szCs w:val="21"/>
              </w:rPr>
              <w:t>分；</w:t>
            </w:r>
          </w:p>
          <w:p>
            <w:pPr>
              <w:spacing w:line="276" w:lineRule="auto"/>
              <w:rPr>
                <w:rFonts w:ascii="宋体" w:hAnsi="宋体" w:cs="宋体"/>
                <w:color w:val="auto"/>
                <w:szCs w:val="21"/>
              </w:rPr>
            </w:pPr>
            <w:r>
              <w:rPr>
                <w:rFonts w:hint="eastAsia" w:ascii="宋体" w:hAnsi="宋体" w:cs="宋体"/>
                <w:color w:val="auto"/>
                <w:szCs w:val="21"/>
              </w:rPr>
              <w:t>不提供相关描述得0分。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64" w:type="pct"/>
            <w:gridSpan w:val="2"/>
            <w:noWrap w:val="0"/>
            <w:vAlign w:val="center"/>
          </w:tcPr>
          <w:p>
            <w:pPr>
              <w:jc w:val="center"/>
              <w:rPr>
                <w:rFonts w:ascii="宋体" w:hAnsi="宋体" w:cs="宋体"/>
                <w:color w:val="auto"/>
                <w:szCs w:val="21"/>
              </w:rPr>
            </w:pPr>
            <w:r>
              <w:rPr>
                <w:rFonts w:hint="eastAsia" w:ascii="宋体" w:hAnsi="宋体" w:cs="宋体"/>
                <w:b/>
                <w:color w:val="auto"/>
                <w:szCs w:val="21"/>
              </w:rPr>
              <w:t>合计</w:t>
            </w:r>
          </w:p>
        </w:tc>
        <w:tc>
          <w:tcPr>
            <w:tcW w:w="4036" w:type="pct"/>
            <w:gridSpan w:val="2"/>
            <w:noWrap w:val="0"/>
            <w:vAlign w:val="center"/>
          </w:tcPr>
          <w:p>
            <w:pPr>
              <w:jc w:val="center"/>
              <w:rPr>
                <w:rFonts w:ascii="宋体" w:hAnsi="宋体" w:cs="宋体"/>
                <w:color w:val="auto"/>
                <w:szCs w:val="21"/>
              </w:rPr>
            </w:pPr>
            <w:r>
              <w:rPr>
                <w:rFonts w:hint="eastAsia" w:ascii="宋体" w:hAnsi="宋体" w:cs="宋体"/>
                <w:b/>
                <w:color w:val="auto"/>
                <w:szCs w:val="21"/>
              </w:rPr>
              <w:t>5</w:t>
            </w:r>
            <w:r>
              <w:rPr>
                <w:rFonts w:ascii="宋体" w:hAnsi="宋体" w:cs="宋体"/>
                <w:b/>
                <w:color w:val="auto"/>
                <w:szCs w:val="21"/>
              </w:rPr>
              <w:t>0</w:t>
            </w:r>
            <w:r>
              <w:rPr>
                <w:rFonts w:hint="eastAsia" w:ascii="宋体" w:hAnsi="宋体" w:cs="宋体"/>
                <w:b/>
                <w:color w:val="auto"/>
                <w:szCs w:val="21"/>
              </w:rPr>
              <w:t>分</w:t>
            </w:r>
          </w:p>
        </w:tc>
      </w:tr>
    </w:tbl>
    <w:p>
      <w:pPr>
        <w:spacing w:line="360" w:lineRule="auto"/>
        <w:rPr>
          <w:rFonts w:ascii="宋体" w:hAnsi="宋体"/>
          <w:color w:val="auto"/>
        </w:rPr>
      </w:pPr>
    </w:p>
    <w:p>
      <w:pPr>
        <w:numPr>
          <w:ilvl w:val="0"/>
          <w:numId w:val="51"/>
        </w:numPr>
        <w:tabs>
          <w:tab w:val="left" w:pos="0"/>
          <w:tab w:val="clear" w:pos="171"/>
        </w:tabs>
        <w:spacing w:line="360" w:lineRule="auto"/>
        <w:ind w:left="567"/>
        <w:rPr>
          <w:rFonts w:hint="eastAsia" w:ascii="宋体" w:hAnsi="宋体"/>
          <w:color w:val="auto"/>
        </w:rPr>
      </w:pPr>
      <w:r>
        <w:rPr>
          <w:rFonts w:hint="eastAsia" w:ascii="宋体" w:hAnsi="宋体"/>
          <w:color w:val="auto"/>
        </w:rPr>
        <w:t>价格评分：</w:t>
      </w:r>
    </w:p>
    <w:p>
      <w:pPr>
        <w:spacing w:line="360" w:lineRule="auto"/>
        <w:ind w:left="113" w:leftChars="54" w:firstLine="420" w:firstLineChars="200"/>
        <w:rPr>
          <w:rFonts w:hint="eastAsia" w:ascii="宋体" w:hAnsi="宋体"/>
          <w:color w:val="auto"/>
        </w:rPr>
      </w:pPr>
      <w:r>
        <w:rPr>
          <w:rFonts w:ascii="宋体" w:hAnsi="宋体"/>
          <w:color w:val="auto"/>
          <w:szCs w:val="21"/>
        </w:rPr>
        <w:t>价格分统一采用低价优先法计算，即满足招标文件要求的</w:t>
      </w:r>
      <w:r>
        <w:rPr>
          <w:rFonts w:hint="eastAsia" w:ascii="宋体" w:hAnsi="宋体"/>
          <w:color w:val="auto"/>
          <w:szCs w:val="21"/>
        </w:rPr>
        <w:t>各</w:t>
      </w:r>
      <w:r>
        <w:rPr>
          <w:rFonts w:ascii="宋体" w:hAnsi="宋体"/>
          <w:color w:val="auto"/>
          <w:szCs w:val="21"/>
        </w:rPr>
        <w:t>投标报价</w:t>
      </w:r>
      <w:r>
        <w:rPr>
          <w:rFonts w:hint="eastAsia" w:ascii="宋体" w:hAnsi="宋体"/>
          <w:color w:val="auto"/>
          <w:szCs w:val="21"/>
        </w:rPr>
        <w:t>（指修正后的投标报价）中取最低的为评标基准价，其价格分为满分。价格分计算公式：</w:t>
      </w:r>
    </w:p>
    <w:p>
      <w:pPr>
        <w:adjustRightInd w:val="0"/>
        <w:snapToGrid w:val="0"/>
        <w:spacing w:line="360" w:lineRule="auto"/>
        <w:jc w:val="center"/>
        <w:rPr>
          <w:rFonts w:hint="eastAsia" w:ascii="宋体" w:hAnsi="宋体"/>
          <w:b/>
          <w:color w:val="auto"/>
        </w:rPr>
      </w:pPr>
      <w:r>
        <w:rPr>
          <w:rFonts w:hint="eastAsia" w:ascii="宋体" w:hAnsi="宋体"/>
          <w:b/>
          <w:color w:val="auto"/>
        </w:rPr>
        <w:t>价格评分</w:t>
      </w:r>
      <w:r>
        <w:rPr>
          <w:rFonts w:ascii="宋体" w:hAnsi="宋体"/>
          <w:b/>
          <w:color w:val="auto"/>
        </w:rPr>
        <w:t>=</w:t>
      </w:r>
      <w:r>
        <w:rPr>
          <w:rFonts w:hint="eastAsia" w:ascii="宋体" w:hAnsi="宋体"/>
          <w:b/>
          <w:color w:val="auto"/>
        </w:rPr>
        <w:t>【</w:t>
      </w:r>
      <w:r>
        <w:rPr>
          <w:rFonts w:ascii="宋体" w:hAnsi="宋体"/>
          <w:b/>
          <w:color w:val="auto"/>
        </w:rPr>
        <w:t>评标基准价／投标报价</w:t>
      </w:r>
      <w:r>
        <w:rPr>
          <w:rFonts w:hint="eastAsia" w:ascii="宋体" w:hAnsi="宋体"/>
          <w:b/>
          <w:color w:val="auto"/>
          <w:szCs w:val="21"/>
        </w:rPr>
        <w:t>（修正后</w:t>
      </w:r>
      <w:r>
        <w:rPr>
          <w:rFonts w:hint="eastAsia" w:ascii="宋体" w:hAnsi="宋体"/>
          <w:b/>
          <w:color w:val="auto"/>
        </w:rPr>
        <w:t>）】</w:t>
      </w:r>
      <w:r>
        <w:rPr>
          <w:rFonts w:ascii="宋体" w:hAnsi="宋体"/>
          <w:b/>
          <w:color w:val="auto"/>
        </w:rPr>
        <w:t>×价格权值×100</w:t>
      </w:r>
    </w:p>
    <w:p>
      <w:pPr>
        <w:jc w:val="center"/>
        <w:rPr>
          <w:b/>
          <w:color w:val="auto"/>
        </w:rPr>
      </w:pPr>
      <w:r>
        <w:rPr>
          <w:rFonts w:ascii="宋体" w:hAnsi="宋体"/>
          <w:color w:val="auto"/>
          <w:szCs w:val="21"/>
        </w:rPr>
        <w:t>投标报价</w:t>
      </w:r>
      <w:r>
        <w:rPr>
          <w:rFonts w:hint="eastAsia" w:ascii="宋体" w:hAnsi="宋体"/>
          <w:color w:val="auto"/>
          <w:szCs w:val="21"/>
        </w:rPr>
        <w:t>（修正后）仅用于计算价格评分，中标金额以实际投标报价为准。</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投标文件的澄清</w:t>
      </w:r>
    </w:p>
    <w:p>
      <w:pPr>
        <w:numPr>
          <w:ilvl w:val="0"/>
          <w:numId w:val="53"/>
        </w:numPr>
        <w:spacing w:line="360" w:lineRule="auto"/>
        <w:rPr>
          <w:rFonts w:ascii="宋体" w:hAnsi="宋体"/>
          <w:color w:val="auto"/>
        </w:rPr>
      </w:pPr>
      <w:r>
        <w:rPr>
          <w:rFonts w:hint="eastAsia" w:ascii="宋体" w:hAnsi="宋体"/>
          <w:color w:val="auto"/>
        </w:rPr>
        <w:t>评标期间，对投标文件中含义不明确、同类问题表述不一致或者有明显文字和计算错误的内容，评标委员会可以书面形式（应当由评标委员会专家签字）要求投标人作出必要的澄清、说明或者纠正，但不得允许投标人对 投标报价等实质性内容做任何更改。投标人的澄清、说明或者补正应当采用书面形式，由其授权的代表签字，并不得超出投标文件的范围或者改变投标文件的实质性内容。有关澄清的答复均应由投标人的法定代表人或授权代表签字的书面形式作出。</w:t>
      </w:r>
    </w:p>
    <w:p>
      <w:pPr>
        <w:numPr>
          <w:ilvl w:val="0"/>
          <w:numId w:val="53"/>
        </w:numPr>
        <w:spacing w:line="360" w:lineRule="auto"/>
        <w:rPr>
          <w:rFonts w:ascii="宋体" w:hAnsi="宋体"/>
          <w:color w:val="auto"/>
        </w:rPr>
      </w:pPr>
      <w:r>
        <w:rPr>
          <w:rFonts w:hint="eastAsia" w:ascii="宋体" w:hAnsi="宋体"/>
          <w:color w:val="auto"/>
        </w:rPr>
        <w:t>投标人的澄清文件是其投标文件的组成部分。</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投标的评价</w:t>
      </w:r>
    </w:p>
    <w:p>
      <w:pPr>
        <w:numPr>
          <w:ilvl w:val="0"/>
          <w:numId w:val="54"/>
        </w:numPr>
        <w:spacing w:line="360" w:lineRule="auto"/>
        <w:rPr>
          <w:rFonts w:ascii="宋体" w:hAnsi="宋体"/>
          <w:color w:val="auto"/>
        </w:rPr>
      </w:pPr>
      <w:r>
        <w:rPr>
          <w:rFonts w:hint="eastAsia" w:ascii="宋体" w:hAnsi="宋体"/>
          <w:color w:val="auto"/>
        </w:rPr>
        <w:t>评标委员会只对确定为实质上响应招标文件要求的投标文件进行评价和比较。</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授标</w:t>
      </w:r>
    </w:p>
    <w:p>
      <w:pPr>
        <w:numPr>
          <w:ilvl w:val="0"/>
          <w:numId w:val="55"/>
        </w:numPr>
        <w:spacing w:line="360" w:lineRule="auto"/>
        <w:rPr>
          <w:rFonts w:ascii="宋体" w:hAnsi="宋体"/>
          <w:color w:val="auto"/>
        </w:rPr>
      </w:pPr>
      <w:r>
        <w:rPr>
          <w:rFonts w:hint="eastAsia" w:ascii="宋体" w:hAnsi="宋体"/>
          <w:color w:val="auto"/>
        </w:rPr>
        <w:t>评标委员会按照招标文件确定的评标方法、步骤、标准，对投标文件进行评审，提出书面</w:t>
      </w:r>
      <w:r>
        <w:rPr>
          <w:rFonts w:ascii="宋体" w:hAnsi="宋体"/>
          <w:color w:val="auto"/>
        </w:rPr>
        <w:t>评审</w:t>
      </w:r>
      <w:r>
        <w:rPr>
          <w:rFonts w:hint="eastAsia" w:ascii="宋体" w:hAnsi="宋体"/>
          <w:color w:val="auto"/>
        </w:rPr>
        <w:t>报告。</w:t>
      </w:r>
    </w:p>
    <w:p>
      <w:pPr>
        <w:numPr>
          <w:ilvl w:val="0"/>
          <w:numId w:val="55"/>
        </w:numPr>
        <w:spacing w:line="360" w:lineRule="auto"/>
        <w:rPr>
          <w:rFonts w:ascii="宋体" w:hAnsi="宋体"/>
          <w:color w:val="auto"/>
          <w:szCs w:val="21"/>
        </w:rPr>
      </w:pPr>
      <w:r>
        <w:rPr>
          <w:rFonts w:hint="eastAsia" w:ascii="宋体" w:hAnsi="宋体"/>
          <w:color w:val="auto"/>
          <w:szCs w:val="21"/>
        </w:rPr>
        <w:t>采用综合评分法的，按评审后得分由高到低顺序排列。</w:t>
      </w:r>
      <w:r>
        <w:rPr>
          <w:rFonts w:hint="eastAsia" w:ascii="宋体" w:hAnsi="宋体"/>
          <w:bCs/>
          <w:color w:val="auto"/>
          <w:szCs w:val="21"/>
        </w:rPr>
        <w:t>综合得分相同的，名次按评标价由低到高顺序排列；综合得分相同，且评标价相同的，名次按技术（服务）评分由高到低顺序排列；</w:t>
      </w:r>
      <w:r>
        <w:rPr>
          <w:rFonts w:hint="eastAsia" w:ascii="宋体" w:hAnsi="宋体"/>
          <w:color w:val="auto"/>
          <w:szCs w:val="21"/>
        </w:rPr>
        <w:t>如以上都相同的，名次由评标委员会抽签确定。除《投标须知前附表》另有规定的，推荐综合得分排名第一的投标人为第一中标候选人，排名第二的投标人为第二中标候选人。</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替补候选人的设定与使用</w:t>
      </w:r>
    </w:p>
    <w:p>
      <w:pPr>
        <w:numPr>
          <w:ilvl w:val="0"/>
          <w:numId w:val="56"/>
        </w:numPr>
        <w:spacing w:line="360" w:lineRule="auto"/>
        <w:rPr>
          <w:rFonts w:hint="eastAsia" w:ascii="宋体" w:hAnsi="宋体"/>
          <w:color w:val="auto"/>
          <w:szCs w:val="21"/>
        </w:rPr>
      </w:pPr>
      <w:r>
        <w:rPr>
          <w:rFonts w:hint="eastAsia" w:ascii="宋体" w:hAnsi="宋体"/>
          <w:color w:val="auto"/>
          <w:szCs w:val="21"/>
        </w:rPr>
        <w:t>排名第一的中标候选人放弃中标、或因不可抗力提出不能履行合同、或者招标文件规定应当递交履约担保而在规定的期限内未能递交、或</w:t>
      </w:r>
      <w:r>
        <w:rPr>
          <w:rFonts w:ascii="宋体" w:hAnsi="宋体"/>
          <w:color w:val="auto"/>
        </w:rPr>
        <w:t>中标人拒绝与招标人签订合同的，招标人可以按照评审报告推荐的中标候选人名单排序，确定下一候选人为中标人，也可以重新开展招标活动。</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重新招标的禁止再次投标的情况</w:t>
      </w:r>
    </w:p>
    <w:p>
      <w:pPr>
        <w:tabs>
          <w:tab w:val="left" w:pos="0"/>
          <w:tab w:val="center" w:pos="210"/>
          <w:tab w:val="center" w:pos="420"/>
          <w:tab w:val="center" w:pos="630"/>
        </w:tabs>
        <w:spacing w:line="360" w:lineRule="auto"/>
        <w:ind w:left="624"/>
        <w:outlineLvl w:val="2"/>
        <w:rPr>
          <w:rFonts w:hint="eastAsia" w:ascii="宋体" w:hAnsi="宋体"/>
          <w:color w:val="auto"/>
          <w:szCs w:val="21"/>
        </w:rPr>
      </w:pPr>
      <w:r>
        <w:rPr>
          <w:rFonts w:hint="eastAsia" w:ascii="&amp;quot" w:hAnsi="&amp;quot" w:cs="宋体"/>
          <w:color w:val="auto"/>
          <w:kern w:val="0"/>
          <w:szCs w:val="21"/>
        </w:rPr>
        <w:t>投标人无正当理由放弃中标或者在投标截止后撤销投标文件，造成招标人重新招标的，招标人可以禁止该投标人再次投标该项目。</w:t>
      </w:r>
    </w:p>
    <w:p>
      <w:pPr>
        <w:spacing w:line="360" w:lineRule="auto"/>
        <w:ind w:left="113"/>
        <w:rPr>
          <w:rFonts w:ascii="宋体" w:hAnsi="宋体"/>
          <w:color w:val="auto"/>
          <w:szCs w:val="21"/>
        </w:rPr>
      </w:pPr>
    </w:p>
    <w:p>
      <w:pPr>
        <w:numPr>
          <w:ilvl w:val="0"/>
          <w:numId w:val="10"/>
        </w:numPr>
        <w:spacing w:line="360" w:lineRule="auto"/>
        <w:jc w:val="center"/>
        <w:outlineLvl w:val="1"/>
        <w:rPr>
          <w:rFonts w:ascii="宋体" w:hAnsi="宋体"/>
          <w:b/>
          <w:bCs/>
          <w:color w:val="auto"/>
          <w:sz w:val="30"/>
          <w:szCs w:val="30"/>
        </w:rPr>
      </w:pPr>
      <w:r>
        <w:rPr>
          <w:rFonts w:hint="eastAsia" w:ascii="宋体" w:hAnsi="宋体"/>
          <w:b/>
          <w:bCs/>
          <w:color w:val="auto"/>
          <w:sz w:val="30"/>
          <w:szCs w:val="30"/>
        </w:rPr>
        <w:t>询问、质疑</w:t>
      </w:r>
    </w:p>
    <w:p>
      <w:pPr>
        <w:numPr>
          <w:ilvl w:val="0"/>
          <w:numId w:val="35"/>
        </w:numPr>
        <w:tabs>
          <w:tab w:val="center" w:pos="210"/>
          <w:tab w:val="center" w:pos="630"/>
        </w:tabs>
        <w:spacing w:line="360" w:lineRule="auto"/>
        <w:outlineLvl w:val="2"/>
        <w:rPr>
          <w:rFonts w:ascii="宋体" w:hAnsi="宋体"/>
          <w:b/>
          <w:color w:val="auto"/>
        </w:rPr>
      </w:pPr>
      <w:bookmarkStart w:id="47" w:name="_Toc134955411"/>
      <w:r>
        <w:rPr>
          <w:rFonts w:hint="eastAsia" w:ascii="宋体" w:hAnsi="宋体"/>
          <w:b/>
          <w:color w:val="auto"/>
        </w:rPr>
        <w:t>询问、质疑</w:t>
      </w:r>
    </w:p>
    <w:bookmarkEnd w:id="47"/>
    <w:p>
      <w:pPr>
        <w:numPr>
          <w:ilvl w:val="0"/>
          <w:numId w:val="57"/>
        </w:numPr>
        <w:spacing w:line="360" w:lineRule="auto"/>
        <w:rPr>
          <w:color w:val="auto"/>
        </w:rPr>
      </w:pPr>
      <w:r>
        <w:rPr>
          <w:rFonts w:hint="eastAsia"/>
          <w:color w:val="auto"/>
        </w:rPr>
        <w:t>询问</w:t>
      </w:r>
    </w:p>
    <w:p>
      <w:pPr>
        <w:spacing w:line="360" w:lineRule="auto"/>
        <w:ind w:left="567"/>
        <w:rPr>
          <w:rFonts w:hint="eastAsia"/>
          <w:color w:val="auto"/>
        </w:rPr>
      </w:pPr>
      <w:r>
        <w:rPr>
          <w:color w:val="auto"/>
        </w:rPr>
        <w:t>投标人对采购活动事项（招标文件、采购过程和中标结果）有疑问的，可以向招标人或招标代理机构提出询问，招标人或招标代理机构将及时作出答复，但答复的内容不涉及商业秘密。询问可以口头方式提出，也可以书面方式提出，书面方式包括但不限于传真、信函、电子邮件。联系方式见《投标邀请函》中</w:t>
      </w:r>
      <w:r>
        <w:rPr>
          <w:rFonts w:hint="eastAsia" w:ascii="Arial Unicode MS" w:hAnsi="Arial Unicode MS" w:eastAsia="Arial Unicode MS"/>
          <w:color w:val="auto"/>
          <w:w w:val="135"/>
        </w:rPr>
        <w:t>“</w:t>
      </w:r>
      <w:r>
        <w:rPr>
          <w:rFonts w:hint="eastAsia" w:ascii="微软雅黑" w:hAnsi="微软雅黑" w:eastAsia="微软雅黑" w:cs="微软雅黑"/>
          <w:color w:val="auto"/>
          <w:w w:val="135"/>
        </w:rPr>
        <w:t>招标</w:t>
      </w:r>
      <w:r>
        <w:rPr>
          <w:color w:val="auto"/>
        </w:rPr>
        <w:t>人、</w:t>
      </w:r>
      <w:r>
        <w:rPr>
          <w:rFonts w:hint="eastAsia"/>
          <w:color w:val="auto"/>
        </w:rPr>
        <w:t>招标</w:t>
      </w:r>
      <w:r>
        <w:rPr>
          <w:color w:val="auto"/>
        </w:rPr>
        <w:t>代理机构的名称、地址和联系方式</w:t>
      </w:r>
      <w:r>
        <w:rPr>
          <w:rFonts w:hint="eastAsia" w:ascii="Arial Unicode MS" w:hAnsi="Arial Unicode MS" w:eastAsia="Arial Unicode MS"/>
          <w:color w:val="auto"/>
          <w:w w:val="135"/>
        </w:rPr>
        <w:t>”</w:t>
      </w:r>
      <w:r>
        <w:rPr>
          <w:color w:val="auto"/>
        </w:rPr>
        <w:t>。</w:t>
      </w:r>
    </w:p>
    <w:p>
      <w:pPr>
        <w:numPr>
          <w:ilvl w:val="0"/>
          <w:numId w:val="57"/>
        </w:numPr>
        <w:spacing w:line="360" w:lineRule="auto"/>
        <w:rPr>
          <w:rFonts w:ascii="宋体" w:hAnsi="宋体"/>
          <w:color w:val="auto"/>
          <w:szCs w:val="21"/>
        </w:rPr>
      </w:pPr>
      <w:r>
        <w:rPr>
          <w:color w:val="auto"/>
          <w:spacing w:val="6"/>
        </w:rPr>
        <w:t>质疑</w:t>
      </w:r>
    </w:p>
    <w:p>
      <w:pPr>
        <w:spacing w:line="360" w:lineRule="auto"/>
        <w:ind w:left="567"/>
        <w:rPr>
          <w:rFonts w:hint="eastAsia" w:ascii="宋体" w:hAnsi="宋体"/>
          <w:color w:val="auto"/>
          <w:szCs w:val="21"/>
        </w:rPr>
      </w:pPr>
      <w:r>
        <w:rPr>
          <w:rFonts w:hint="eastAsia" w:ascii="宋体" w:hAnsi="宋体"/>
          <w:color w:val="auto"/>
          <w:szCs w:val="21"/>
        </w:rPr>
        <w:t>4</w:t>
      </w:r>
      <w:r>
        <w:rPr>
          <w:rFonts w:ascii="宋体" w:hAnsi="宋体"/>
          <w:color w:val="auto"/>
          <w:szCs w:val="21"/>
        </w:rPr>
        <w:t>0.2.1</w:t>
      </w:r>
      <w:r>
        <w:rPr>
          <w:rFonts w:hint="eastAsia" w:ascii="宋体" w:hAnsi="宋体"/>
          <w:color w:val="auto"/>
          <w:szCs w:val="21"/>
        </w:rPr>
        <w:t>投标人认为招标文件、采购过程和中标结果使自己的权益受到损害的，可以在知道或者应知其权益受到损害之日起七个工作日内，以书面原件形式向招标人或招标代理机构一次性提出针对同一采购程序环节的质疑，逾期质疑无效。供应商应知其权益受到损害之日是指：</w:t>
      </w:r>
    </w:p>
    <w:p>
      <w:pPr>
        <w:spacing w:line="360" w:lineRule="auto"/>
        <w:ind w:left="567"/>
        <w:rPr>
          <w:rFonts w:hint="eastAsia" w:ascii="宋体" w:hAnsi="宋体"/>
          <w:color w:val="auto"/>
          <w:szCs w:val="21"/>
        </w:rPr>
      </w:pPr>
      <w:r>
        <w:rPr>
          <w:rFonts w:hint="eastAsia" w:ascii="宋体" w:hAnsi="宋体"/>
          <w:color w:val="auto"/>
          <w:szCs w:val="21"/>
        </w:rPr>
        <w:t>(1)</w:t>
      </w:r>
      <w:r>
        <w:rPr>
          <w:rFonts w:hint="eastAsia" w:ascii="宋体" w:hAnsi="宋体"/>
          <w:color w:val="auto"/>
          <w:szCs w:val="21"/>
        </w:rPr>
        <w:tab/>
      </w:r>
      <w:r>
        <w:rPr>
          <w:rFonts w:hint="eastAsia" w:ascii="宋体" w:hAnsi="宋体"/>
          <w:color w:val="auto"/>
          <w:szCs w:val="21"/>
        </w:rPr>
        <w:t>对招标文件提出质疑的，为获取招标文件之日或者招标文件公告期限届满之日；</w:t>
      </w:r>
    </w:p>
    <w:p>
      <w:pPr>
        <w:spacing w:line="360" w:lineRule="auto"/>
        <w:ind w:left="567"/>
        <w:rPr>
          <w:rFonts w:hint="eastAsia" w:ascii="宋体" w:hAnsi="宋体"/>
          <w:color w:val="auto"/>
          <w:szCs w:val="21"/>
        </w:rPr>
      </w:pPr>
      <w:r>
        <w:rPr>
          <w:rFonts w:hint="eastAsia" w:ascii="宋体" w:hAnsi="宋体"/>
          <w:color w:val="auto"/>
          <w:szCs w:val="21"/>
        </w:rPr>
        <w:t>(2)</w:t>
      </w:r>
      <w:r>
        <w:rPr>
          <w:rFonts w:hint="eastAsia" w:ascii="宋体" w:hAnsi="宋体"/>
          <w:color w:val="auto"/>
          <w:szCs w:val="21"/>
        </w:rPr>
        <w:tab/>
      </w:r>
      <w:r>
        <w:rPr>
          <w:rFonts w:hint="eastAsia" w:ascii="宋体" w:hAnsi="宋体"/>
          <w:color w:val="auto"/>
          <w:szCs w:val="21"/>
        </w:rPr>
        <w:t xml:space="preserve">对采购过程提出质疑的，为各采购程序环节结束之日； </w:t>
      </w:r>
    </w:p>
    <w:p>
      <w:pPr>
        <w:spacing w:line="360" w:lineRule="auto"/>
        <w:ind w:left="567"/>
        <w:rPr>
          <w:rFonts w:hint="eastAsia" w:ascii="宋体" w:hAnsi="宋体"/>
          <w:color w:val="auto"/>
          <w:szCs w:val="21"/>
        </w:rPr>
      </w:pPr>
      <w:r>
        <w:rPr>
          <w:rFonts w:hint="eastAsia" w:ascii="宋体" w:hAnsi="宋体"/>
          <w:color w:val="auto"/>
          <w:szCs w:val="21"/>
        </w:rPr>
        <w:t>(3)</w:t>
      </w:r>
      <w:r>
        <w:rPr>
          <w:rFonts w:hint="eastAsia" w:ascii="宋体" w:hAnsi="宋体"/>
          <w:color w:val="auto"/>
          <w:szCs w:val="21"/>
        </w:rPr>
        <w:tab/>
      </w:r>
      <w:r>
        <w:rPr>
          <w:rFonts w:hint="eastAsia" w:ascii="宋体" w:hAnsi="宋体"/>
          <w:color w:val="auto"/>
          <w:szCs w:val="21"/>
        </w:rPr>
        <w:t>对中标结果提出质疑的，为中标结果公告期限届满之日。</w:t>
      </w:r>
    </w:p>
    <w:p>
      <w:pPr>
        <w:spacing w:line="360" w:lineRule="auto"/>
        <w:ind w:left="567"/>
        <w:rPr>
          <w:rFonts w:hint="eastAsia" w:ascii="宋体" w:hAnsi="宋体"/>
          <w:color w:val="auto"/>
          <w:szCs w:val="21"/>
        </w:rPr>
      </w:pPr>
      <w:r>
        <w:rPr>
          <w:rFonts w:ascii="宋体" w:hAnsi="宋体"/>
          <w:color w:val="auto"/>
          <w:szCs w:val="21"/>
        </w:rPr>
        <w:t>40.</w:t>
      </w:r>
      <w:r>
        <w:rPr>
          <w:rFonts w:hint="eastAsia" w:ascii="宋体" w:hAnsi="宋体"/>
          <w:color w:val="auto"/>
          <w:szCs w:val="21"/>
        </w:rPr>
        <w:t>2.2</w:t>
      </w:r>
      <w:r>
        <w:rPr>
          <w:rFonts w:hint="eastAsia" w:ascii="宋体" w:hAnsi="宋体"/>
          <w:color w:val="auto"/>
          <w:szCs w:val="21"/>
        </w:rPr>
        <w:tab/>
      </w:r>
      <w:r>
        <w:rPr>
          <w:rFonts w:hint="eastAsia" w:ascii="宋体" w:hAnsi="宋体"/>
          <w:color w:val="auto"/>
          <w:szCs w:val="21"/>
        </w:rPr>
        <w:t>质疑函应当包括下列主要内容：</w:t>
      </w:r>
    </w:p>
    <w:p>
      <w:pPr>
        <w:spacing w:line="360" w:lineRule="auto"/>
        <w:ind w:left="567"/>
        <w:rPr>
          <w:rFonts w:hint="eastAsia" w:ascii="宋体" w:hAnsi="宋体"/>
          <w:color w:val="auto"/>
          <w:szCs w:val="21"/>
        </w:rPr>
      </w:pPr>
      <w:r>
        <w:rPr>
          <w:rFonts w:hint="eastAsia" w:ascii="宋体" w:hAnsi="宋体"/>
          <w:color w:val="auto"/>
          <w:szCs w:val="21"/>
        </w:rPr>
        <w:t>(1)</w:t>
      </w:r>
      <w:r>
        <w:rPr>
          <w:rFonts w:hint="eastAsia" w:ascii="宋体" w:hAnsi="宋体"/>
          <w:color w:val="auto"/>
          <w:szCs w:val="21"/>
        </w:rPr>
        <w:tab/>
      </w:r>
      <w:r>
        <w:rPr>
          <w:rFonts w:hint="eastAsia" w:ascii="宋体" w:hAnsi="宋体"/>
          <w:color w:val="auto"/>
          <w:szCs w:val="21"/>
        </w:rPr>
        <w:t xml:space="preserve">质疑供应商和相关供应商的名称、地址、邮编、联系人及联系电话等； </w:t>
      </w:r>
    </w:p>
    <w:p>
      <w:pPr>
        <w:spacing w:line="360" w:lineRule="auto"/>
        <w:ind w:left="567"/>
        <w:rPr>
          <w:rFonts w:hint="eastAsia" w:ascii="宋体" w:hAnsi="宋体"/>
          <w:color w:val="auto"/>
          <w:szCs w:val="21"/>
        </w:rPr>
      </w:pPr>
      <w:r>
        <w:rPr>
          <w:rFonts w:hint="eastAsia" w:ascii="宋体" w:hAnsi="宋体"/>
          <w:color w:val="auto"/>
          <w:szCs w:val="21"/>
        </w:rPr>
        <w:t>(2)</w:t>
      </w:r>
      <w:r>
        <w:rPr>
          <w:rFonts w:hint="eastAsia" w:ascii="宋体" w:hAnsi="宋体"/>
          <w:color w:val="auto"/>
          <w:szCs w:val="21"/>
        </w:rPr>
        <w:tab/>
      </w:r>
      <w:r>
        <w:rPr>
          <w:rFonts w:hint="eastAsia" w:ascii="宋体" w:hAnsi="宋体"/>
          <w:color w:val="auto"/>
          <w:szCs w:val="21"/>
        </w:rPr>
        <w:t>质疑项目名称及编号、具体明确的质疑事项和与质疑事项相关的请求；</w:t>
      </w:r>
    </w:p>
    <w:p>
      <w:pPr>
        <w:spacing w:line="360" w:lineRule="auto"/>
        <w:ind w:left="567"/>
        <w:rPr>
          <w:rFonts w:hint="eastAsia" w:ascii="宋体" w:hAnsi="宋体"/>
          <w:color w:val="auto"/>
          <w:szCs w:val="21"/>
        </w:rPr>
      </w:pPr>
      <w:r>
        <w:rPr>
          <w:rFonts w:hint="eastAsia" w:ascii="宋体" w:hAnsi="宋体"/>
          <w:color w:val="auto"/>
          <w:szCs w:val="21"/>
        </w:rPr>
        <w:t>(3)</w:t>
      </w:r>
      <w:r>
        <w:rPr>
          <w:rFonts w:hint="eastAsia" w:ascii="宋体" w:hAnsi="宋体"/>
          <w:color w:val="auto"/>
          <w:szCs w:val="21"/>
        </w:rPr>
        <w:tab/>
      </w:r>
      <w:r>
        <w:rPr>
          <w:rFonts w:hint="eastAsia" w:ascii="宋体" w:hAnsi="宋体"/>
          <w:color w:val="auto"/>
          <w:szCs w:val="21"/>
        </w:rPr>
        <w:t>认为采购文件、采购过程、中标和成交结果使自己的合法权益受到损害的法律依据、事实依据、相关证明材料及证据来源；</w:t>
      </w:r>
    </w:p>
    <w:p>
      <w:pPr>
        <w:spacing w:line="360" w:lineRule="auto"/>
        <w:ind w:left="567"/>
        <w:rPr>
          <w:rFonts w:hint="eastAsia" w:ascii="宋体" w:hAnsi="宋体"/>
          <w:color w:val="auto"/>
          <w:szCs w:val="21"/>
        </w:rPr>
      </w:pPr>
      <w:r>
        <w:rPr>
          <w:rFonts w:hint="eastAsia" w:ascii="宋体" w:hAnsi="宋体"/>
          <w:color w:val="auto"/>
          <w:szCs w:val="21"/>
        </w:rPr>
        <w:t>(4)</w:t>
      </w:r>
      <w:r>
        <w:rPr>
          <w:rFonts w:hint="eastAsia" w:ascii="宋体" w:hAnsi="宋体"/>
          <w:color w:val="auto"/>
          <w:szCs w:val="21"/>
        </w:rPr>
        <w:tab/>
      </w:r>
      <w:r>
        <w:rPr>
          <w:rFonts w:hint="eastAsia" w:ascii="宋体" w:hAnsi="宋体"/>
          <w:color w:val="auto"/>
          <w:szCs w:val="21"/>
        </w:rPr>
        <w:t>提出质疑的日期。</w:t>
      </w:r>
    </w:p>
    <w:p>
      <w:pPr>
        <w:spacing w:line="360" w:lineRule="auto"/>
        <w:ind w:left="567"/>
        <w:rPr>
          <w:rFonts w:hint="eastAsia" w:ascii="宋体" w:hAnsi="宋体"/>
          <w:color w:val="auto"/>
          <w:szCs w:val="21"/>
        </w:rPr>
      </w:pPr>
      <w:r>
        <w:rPr>
          <w:rFonts w:ascii="宋体" w:hAnsi="宋体"/>
          <w:color w:val="auto"/>
          <w:szCs w:val="21"/>
        </w:rPr>
        <w:t>40.</w:t>
      </w:r>
      <w:r>
        <w:rPr>
          <w:rFonts w:hint="eastAsia" w:ascii="宋体" w:hAnsi="宋体"/>
          <w:color w:val="auto"/>
          <w:szCs w:val="21"/>
        </w:rPr>
        <w:t>2.3</w:t>
      </w:r>
      <w:r>
        <w:rPr>
          <w:rFonts w:hint="eastAsia" w:ascii="宋体" w:hAnsi="宋体"/>
          <w:color w:val="auto"/>
          <w:szCs w:val="21"/>
        </w:rPr>
        <w:tab/>
      </w:r>
      <w:r>
        <w:rPr>
          <w:rFonts w:hint="eastAsia" w:ascii="宋体" w:hAnsi="宋体"/>
          <w:color w:val="auto"/>
          <w:szCs w:val="21"/>
        </w:rPr>
        <w:t>质疑函应当署名。质疑供应商为自然人的，应当由本人签字；质疑供应商为法人或者其他组织的，应当由法定代表人、主要负责人，或者其授权代表签字或者盖章，并加盖公章。</w:t>
      </w:r>
    </w:p>
    <w:p>
      <w:pPr>
        <w:spacing w:line="360" w:lineRule="auto"/>
        <w:ind w:left="567"/>
        <w:rPr>
          <w:rFonts w:hint="eastAsia" w:ascii="宋体" w:hAnsi="宋体"/>
          <w:color w:val="auto"/>
          <w:szCs w:val="21"/>
        </w:rPr>
      </w:pPr>
      <w:r>
        <w:rPr>
          <w:rFonts w:ascii="宋体" w:hAnsi="宋体"/>
          <w:color w:val="auto"/>
          <w:szCs w:val="21"/>
        </w:rPr>
        <w:t>40.</w:t>
      </w:r>
      <w:r>
        <w:rPr>
          <w:rFonts w:hint="eastAsia" w:ascii="宋体" w:hAnsi="宋体"/>
          <w:color w:val="auto"/>
          <w:szCs w:val="21"/>
        </w:rPr>
        <w:t>2.4</w:t>
      </w:r>
      <w:r>
        <w:rPr>
          <w:rFonts w:hint="eastAsia" w:ascii="宋体" w:hAnsi="宋体"/>
          <w:color w:val="auto"/>
          <w:szCs w:val="21"/>
        </w:rPr>
        <w:tab/>
      </w:r>
      <w:r>
        <w:rPr>
          <w:rFonts w:hint="eastAsia" w:ascii="宋体" w:hAnsi="宋体"/>
          <w:color w:val="auto"/>
          <w:szCs w:val="21"/>
        </w:rPr>
        <w:t>以联合体形式参加政府采购活动的，其质疑应当由联合体成员委托主体提出。</w:t>
      </w:r>
    </w:p>
    <w:p>
      <w:pPr>
        <w:spacing w:line="360" w:lineRule="auto"/>
        <w:ind w:left="567"/>
        <w:rPr>
          <w:rFonts w:hint="eastAsia" w:ascii="宋体" w:hAnsi="宋体"/>
          <w:color w:val="auto"/>
          <w:szCs w:val="21"/>
        </w:rPr>
      </w:pPr>
      <w:r>
        <w:rPr>
          <w:rFonts w:ascii="宋体" w:hAnsi="宋体"/>
          <w:color w:val="auto"/>
          <w:szCs w:val="21"/>
        </w:rPr>
        <w:t>40.</w:t>
      </w:r>
      <w:r>
        <w:rPr>
          <w:rFonts w:hint="eastAsia" w:ascii="宋体" w:hAnsi="宋体"/>
          <w:color w:val="auto"/>
          <w:szCs w:val="21"/>
        </w:rPr>
        <w:t>2.5</w:t>
      </w:r>
      <w:r>
        <w:rPr>
          <w:rFonts w:hint="eastAsia" w:ascii="宋体" w:hAnsi="宋体"/>
          <w:color w:val="auto"/>
          <w:szCs w:val="21"/>
        </w:rPr>
        <w:tab/>
      </w:r>
      <w:r>
        <w:rPr>
          <w:rFonts w:hint="eastAsia" w:ascii="宋体" w:hAnsi="宋体"/>
          <w:color w:val="auto"/>
          <w:szCs w:val="21"/>
        </w:rPr>
        <w:t>供应商质疑应当有明确的请求和必要的证明材料。质疑内容不得含有虚假、恶意成份。依照谁主张谁举证的原则，提出质疑者必须同时提交相关确凿的证据材料和注明证据的确切来源，证据来源必须合法，招标人或招标代理机构有权将质疑函转发质疑事项各关联方，请其作出解释说明。对捏造事实、滥用维权扰乱采购秩序的恶意质疑者，将上报政府采购监督管理部门依法处理。</w:t>
      </w:r>
    </w:p>
    <w:p>
      <w:pPr>
        <w:numPr>
          <w:ilvl w:val="0"/>
          <w:numId w:val="10"/>
        </w:numPr>
        <w:spacing w:line="360" w:lineRule="auto"/>
        <w:jc w:val="center"/>
        <w:outlineLvl w:val="1"/>
        <w:rPr>
          <w:rFonts w:ascii="宋体" w:hAnsi="宋体"/>
          <w:b/>
          <w:bCs/>
          <w:color w:val="auto"/>
          <w:sz w:val="30"/>
          <w:szCs w:val="30"/>
        </w:rPr>
      </w:pPr>
      <w:r>
        <w:rPr>
          <w:rFonts w:hint="eastAsia" w:ascii="宋体" w:hAnsi="宋体"/>
          <w:b/>
          <w:bCs/>
          <w:color w:val="auto"/>
          <w:sz w:val="30"/>
          <w:szCs w:val="30"/>
        </w:rPr>
        <w:t>合同的订立和履行</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合同的订立</w:t>
      </w:r>
    </w:p>
    <w:p>
      <w:pPr>
        <w:numPr>
          <w:ilvl w:val="0"/>
          <w:numId w:val="58"/>
        </w:numPr>
        <w:spacing w:line="360" w:lineRule="auto"/>
        <w:rPr>
          <w:rFonts w:hint="eastAsia" w:ascii="宋体" w:hAnsi="宋体"/>
          <w:color w:val="auto"/>
          <w:szCs w:val="21"/>
        </w:rPr>
      </w:pPr>
      <w:r>
        <w:rPr>
          <w:rFonts w:hint="eastAsia" w:ascii="宋体" w:hAnsi="宋体"/>
          <w:color w:val="auto"/>
          <w:szCs w:val="21"/>
        </w:rPr>
        <w:t>在合同签订前，中标人须提供营业执照、税务登记证和在投标文件中提供的资质证明文件、业绩合同等主要证明文件（如授权其分支机构进行项目实施或提供售后服务的，亦应提供其与分支机构关系的法律证明材料）的原件给招标人进行核对。</w:t>
      </w:r>
    </w:p>
    <w:p>
      <w:pPr>
        <w:numPr>
          <w:ilvl w:val="0"/>
          <w:numId w:val="58"/>
        </w:numPr>
        <w:spacing w:line="360" w:lineRule="auto"/>
        <w:rPr>
          <w:rFonts w:ascii="宋体" w:hAnsi="宋体"/>
          <w:color w:val="auto"/>
          <w:szCs w:val="21"/>
        </w:rPr>
      </w:pPr>
      <w:r>
        <w:rPr>
          <w:rFonts w:hint="eastAsia" w:ascii="宋体" w:hAnsi="宋体"/>
          <w:color w:val="auto"/>
          <w:szCs w:val="21"/>
        </w:rPr>
        <w:t>招标人与中标人自中标通知书发出之日起三十日内，按照招标文件、中标人的投标文件与中标人订立书面合同。合同的标的、质量、履行期限条款和合同的价款、单价、比例条款等主要条款，应当与招标文件、中标人的投标文件的内容一致。</w:t>
      </w:r>
    </w:p>
    <w:p>
      <w:pPr>
        <w:numPr>
          <w:ilvl w:val="0"/>
          <w:numId w:val="35"/>
        </w:numPr>
        <w:tabs>
          <w:tab w:val="center" w:pos="210"/>
          <w:tab w:val="center" w:pos="630"/>
        </w:tabs>
        <w:spacing w:line="360" w:lineRule="auto"/>
        <w:outlineLvl w:val="2"/>
        <w:rPr>
          <w:rFonts w:ascii="宋体" w:hAnsi="宋体"/>
          <w:b/>
          <w:color w:val="auto"/>
        </w:rPr>
      </w:pPr>
      <w:r>
        <w:rPr>
          <w:rFonts w:hint="eastAsia" w:ascii="宋体" w:hAnsi="宋体"/>
          <w:b/>
          <w:color w:val="auto"/>
        </w:rPr>
        <w:t>合同的履行</w:t>
      </w:r>
    </w:p>
    <w:p>
      <w:pPr>
        <w:spacing w:line="360" w:lineRule="auto"/>
        <w:ind w:left="113" w:leftChars="54" w:firstLine="420" w:firstLineChars="200"/>
        <w:rPr>
          <w:rFonts w:ascii="宋体" w:hAnsi="宋体"/>
          <w:color w:val="auto"/>
          <w:szCs w:val="21"/>
        </w:rPr>
      </w:pPr>
      <w:r>
        <w:rPr>
          <w:rFonts w:hint="eastAsia" w:ascii="宋体" w:hAnsi="宋体"/>
          <w:color w:val="auto"/>
          <w:szCs w:val="21"/>
        </w:rPr>
        <w:t>合同订立后，合同各方不得擅自变更、中止或者终止合同。</w:t>
      </w:r>
    </w:p>
    <w:p>
      <w:pPr>
        <w:spacing w:line="360" w:lineRule="auto"/>
        <w:ind w:left="210" w:leftChars="100"/>
        <w:rPr>
          <w:rFonts w:ascii="宋体" w:hAnsi="宋体"/>
          <w:color w:val="auto"/>
        </w:rPr>
      </w:pPr>
    </w:p>
    <w:p>
      <w:pPr>
        <w:spacing w:line="360" w:lineRule="auto"/>
        <w:rPr>
          <w:rFonts w:ascii="宋体" w:hAnsi="宋体"/>
          <w:color w:val="auto"/>
        </w:rPr>
      </w:pPr>
      <w:r>
        <w:rPr>
          <w:rFonts w:hAnsi="宋体"/>
          <w:color w:val="auto"/>
        </w:rPr>
        <w:br w:type="page"/>
      </w:r>
      <w:bookmarkStart w:id="48" w:name="_Toc43264514"/>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pStyle w:val="2"/>
        <w:spacing w:line="360" w:lineRule="auto"/>
        <w:rPr>
          <w:rFonts w:ascii="宋体" w:hAnsi="宋体"/>
          <w:color w:val="auto"/>
          <w:kern w:val="0"/>
        </w:rPr>
      </w:pPr>
      <w:bookmarkStart w:id="49" w:name="_Toc384824326"/>
      <w:bookmarkStart w:id="50" w:name="_Toc386099825"/>
      <w:bookmarkStart w:id="51" w:name="_Toc386099965"/>
      <w:bookmarkStart w:id="52" w:name="_Toc417914520"/>
      <w:r>
        <w:rPr>
          <w:rFonts w:hint="eastAsia" w:ascii="宋体" w:hAnsi="宋体"/>
          <w:color w:val="auto"/>
          <w:kern w:val="0"/>
        </w:rPr>
        <w:t>第四章  合同</w:t>
      </w:r>
      <w:bookmarkEnd w:id="49"/>
      <w:bookmarkEnd w:id="50"/>
      <w:bookmarkEnd w:id="51"/>
      <w:r>
        <w:rPr>
          <w:rFonts w:hint="eastAsia" w:ascii="宋体" w:hAnsi="宋体"/>
          <w:color w:val="auto"/>
          <w:kern w:val="0"/>
        </w:rPr>
        <w:t>书格式</w:t>
      </w:r>
      <w:bookmarkEnd w:id="52"/>
    </w:p>
    <w:p>
      <w:pPr>
        <w:spacing w:line="360" w:lineRule="auto"/>
        <w:jc w:val="left"/>
        <w:rPr>
          <w:rFonts w:ascii="宋体" w:hAnsi="宋体"/>
          <w:b/>
          <w:bCs/>
          <w:color w:val="auto"/>
          <w:sz w:val="30"/>
        </w:rPr>
      </w:pPr>
    </w:p>
    <w:p>
      <w:pPr>
        <w:spacing w:line="360" w:lineRule="auto"/>
        <w:ind w:firstLine="301" w:firstLineChars="100"/>
        <w:jc w:val="left"/>
        <w:rPr>
          <w:rFonts w:ascii="宋体" w:hAnsi="宋体"/>
          <w:color w:val="auto"/>
          <w:szCs w:val="28"/>
        </w:rPr>
      </w:pPr>
      <w:r>
        <w:rPr>
          <w:rFonts w:ascii="宋体" w:hAnsi="宋体"/>
          <w:b/>
          <w:bCs/>
          <w:color w:val="auto"/>
          <w:sz w:val="30"/>
        </w:rPr>
        <w:t>（</w:t>
      </w:r>
      <w:r>
        <w:rPr>
          <w:rFonts w:hint="eastAsia" w:ascii="宋体" w:hAnsi="宋体"/>
          <w:b/>
          <w:bCs/>
          <w:color w:val="auto"/>
          <w:sz w:val="30"/>
        </w:rPr>
        <w:t>合同格式以广东政府采购智慧云平台电子卖场生成的定稿合同稿为准，双方根据公开招标遴选文件以及投标文件内容定点议价并签订合同，如有其他约定的双方另行签订补充协议</w:t>
      </w:r>
      <w:r>
        <w:rPr>
          <w:rFonts w:ascii="宋体" w:hAnsi="宋体"/>
          <w:b/>
          <w:bCs/>
          <w:color w:val="auto"/>
          <w:sz w:val="30"/>
        </w:rPr>
        <w:t>）</w:t>
      </w:r>
    </w:p>
    <w:p>
      <w:pPr>
        <w:widowControl/>
        <w:jc w:val="left"/>
        <w:rPr>
          <w:color w:val="auto"/>
        </w:rPr>
      </w:pPr>
    </w:p>
    <w:p>
      <w:pPr>
        <w:widowControl/>
        <w:jc w:val="left"/>
        <w:rPr>
          <w:rFonts w:hAnsi="宋体"/>
          <w:color w:val="auto"/>
        </w:rPr>
      </w:pPr>
      <w:r>
        <w:rPr>
          <w:rFonts w:hAnsi="宋体"/>
          <w:b/>
          <w:bCs/>
          <w:color w:val="auto"/>
          <w:sz w:val="28"/>
          <w:szCs w:val="28"/>
        </w:rPr>
        <w:br w:type="page"/>
      </w: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bookmarkEnd w:id="48"/>
    <w:p>
      <w:pPr>
        <w:pStyle w:val="2"/>
        <w:spacing w:line="360" w:lineRule="auto"/>
        <w:ind w:hanging="1"/>
        <w:rPr>
          <w:rFonts w:ascii="宋体" w:hAnsi="宋体" w:eastAsia="宋体"/>
          <w:color w:val="auto"/>
        </w:rPr>
      </w:pPr>
      <w:bookmarkStart w:id="53" w:name="_Toc417914521"/>
      <w:bookmarkStart w:id="54" w:name="_Toc385939531"/>
      <w:bookmarkStart w:id="55" w:name="_Toc385940898"/>
      <w:r>
        <w:rPr>
          <w:rFonts w:hint="eastAsia" w:ascii="宋体" w:hAnsi="宋体" w:eastAsia="宋体"/>
          <w:color w:val="auto"/>
        </w:rPr>
        <w:t>第五章  投标文件格式</w:t>
      </w:r>
      <w:bookmarkEnd w:id="53"/>
      <w:bookmarkEnd w:id="54"/>
      <w:bookmarkEnd w:id="55"/>
    </w:p>
    <w:p>
      <w:pPr>
        <w:spacing w:line="360" w:lineRule="auto"/>
        <w:rPr>
          <w:rFonts w:hint="eastAsia" w:ascii="宋体" w:hAnsi="宋体"/>
          <w:color w:val="auto"/>
          <w:sz w:val="32"/>
          <w:szCs w:val="32"/>
        </w:rPr>
      </w:pPr>
      <w:bookmarkStart w:id="56" w:name="_Toc50703720"/>
      <w:bookmarkStart w:id="57" w:name="_Toc50691027"/>
      <w:bookmarkStart w:id="58" w:name="_Toc43264515"/>
      <w:r>
        <w:rPr>
          <w:rFonts w:ascii="宋体" w:hAnsi="宋体"/>
          <w:color w:val="auto"/>
          <w:sz w:val="32"/>
          <w:szCs w:val="32"/>
        </w:rPr>
        <w:br w:type="page"/>
      </w:r>
    </w:p>
    <w:p>
      <w:pPr>
        <w:spacing w:line="360" w:lineRule="auto"/>
        <w:rPr>
          <w:rFonts w:ascii="宋体" w:hAnsi="宋体"/>
          <w:color w:val="auto"/>
          <w:sz w:val="32"/>
          <w:szCs w:val="32"/>
        </w:rPr>
      </w:pPr>
    </w:p>
    <w:p>
      <w:pPr>
        <w:spacing w:line="360" w:lineRule="auto"/>
        <w:rPr>
          <w:rFonts w:ascii="宋体" w:hAnsi="宋体"/>
          <w:color w:val="auto"/>
          <w:sz w:val="32"/>
          <w:szCs w:val="32"/>
        </w:rPr>
      </w:pPr>
    </w:p>
    <w:p>
      <w:pPr>
        <w:spacing w:line="360" w:lineRule="auto"/>
        <w:rPr>
          <w:rFonts w:ascii="宋体" w:hAnsi="宋体"/>
          <w:color w:val="auto"/>
          <w:sz w:val="32"/>
          <w:szCs w:val="32"/>
        </w:rPr>
      </w:pPr>
    </w:p>
    <w:p>
      <w:pPr>
        <w:pStyle w:val="17"/>
        <w:tabs>
          <w:tab w:val="left" w:pos="1260"/>
        </w:tabs>
        <w:spacing w:line="360" w:lineRule="auto"/>
        <w:jc w:val="center"/>
        <w:rPr>
          <w:rFonts w:hAnsi="宋体"/>
          <w:b/>
          <w:color w:val="auto"/>
          <w:spacing w:val="100"/>
          <w:w w:val="110"/>
          <w:kern w:val="0"/>
          <w:sz w:val="84"/>
          <w:szCs w:val="84"/>
        </w:rPr>
      </w:pPr>
      <w:r>
        <w:rPr>
          <w:rFonts w:hint="eastAsia" w:hAnsi="宋体"/>
          <w:b/>
          <w:color w:val="auto"/>
          <w:spacing w:val="100"/>
          <w:w w:val="110"/>
          <w:kern w:val="0"/>
          <w:sz w:val="84"/>
          <w:szCs w:val="84"/>
        </w:rPr>
        <w:t>投 标 文 件</w:t>
      </w:r>
    </w:p>
    <w:p>
      <w:pPr>
        <w:pStyle w:val="17"/>
        <w:spacing w:line="360" w:lineRule="auto"/>
        <w:jc w:val="center"/>
        <w:rPr>
          <w:rFonts w:hAnsi="宋体"/>
          <w:b/>
          <w:color w:val="auto"/>
          <w:sz w:val="32"/>
          <w:szCs w:val="32"/>
        </w:rPr>
      </w:pPr>
    </w:p>
    <w:p>
      <w:pPr>
        <w:pStyle w:val="17"/>
        <w:spacing w:line="360" w:lineRule="auto"/>
        <w:jc w:val="center"/>
        <w:rPr>
          <w:rFonts w:hAnsi="宋体"/>
          <w:b/>
          <w:color w:val="auto"/>
          <w:sz w:val="32"/>
          <w:szCs w:val="32"/>
        </w:rPr>
      </w:pPr>
    </w:p>
    <w:p>
      <w:pPr>
        <w:pStyle w:val="17"/>
        <w:spacing w:line="360" w:lineRule="auto"/>
        <w:jc w:val="center"/>
        <w:rPr>
          <w:rFonts w:hAnsi="宋体"/>
          <w:b/>
          <w:color w:val="auto"/>
          <w:sz w:val="44"/>
          <w:szCs w:val="44"/>
        </w:rPr>
      </w:pPr>
      <w:r>
        <w:rPr>
          <w:rFonts w:hint="eastAsia" w:hAnsi="宋体"/>
          <w:b/>
          <w:color w:val="auto"/>
          <w:sz w:val="44"/>
          <w:szCs w:val="44"/>
        </w:rPr>
        <w:t>（正本/副本/唱标信封）</w:t>
      </w:r>
    </w:p>
    <w:p>
      <w:pPr>
        <w:pStyle w:val="17"/>
        <w:spacing w:line="360" w:lineRule="auto"/>
        <w:jc w:val="center"/>
        <w:rPr>
          <w:rFonts w:hAnsi="宋体"/>
          <w:b/>
          <w:color w:val="auto"/>
          <w:sz w:val="32"/>
          <w:szCs w:val="32"/>
        </w:rPr>
      </w:pPr>
    </w:p>
    <w:p>
      <w:pPr>
        <w:pStyle w:val="17"/>
        <w:spacing w:line="360" w:lineRule="auto"/>
        <w:jc w:val="center"/>
        <w:rPr>
          <w:rFonts w:hAnsi="宋体"/>
          <w:b/>
          <w:color w:val="auto"/>
          <w:sz w:val="32"/>
          <w:szCs w:val="32"/>
        </w:rPr>
      </w:pPr>
    </w:p>
    <w:p>
      <w:pPr>
        <w:pStyle w:val="14"/>
        <w:spacing w:line="360" w:lineRule="auto"/>
        <w:ind w:firstLine="1124" w:firstLineChars="350"/>
        <w:rPr>
          <w:b/>
          <w:color w:val="auto"/>
          <w:sz w:val="32"/>
          <w:szCs w:val="32"/>
          <w:u w:val="thick"/>
        </w:rPr>
      </w:pPr>
      <w:r>
        <w:rPr>
          <w:rFonts w:hint="eastAsia"/>
          <w:b/>
          <w:color w:val="auto"/>
          <w:sz w:val="32"/>
          <w:szCs w:val="32"/>
        </w:rPr>
        <w:t>项目编号：</w:t>
      </w:r>
      <w:r>
        <w:rPr>
          <w:rFonts w:hint="eastAsia"/>
          <w:b/>
          <w:color w:val="auto"/>
          <w:sz w:val="32"/>
          <w:szCs w:val="32"/>
          <w:u w:val="thick"/>
        </w:rPr>
        <w:t xml:space="preserve">                                    </w:t>
      </w:r>
    </w:p>
    <w:p>
      <w:pPr>
        <w:pStyle w:val="14"/>
        <w:spacing w:line="360" w:lineRule="auto"/>
        <w:ind w:firstLine="1124" w:firstLineChars="350"/>
        <w:rPr>
          <w:rFonts w:hint="eastAsia"/>
          <w:b/>
          <w:color w:val="auto"/>
          <w:sz w:val="32"/>
          <w:szCs w:val="32"/>
          <w:u w:val="thick"/>
          <w:lang w:eastAsia="zh-CN"/>
        </w:rPr>
      </w:pPr>
      <w:r>
        <w:rPr>
          <w:rFonts w:hint="eastAsia"/>
          <w:b/>
          <w:color w:val="auto"/>
          <w:sz w:val="32"/>
          <w:szCs w:val="32"/>
        </w:rPr>
        <w:t xml:space="preserve">项目名称: </w:t>
      </w:r>
      <w:r>
        <w:rPr>
          <w:rFonts w:hint="eastAsia"/>
          <w:b/>
          <w:color w:val="auto"/>
          <w:sz w:val="32"/>
          <w:szCs w:val="32"/>
          <w:u w:val="thick"/>
        </w:rPr>
        <w:t xml:space="preserve">                                    </w:t>
      </w:r>
    </w:p>
    <w:p>
      <w:pPr>
        <w:pStyle w:val="14"/>
        <w:spacing w:line="360" w:lineRule="auto"/>
        <w:ind w:firstLine="1124" w:firstLineChars="350"/>
        <w:rPr>
          <w:b/>
          <w:color w:val="auto"/>
          <w:sz w:val="32"/>
          <w:szCs w:val="32"/>
          <w:u w:val="thick"/>
          <w:lang w:eastAsia="zh-CN"/>
        </w:rPr>
      </w:pPr>
      <w:r>
        <w:rPr>
          <w:rFonts w:hint="eastAsia"/>
          <w:b/>
          <w:color w:val="auto"/>
          <w:sz w:val="32"/>
          <w:szCs w:val="32"/>
        </w:rPr>
        <w:t>投标人名称（盖章）：</w:t>
      </w:r>
      <w:r>
        <w:rPr>
          <w:rFonts w:hint="eastAsia"/>
          <w:b/>
          <w:color w:val="auto"/>
          <w:sz w:val="32"/>
          <w:szCs w:val="32"/>
          <w:u w:val="thick"/>
        </w:rPr>
        <w:t xml:space="preserve">                          </w:t>
      </w:r>
    </w:p>
    <w:p>
      <w:pPr>
        <w:pStyle w:val="14"/>
        <w:spacing w:line="360" w:lineRule="auto"/>
        <w:ind w:firstLine="1124" w:firstLineChars="350"/>
        <w:rPr>
          <w:b/>
          <w:color w:val="auto"/>
          <w:sz w:val="32"/>
          <w:szCs w:val="32"/>
          <w:u w:val="thick"/>
        </w:rPr>
      </w:pPr>
      <w:r>
        <w:rPr>
          <w:rFonts w:hint="eastAsia"/>
          <w:b/>
          <w:color w:val="auto"/>
          <w:sz w:val="32"/>
          <w:szCs w:val="32"/>
        </w:rPr>
        <w:t>投标人地址：</w:t>
      </w:r>
      <w:r>
        <w:rPr>
          <w:rFonts w:hint="eastAsia"/>
          <w:b/>
          <w:color w:val="auto"/>
          <w:sz w:val="32"/>
          <w:szCs w:val="32"/>
          <w:u w:val="thick"/>
        </w:rPr>
        <w:t xml:space="preserve">                                  </w:t>
      </w:r>
    </w:p>
    <w:p>
      <w:pPr>
        <w:pStyle w:val="14"/>
        <w:spacing w:line="360" w:lineRule="auto"/>
        <w:ind w:firstLine="1124" w:firstLineChars="350"/>
        <w:rPr>
          <w:b/>
          <w:color w:val="auto"/>
          <w:sz w:val="32"/>
          <w:szCs w:val="32"/>
        </w:rPr>
      </w:pPr>
      <w:r>
        <w:rPr>
          <w:rFonts w:hint="eastAsia"/>
          <w:b/>
          <w:color w:val="auto"/>
          <w:sz w:val="32"/>
          <w:szCs w:val="32"/>
        </w:rPr>
        <w:t>联 系 人：</w:t>
      </w:r>
      <w:r>
        <w:rPr>
          <w:rFonts w:hint="eastAsia"/>
          <w:b/>
          <w:color w:val="auto"/>
          <w:sz w:val="32"/>
          <w:szCs w:val="32"/>
          <w:u w:val="thick"/>
        </w:rPr>
        <w:t xml:space="preserve">                                    </w:t>
      </w:r>
    </w:p>
    <w:p>
      <w:pPr>
        <w:pStyle w:val="14"/>
        <w:spacing w:line="360" w:lineRule="auto"/>
        <w:ind w:firstLine="1124" w:firstLineChars="350"/>
        <w:rPr>
          <w:b/>
          <w:color w:val="auto"/>
          <w:sz w:val="32"/>
          <w:szCs w:val="32"/>
        </w:rPr>
      </w:pPr>
      <w:r>
        <w:rPr>
          <w:rFonts w:hint="eastAsia"/>
          <w:b/>
          <w:color w:val="auto"/>
          <w:sz w:val="32"/>
          <w:szCs w:val="32"/>
        </w:rPr>
        <w:t>联系电话：</w:t>
      </w:r>
      <w:r>
        <w:rPr>
          <w:rFonts w:hint="eastAsia"/>
          <w:b/>
          <w:color w:val="auto"/>
          <w:sz w:val="32"/>
          <w:szCs w:val="32"/>
          <w:u w:val="thick"/>
        </w:rPr>
        <w:t xml:space="preserve">                                    </w:t>
      </w:r>
    </w:p>
    <w:p>
      <w:pPr>
        <w:autoSpaceDE w:val="0"/>
        <w:autoSpaceDN w:val="0"/>
        <w:adjustRightInd w:val="0"/>
        <w:spacing w:line="360" w:lineRule="auto"/>
        <w:rPr>
          <w:rFonts w:ascii="宋体" w:hAnsi="宋体" w:cs="黑体"/>
          <w:color w:val="auto"/>
          <w:kern w:val="0"/>
          <w:szCs w:val="18"/>
        </w:rPr>
      </w:pPr>
    </w:p>
    <w:p>
      <w:pPr>
        <w:pStyle w:val="13"/>
        <w:spacing w:line="360" w:lineRule="auto"/>
        <w:jc w:val="center"/>
        <w:outlineLvl w:val="1"/>
        <w:rPr>
          <w:rFonts w:ascii="宋体" w:hAnsi="宋体"/>
          <w:b/>
          <w:bCs/>
          <w:color w:val="auto"/>
          <w:sz w:val="32"/>
          <w:szCs w:val="32"/>
        </w:rPr>
      </w:pPr>
      <w:bookmarkStart w:id="59" w:name="_Toc385940899"/>
      <w:r>
        <w:rPr>
          <w:rFonts w:ascii="宋体" w:hAnsi="宋体"/>
          <w:b/>
          <w:bCs/>
          <w:color w:val="auto"/>
          <w:sz w:val="32"/>
          <w:szCs w:val="32"/>
        </w:rPr>
        <w:br w:type="page"/>
      </w:r>
      <w:r>
        <w:rPr>
          <w:rFonts w:hint="eastAsia" w:ascii="宋体" w:hAnsi="宋体"/>
          <w:b/>
          <w:bCs/>
          <w:color w:val="auto"/>
          <w:sz w:val="32"/>
          <w:szCs w:val="32"/>
        </w:rPr>
        <w:t>投标文件目录表</w:t>
      </w:r>
      <w:bookmarkEnd w:id="59"/>
    </w:p>
    <w:tbl>
      <w:tblPr>
        <w:tblStyle w:val="36"/>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007"/>
        <w:gridCol w:w="658"/>
        <w:gridCol w:w="4852"/>
        <w:gridCol w:w="753"/>
        <w:gridCol w:w="791"/>
        <w:gridCol w:w="782"/>
        <w:gridCol w:w="78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5" w:hRule="atLeast"/>
          <w:jc w:val="center"/>
        </w:trPr>
        <w:tc>
          <w:tcPr>
            <w:tcW w:w="523" w:type="pct"/>
            <w:vMerge w:val="restart"/>
            <w:tcBorders>
              <w:top w:val="single" w:color="auto" w:sz="12" w:space="0"/>
              <w:bottom w:val="single" w:color="auto" w:sz="2" w:space="0"/>
            </w:tcBorders>
            <w:noWrap w:val="0"/>
            <w:vAlign w:val="center"/>
          </w:tcPr>
          <w:p>
            <w:pPr>
              <w:autoSpaceDE w:val="0"/>
              <w:autoSpaceDN w:val="0"/>
              <w:adjustRightInd w:val="0"/>
              <w:spacing w:line="360" w:lineRule="atLeast"/>
              <w:jc w:val="center"/>
              <w:rPr>
                <w:rFonts w:ascii="宋体" w:hAnsi="宋体" w:cs="SimSun,Bold"/>
                <w:b/>
                <w:bCs/>
                <w:color w:val="auto"/>
                <w:kern w:val="0"/>
                <w:szCs w:val="21"/>
              </w:rPr>
            </w:pPr>
            <w:r>
              <w:rPr>
                <w:rFonts w:hint="eastAsia" w:ascii="宋体" w:hAnsi="宋体" w:cs="SimSun,Bold"/>
                <w:b/>
                <w:bCs/>
                <w:color w:val="auto"/>
                <w:kern w:val="0"/>
                <w:szCs w:val="21"/>
              </w:rPr>
              <w:t>文件类型</w:t>
            </w:r>
          </w:p>
        </w:tc>
        <w:tc>
          <w:tcPr>
            <w:tcW w:w="342" w:type="pct"/>
            <w:vMerge w:val="restart"/>
            <w:tcBorders>
              <w:top w:val="single" w:color="auto" w:sz="12" w:space="0"/>
              <w:bottom w:val="single" w:color="auto" w:sz="2" w:space="0"/>
            </w:tcBorders>
            <w:noWrap w:val="0"/>
            <w:vAlign w:val="center"/>
          </w:tcPr>
          <w:p>
            <w:pPr>
              <w:spacing w:line="360" w:lineRule="atLeast"/>
              <w:jc w:val="center"/>
              <w:rPr>
                <w:rFonts w:ascii="宋体" w:hAnsi="宋体" w:cs="SimSun,Bold"/>
                <w:b/>
                <w:bCs/>
                <w:color w:val="auto"/>
                <w:kern w:val="0"/>
                <w:szCs w:val="21"/>
              </w:rPr>
            </w:pPr>
            <w:r>
              <w:rPr>
                <w:rFonts w:hint="eastAsia" w:ascii="宋体" w:hAnsi="宋体" w:cs="SimSun,Bold"/>
                <w:b/>
                <w:bCs/>
                <w:color w:val="auto"/>
                <w:kern w:val="0"/>
                <w:szCs w:val="21"/>
              </w:rPr>
              <w:t>序号</w:t>
            </w:r>
          </w:p>
        </w:tc>
        <w:tc>
          <w:tcPr>
            <w:tcW w:w="2520" w:type="pct"/>
            <w:vMerge w:val="restart"/>
            <w:tcBorders>
              <w:top w:val="single" w:color="auto" w:sz="12" w:space="0"/>
              <w:bottom w:val="single" w:color="auto" w:sz="2" w:space="0"/>
            </w:tcBorders>
            <w:noWrap w:val="0"/>
            <w:vAlign w:val="center"/>
          </w:tcPr>
          <w:p>
            <w:pPr>
              <w:spacing w:line="360" w:lineRule="atLeast"/>
              <w:jc w:val="center"/>
              <w:rPr>
                <w:rFonts w:ascii="宋体" w:hAnsi="宋体" w:cs="SimSun,Bold"/>
                <w:b/>
                <w:bCs/>
                <w:color w:val="auto"/>
                <w:kern w:val="0"/>
                <w:szCs w:val="21"/>
              </w:rPr>
            </w:pPr>
            <w:r>
              <w:rPr>
                <w:rFonts w:hint="eastAsia" w:ascii="宋体" w:hAnsi="宋体" w:cs="SimSun,Bold"/>
                <w:b/>
                <w:bCs/>
                <w:color w:val="auto"/>
                <w:kern w:val="0"/>
                <w:szCs w:val="21"/>
              </w:rPr>
              <w:t>文件名称</w:t>
            </w:r>
          </w:p>
        </w:tc>
        <w:tc>
          <w:tcPr>
            <w:tcW w:w="802" w:type="pct"/>
            <w:gridSpan w:val="2"/>
            <w:tcBorders>
              <w:top w:val="single" w:color="auto" w:sz="12" w:space="0"/>
              <w:bottom w:val="single" w:color="auto" w:sz="2" w:space="0"/>
            </w:tcBorders>
            <w:noWrap w:val="0"/>
            <w:vAlign w:val="center"/>
          </w:tcPr>
          <w:p>
            <w:pPr>
              <w:spacing w:line="360" w:lineRule="atLeast"/>
              <w:jc w:val="center"/>
              <w:rPr>
                <w:rFonts w:ascii="宋体" w:hAnsi="宋体"/>
                <w:color w:val="auto"/>
              </w:rPr>
            </w:pPr>
            <w:r>
              <w:rPr>
                <w:rFonts w:hint="eastAsia" w:ascii="宋体" w:hAnsi="宋体" w:cs="SimSun,Bold"/>
                <w:b/>
                <w:bCs/>
                <w:color w:val="auto"/>
                <w:kern w:val="0"/>
                <w:szCs w:val="21"/>
              </w:rPr>
              <w:t>提交情况</w:t>
            </w:r>
          </w:p>
        </w:tc>
        <w:tc>
          <w:tcPr>
            <w:tcW w:w="406" w:type="pct"/>
            <w:tcBorders>
              <w:top w:val="single" w:color="auto" w:sz="12" w:space="0"/>
              <w:bottom w:val="single" w:color="auto" w:sz="2" w:space="0"/>
            </w:tcBorders>
            <w:noWrap w:val="0"/>
            <w:vAlign w:val="center"/>
          </w:tcPr>
          <w:p>
            <w:pPr>
              <w:autoSpaceDE w:val="0"/>
              <w:autoSpaceDN w:val="0"/>
              <w:adjustRightInd w:val="0"/>
              <w:spacing w:line="360" w:lineRule="atLeast"/>
              <w:jc w:val="center"/>
              <w:rPr>
                <w:rFonts w:ascii="宋体" w:hAnsi="宋体" w:cs="SimSun,Bold"/>
                <w:b/>
                <w:bCs/>
                <w:color w:val="auto"/>
                <w:kern w:val="0"/>
                <w:szCs w:val="21"/>
              </w:rPr>
            </w:pPr>
            <w:r>
              <w:rPr>
                <w:rFonts w:hint="eastAsia" w:ascii="宋体" w:hAnsi="宋体" w:cs="SimSun,Bold"/>
                <w:b/>
                <w:bCs/>
                <w:color w:val="auto"/>
                <w:kern w:val="0"/>
                <w:szCs w:val="21"/>
              </w:rPr>
              <w:t>页码</w:t>
            </w:r>
          </w:p>
        </w:tc>
        <w:tc>
          <w:tcPr>
            <w:tcW w:w="405" w:type="pct"/>
            <w:tcBorders>
              <w:top w:val="single" w:color="auto" w:sz="12" w:space="0"/>
              <w:bottom w:val="single" w:color="auto" w:sz="2" w:space="0"/>
            </w:tcBorders>
            <w:noWrap w:val="0"/>
            <w:vAlign w:val="center"/>
          </w:tcPr>
          <w:p>
            <w:pPr>
              <w:spacing w:line="360" w:lineRule="atLeast"/>
              <w:jc w:val="center"/>
              <w:rPr>
                <w:rFonts w:ascii="宋体" w:hAnsi="宋体"/>
                <w:color w:val="auto"/>
              </w:rPr>
            </w:pPr>
            <w:r>
              <w:rPr>
                <w:rFonts w:hint="eastAsia" w:ascii="宋体" w:hAnsi="宋体" w:cs="SimSun,Bold"/>
                <w:b/>
                <w:bCs/>
                <w:color w:val="auto"/>
                <w:kern w:val="0"/>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8" w:hRule="atLeast"/>
          <w:jc w:val="center"/>
        </w:trPr>
        <w:tc>
          <w:tcPr>
            <w:tcW w:w="523" w:type="pct"/>
            <w:vMerge w:val="continue"/>
            <w:tcBorders>
              <w:top w:val="single" w:color="auto" w:sz="2" w:space="0"/>
            </w:tcBorders>
            <w:shd w:val="clear" w:color="auto" w:fill="E0E0E0"/>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vMerge w:val="continue"/>
            <w:tcBorders>
              <w:top w:val="single" w:color="auto" w:sz="2" w:space="0"/>
              <w:bottom w:val="single" w:color="auto" w:sz="2" w:space="0"/>
            </w:tcBorders>
            <w:shd w:val="clear" w:color="auto" w:fill="E0E0E0"/>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2520" w:type="pct"/>
            <w:vMerge w:val="continue"/>
            <w:tcBorders>
              <w:top w:val="single" w:color="auto" w:sz="2" w:space="0"/>
            </w:tcBorders>
            <w:shd w:val="clear" w:color="auto" w:fill="E0E0E0"/>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91" w:type="pct"/>
            <w:tcBorders>
              <w:top w:val="single" w:color="auto" w:sz="2" w:space="0"/>
              <w:bottom w:val="single" w:color="auto" w:sz="2" w:space="0"/>
            </w:tcBorders>
            <w:noWrap w:val="0"/>
            <w:vAlign w:val="center"/>
          </w:tcPr>
          <w:p>
            <w:pPr>
              <w:autoSpaceDE w:val="0"/>
              <w:autoSpaceDN w:val="0"/>
              <w:adjustRightInd w:val="0"/>
              <w:spacing w:line="360" w:lineRule="atLeast"/>
              <w:jc w:val="center"/>
              <w:rPr>
                <w:rFonts w:ascii="宋体" w:hAnsi="宋体" w:cs="宋体"/>
                <w:color w:val="auto"/>
                <w:kern w:val="0"/>
                <w:szCs w:val="21"/>
              </w:rPr>
            </w:pPr>
            <w:r>
              <w:rPr>
                <w:rFonts w:hint="eastAsia" w:ascii="宋体" w:hAnsi="宋体" w:cs="宋体"/>
                <w:color w:val="auto"/>
                <w:kern w:val="0"/>
                <w:szCs w:val="21"/>
              </w:rPr>
              <w:t>有</w:t>
            </w:r>
          </w:p>
        </w:tc>
        <w:tc>
          <w:tcPr>
            <w:tcW w:w="411" w:type="pct"/>
            <w:tcBorders>
              <w:top w:val="single" w:color="auto" w:sz="2" w:space="0"/>
              <w:bottom w:val="single" w:color="auto" w:sz="2" w:space="0"/>
            </w:tcBorders>
            <w:noWrap w:val="0"/>
            <w:vAlign w:val="center"/>
          </w:tcPr>
          <w:p>
            <w:pPr>
              <w:autoSpaceDE w:val="0"/>
              <w:autoSpaceDN w:val="0"/>
              <w:adjustRightInd w:val="0"/>
              <w:spacing w:line="360" w:lineRule="atLeast"/>
              <w:jc w:val="center"/>
              <w:rPr>
                <w:rFonts w:ascii="宋体" w:hAnsi="宋体" w:cs="宋体"/>
                <w:color w:val="auto"/>
                <w:kern w:val="0"/>
                <w:szCs w:val="21"/>
              </w:rPr>
            </w:pPr>
            <w:r>
              <w:rPr>
                <w:rFonts w:hint="eastAsia" w:ascii="宋体" w:hAnsi="宋体" w:cs="宋体"/>
                <w:color w:val="auto"/>
                <w:kern w:val="0"/>
                <w:szCs w:val="21"/>
              </w:rPr>
              <w:t>无</w:t>
            </w:r>
          </w:p>
        </w:tc>
        <w:tc>
          <w:tcPr>
            <w:tcW w:w="406" w:type="pct"/>
            <w:tcBorders>
              <w:top w:val="single" w:color="auto" w:sz="2" w:space="0"/>
              <w:bottom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tcBorders>
              <w:top w:val="single" w:color="auto" w:sz="2" w:space="0"/>
              <w:bottom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restart"/>
            <w:noWrap w:val="0"/>
            <w:vAlign w:val="center"/>
          </w:tcPr>
          <w:p>
            <w:pPr>
              <w:autoSpaceDE w:val="0"/>
              <w:autoSpaceDN w:val="0"/>
              <w:adjustRightInd w:val="0"/>
              <w:spacing w:line="360" w:lineRule="atLeast"/>
              <w:jc w:val="center"/>
              <w:rPr>
                <w:rFonts w:hint="eastAsia" w:ascii="宋体" w:hAnsi="宋体" w:cs="宋体"/>
                <w:b/>
                <w:color w:val="auto"/>
                <w:kern w:val="0"/>
                <w:szCs w:val="21"/>
              </w:rPr>
            </w:pPr>
            <w:r>
              <w:rPr>
                <w:rFonts w:hint="eastAsia" w:ascii="宋体" w:hAnsi="宋体" w:cs="宋体"/>
                <w:b/>
                <w:color w:val="auto"/>
                <w:kern w:val="0"/>
                <w:szCs w:val="21"/>
              </w:rPr>
              <w:t>初审</w:t>
            </w:r>
          </w:p>
          <w:p>
            <w:pPr>
              <w:autoSpaceDE w:val="0"/>
              <w:autoSpaceDN w:val="0"/>
              <w:adjustRightInd w:val="0"/>
              <w:spacing w:line="360" w:lineRule="atLeast"/>
              <w:jc w:val="center"/>
              <w:rPr>
                <w:rFonts w:ascii="宋体" w:hAnsi="宋体" w:cs="宋体"/>
                <w:b/>
                <w:color w:val="auto"/>
                <w:kern w:val="0"/>
                <w:szCs w:val="21"/>
              </w:rPr>
            </w:pPr>
            <w:r>
              <w:rPr>
                <w:rFonts w:hint="eastAsia" w:ascii="宋体" w:hAnsi="宋体" w:cs="宋体"/>
                <w:b/>
                <w:color w:val="auto"/>
                <w:kern w:val="0"/>
                <w:szCs w:val="21"/>
              </w:rPr>
              <w:t>文件</w:t>
            </w:r>
          </w:p>
        </w:tc>
        <w:tc>
          <w:tcPr>
            <w:tcW w:w="342" w:type="pct"/>
            <w:tcBorders>
              <w:top w:val="single" w:color="auto" w:sz="2" w:space="0"/>
            </w:tcBorders>
            <w:noWrap w:val="0"/>
            <w:vAlign w:val="center"/>
          </w:tcPr>
          <w:p>
            <w:pPr>
              <w:numPr>
                <w:ilvl w:val="0"/>
                <w:numId w:val="59"/>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rPr>
                <w:rFonts w:ascii="宋体" w:hAnsi="宋体" w:cs="宋体"/>
                <w:color w:val="auto"/>
                <w:kern w:val="0"/>
                <w:szCs w:val="21"/>
              </w:rPr>
            </w:pPr>
            <w:r>
              <w:rPr>
                <w:rFonts w:hint="eastAsia" w:ascii="宋体" w:hAnsi="宋体" w:cs="宋体"/>
                <w:color w:val="auto"/>
                <w:kern w:val="0"/>
                <w:szCs w:val="21"/>
              </w:rPr>
              <w:t>投标函（格式1）</w:t>
            </w:r>
          </w:p>
        </w:tc>
        <w:tc>
          <w:tcPr>
            <w:tcW w:w="391" w:type="pct"/>
            <w:tcBorders>
              <w:top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tcBorders>
              <w:top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tcBorders>
              <w:top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tcBorders>
              <w:top w:val="single" w:color="auto" w:sz="2" w:space="0"/>
            </w:tcBorders>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cs="宋体"/>
                <w:color w:val="auto"/>
                <w:kern w:val="0"/>
                <w:szCs w:val="21"/>
              </w:rPr>
              <w:t>资格文件声明函（格式2）</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hint="eastAsia"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b/>
                <w:color w:val="auto"/>
                <w:kern w:val="0"/>
                <w:szCs w:val="21"/>
              </w:rPr>
            </w:pPr>
            <w:r>
              <w:rPr>
                <w:rFonts w:hint="eastAsia" w:ascii="宋体" w:hAnsi="宋体" w:cs="宋体"/>
                <w:color w:val="auto"/>
                <w:kern w:val="0"/>
                <w:szCs w:val="21"/>
              </w:rPr>
              <w:t>法定代表人（负责人）证明书（格式3）</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hint="eastAsia"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cs="宋体"/>
                <w:color w:val="auto"/>
                <w:kern w:val="0"/>
                <w:szCs w:val="21"/>
              </w:rPr>
              <w:t>法定代表人授权委托书（格式4）</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hint="eastAsia"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hint="eastAsia" w:ascii="宋体" w:hAnsi="宋体" w:cs="宋体"/>
                <w:color w:val="auto"/>
                <w:kern w:val="0"/>
                <w:szCs w:val="21"/>
              </w:rPr>
            </w:pPr>
            <w:r>
              <w:rPr>
                <w:rFonts w:hint="eastAsia" w:ascii="宋体" w:hAnsi="宋体" w:cs="宋体"/>
                <w:color w:val="auto"/>
                <w:kern w:val="0"/>
                <w:szCs w:val="21"/>
              </w:rPr>
              <w:t>开标一览表（格式5）</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hint="eastAsia"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cs="宋体"/>
                <w:color w:val="auto"/>
                <w:kern w:val="0"/>
                <w:szCs w:val="21"/>
              </w:rPr>
              <w:t>投标分项报价表（格式6）</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hint="eastAsia"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cs="宋体"/>
                <w:color w:val="auto"/>
                <w:kern w:val="0"/>
                <w:szCs w:val="21"/>
              </w:rPr>
              <w:t>★实质性指标响应表（格式</w:t>
            </w:r>
            <w:r>
              <w:rPr>
                <w:rFonts w:ascii="宋体" w:hAnsi="宋体" w:cs="宋体"/>
                <w:color w:val="auto"/>
                <w:kern w:val="0"/>
                <w:szCs w:val="21"/>
              </w:rPr>
              <w:t>7</w:t>
            </w:r>
            <w:r>
              <w:rPr>
                <w:rFonts w:hint="eastAsia" w:ascii="宋体" w:hAnsi="宋体" w:cs="宋体"/>
                <w:color w:val="auto"/>
                <w:kern w:val="0"/>
                <w:szCs w:val="21"/>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rPr>
                <w:rFonts w:hint="eastAsia" w:ascii="宋体" w:hAnsi="宋体"/>
                <w:bCs/>
                <w:color w:val="auto"/>
                <w:szCs w:val="20"/>
              </w:rPr>
            </w:pPr>
            <w:r>
              <w:rPr>
                <w:rFonts w:hint="eastAsia" w:ascii="宋体" w:hAnsi="宋体"/>
                <w:bCs/>
                <w:color w:val="auto"/>
                <w:szCs w:val="20"/>
              </w:rPr>
              <w:t>（1）</w:t>
            </w:r>
            <w:r>
              <w:rPr>
                <w:rFonts w:hint="eastAsia" w:ascii="宋体" w:hAnsi="宋体"/>
                <w:bCs/>
                <w:color w:val="auto"/>
                <w:szCs w:val="20"/>
              </w:rPr>
              <w:tab/>
            </w:r>
            <w:r>
              <w:rPr>
                <w:rFonts w:hint="eastAsia" w:ascii="宋体" w:hAnsi="宋体"/>
                <w:bCs/>
                <w:color w:val="auto"/>
                <w:szCs w:val="20"/>
              </w:rPr>
              <w:t>具有独立承担民事责任能力的在中华人民共和国境内注册的法人或其他组织（提供有效的营业执照或事业单位法人证书，或社会团体法人登记证书，或执业许可证复印件；分支机构投标的，还须提供具有法人资格的总公司的营业执照副本复印件及授权书，授权书须加盖总公司公章）；</w:t>
            </w:r>
          </w:p>
          <w:p>
            <w:pPr>
              <w:rPr>
                <w:rFonts w:hint="eastAsia" w:ascii="宋体" w:hAnsi="宋体"/>
                <w:bCs/>
                <w:color w:val="auto"/>
                <w:szCs w:val="20"/>
              </w:rPr>
            </w:pPr>
            <w:r>
              <w:rPr>
                <w:rFonts w:hint="eastAsia" w:ascii="宋体" w:hAnsi="宋体"/>
                <w:bCs/>
                <w:color w:val="auto"/>
                <w:szCs w:val="20"/>
              </w:rPr>
              <w:t>（2）</w:t>
            </w:r>
            <w:r>
              <w:rPr>
                <w:rFonts w:hint="eastAsia" w:ascii="宋体" w:hAnsi="宋体"/>
                <w:bCs/>
                <w:color w:val="auto"/>
                <w:szCs w:val="20"/>
              </w:rPr>
              <w:tab/>
            </w:r>
            <w:r>
              <w:rPr>
                <w:rFonts w:hint="eastAsia" w:ascii="宋体" w:hAnsi="宋体"/>
                <w:bCs/>
                <w:color w:val="auto"/>
                <w:szCs w:val="20"/>
              </w:rPr>
              <w:t>具有良好的商业信誉和健全的财务会计制度（提供2022年或2023年财务状况报告或基本开户行出具的资信证明）；</w:t>
            </w:r>
          </w:p>
          <w:p>
            <w:pPr>
              <w:rPr>
                <w:rFonts w:hint="eastAsia" w:ascii="宋体" w:hAnsi="宋体"/>
                <w:bCs/>
                <w:color w:val="auto"/>
                <w:szCs w:val="20"/>
              </w:rPr>
            </w:pPr>
            <w:r>
              <w:rPr>
                <w:rFonts w:hint="eastAsia" w:ascii="宋体" w:hAnsi="宋体"/>
                <w:bCs/>
                <w:color w:val="auto"/>
                <w:szCs w:val="20"/>
              </w:rPr>
              <w:t>（3）</w:t>
            </w:r>
            <w:r>
              <w:rPr>
                <w:rFonts w:hint="eastAsia" w:ascii="宋体" w:hAnsi="宋体"/>
                <w:bCs/>
                <w:color w:val="auto"/>
                <w:szCs w:val="20"/>
              </w:rPr>
              <w:tab/>
            </w:r>
            <w:r>
              <w:rPr>
                <w:rFonts w:hint="eastAsia" w:ascii="宋体" w:hAnsi="宋体"/>
                <w:bCs/>
                <w:color w:val="auto"/>
                <w:szCs w:val="20"/>
              </w:rPr>
              <w:t>有依法缴纳税收和社会保障资金的良好记录（提供投标截止日前 6个月内任意1个月依法缴纳税收和社会保障资金的相关材料。如依法免税或不需要缴纳社会保障资金的，提供相应证明材料）；</w:t>
            </w:r>
          </w:p>
          <w:p>
            <w:pPr>
              <w:rPr>
                <w:rFonts w:hint="eastAsia" w:ascii="宋体" w:hAnsi="宋体"/>
                <w:bCs/>
                <w:color w:val="auto"/>
                <w:szCs w:val="20"/>
              </w:rPr>
            </w:pPr>
            <w:r>
              <w:rPr>
                <w:rFonts w:hint="eastAsia" w:ascii="宋体" w:hAnsi="宋体"/>
                <w:bCs/>
                <w:color w:val="auto"/>
                <w:szCs w:val="20"/>
              </w:rPr>
              <w:t>（4）</w:t>
            </w:r>
            <w:r>
              <w:rPr>
                <w:rFonts w:hint="eastAsia" w:ascii="宋体" w:hAnsi="宋体"/>
                <w:bCs/>
                <w:color w:val="auto"/>
                <w:szCs w:val="20"/>
              </w:rPr>
              <w:tab/>
            </w:r>
            <w:r>
              <w:rPr>
                <w:rFonts w:hint="eastAsia" w:ascii="宋体" w:hAnsi="宋体"/>
                <w:bCs/>
                <w:color w:val="auto"/>
                <w:szCs w:val="20"/>
              </w:rPr>
              <w:tab/>
            </w:r>
            <w:r>
              <w:rPr>
                <w:rFonts w:hint="eastAsia" w:ascii="宋体" w:hAnsi="宋体"/>
                <w:bCs/>
                <w:color w:val="auto"/>
                <w:szCs w:val="20"/>
              </w:rPr>
              <w:t>具有履行合同所必需的设备和专业技术能力（提供书面声明函）；</w:t>
            </w:r>
          </w:p>
          <w:p>
            <w:pPr>
              <w:rPr>
                <w:rFonts w:hint="eastAsia" w:ascii="宋体" w:hAnsi="宋体"/>
                <w:bCs/>
                <w:color w:val="auto"/>
                <w:szCs w:val="20"/>
              </w:rPr>
            </w:pPr>
            <w:r>
              <w:rPr>
                <w:rFonts w:hint="eastAsia" w:ascii="宋体" w:hAnsi="宋体"/>
                <w:bCs/>
                <w:color w:val="auto"/>
                <w:szCs w:val="20"/>
              </w:rPr>
              <w:t>（5）</w:t>
            </w:r>
            <w:r>
              <w:rPr>
                <w:rFonts w:hint="eastAsia" w:ascii="宋体" w:hAnsi="宋体"/>
                <w:bCs/>
                <w:color w:val="auto"/>
                <w:szCs w:val="20"/>
              </w:rPr>
              <w:tab/>
            </w:r>
            <w:r>
              <w:rPr>
                <w:rFonts w:hint="eastAsia" w:ascii="宋体" w:hAnsi="宋体"/>
                <w:bCs/>
                <w:color w:val="auto"/>
                <w:szCs w:val="20"/>
              </w:rPr>
              <w:t>投标人承诺在过往三年内没有违法违规行为或违反合同约定行为（提供书面声明函）；</w:t>
            </w:r>
          </w:p>
          <w:p>
            <w:pPr>
              <w:rPr>
                <w:rFonts w:hint="eastAsia" w:ascii="宋体" w:hAnsi="宋体"/>
                <w:bCs/>
                <w:color w:val="auto"/>
                <w:szCs w:val="20"/>
              </w:rPr>
            </w:pPr>
            <w:r>
              <w:rPr>
                <w:rFonts w:hint="eastAsia" w:ascii="宋体" w:hAnsi="宋体"/>
                <w:bCs/>
                <w:color w:val="auto"/>
                <w:szCs w:val="20"/>
              </w:rPr>
              <w:t>（6）</w:t>
            </w:r>
            <w:r>
              <w:rPr>
                <w:rFonts w:hint="eastAsia" w:ascii="宋体" w:hAnsi="宋体"/>
                <w:bCs/>
                <w:color w:val="auto"/>
                <w:szCs w:val="20"/>
              </w:rPr>
              <w:tab/>
            </w:r>
            <w:r>
              <w:rPr>
                <w:rFonts w:hint="eastAsia" w:ascii="宋体" w:hAnsi="宋体"/>
                <w:bCs/>
                <w:color w:val="auto"/>
                <w:szCs w:val="20"/>
              </w:rPr>
              <w:t>单位负责人为同一人或者存在控股、管理关系的不同投标人，不得同时参加本采购项目同一合同项下的投标（提供书面承诺）；</w:t>
            </w:r>
          </w:p>
          <w:p>
            <w:pPr>
              <w:rPr>
                <w:rFonts w:hint="eastAsia" w:ascii="宋体" w:hAnsi="宋体"/>
                <w:bCs/>
                <w:color w:val="auto"/>
                <w:szCs w:val="20"/>
              </w:rPr>
            </w:pPr>
            <w:r>
              <w:rPr>
                <w:rFonts w:hint="eastAsia" w:ascii="宋体" w:hAnsi="宋体"/>
                <w:bCs/>
                <w:color w:val="auto"/>
                <w:szCs w:val="20"/>
              </w:rPr>
              <w:t>（7）</w:t>
            </w:r>
            <w:r>
              <w:rPr>
                <w:rFonts w:hint="eastAsia" w:ascii="宋体" w:hAnsi="宋体"/>
                <w:bCs/>
                <w:color w:val="auto"/>
                <w:szCs w:val="20"/>
              </w:rPr>
              <w:tab/>
            </w:r>
            <w:r>
              <w:rPr>
                <w:rFonts w:hint="eastAsia" w:ascii="宋体" w:hAnsi="宋体"/>
                <w:bCs/>
                <w:color w:val="auto"/>
                <w:szCs w:val="20"/>
              </w:rPr>
              <w:t>为采购项目提供整体设计、规范编制或者项目管理、监理、检测等服务的投标人，不得再参加本采购项目的其他采购活动（提供书面承诺）；</w:t>
            </w:r>
          </w:p>
          <w:p>
            <w:pPr>
              <w:rPr>
                <w:rFonts w:hint="eastAsia" w:ascii="宋体" w:hAnsi="宋体"/>
                <w:bCs/>
                <w:color w:val="auto"/>
                <w:szCs w:val="20"/>
              </w:rPr>
            </w:pPr>
            <w:r>
              <w:rPr>
                <w:rFonts w:hint="eastAsia" w:ascii="宋体" w:hAnsi="宋体"/>
                <w:bCs/>
                <w:color w:val="auto"/>
                <w:szCs w:val="20"/>
              </w:rPr>
              <w:t>（8）</w:t>
            </w:r>
            <w:r>
              <w:rPr>
                <w:rFonts w:hint="eastAsia" w:ascii="宋体" w:hAnsi="宋体"/>
                <w:bCs/>
                <w:color w:val="auto"/>
                <w:szCs w:val="20"/>
              </w:rPr>
              <w:tab/>
            </w:r>
            <w:r>
              <w:rPr>
                <w:rFonts w:hint="eastAsia" w:ascii="宋体" w:hAnsi="宋体"/>
                <w:bCs/>
                <w:color w:val="auto"/>
                <w:szCs w:val="20"/>
              </w:rPr>
              <w:t>投标人已进驻广东政府采购智慧云平台电子卖场（定点集市互联网接入服务类），提供已进驻电子卖场的相关平台截图作为证明材料；</w:t>
            </w:r>
          </w:p>
          <w:p>
            <w:pPr>
              <w:rPr>
                <w:rFonts w:hint="eastAsia" w:ascii="宋体" w:hAnsi="宋体"/>
                <w:bCs/>
                <w:color w:val="auto"/>
                <w:szCs w:val="20"/>
              </w:rPr>
            </w:pPr>
            <w:r>
              <w:rPr>
                <w:rFonts w:hint="eastAsia" w:ascii="宋体" w:hAnsi="宋体"/>
                <w:color w:val="auto"/>
                <w:szCs w:val="21"/>
              </w:rPr>
              <w:t>（9）本项目不属于专门面向中小企业采购的项目；</w:t>
            </w:r>
          </w:p>
          <w:p>
            <w:pPr>
              <w:rPr>
                <w:rFonts w:hint="eastAsia" w:ascii="宋体" w:hAnsi="宋体"/>
                <w:bCs/>
                <w:color w:val="auto"/>
                <w:szCs w:val="20"/>
              </w:rPr>
            </w:pPr>
            <w:r>
              <w:rPr>
                <w:rFonts w:hint="eastAsia" w:ascii="宋体" w:hAnsi="宋体"/>
                <w:bCs/>
                <w:color w:val="auto"/>
                <w:szCs w:val="20"/>
              </w:rPr>
              <w:t>（</w:t>
            </w:r>
            <w:r>
              <w:rPr>
                <w:rFonts w:ascii="宋体" w:hAnsi="宋体"/>
                <w:bCs/>
                <w:color w:val="auto"/>
                <w:szCs w:val="20"/>
              </w:rPr>
              <w:t>10</w:t>
            </w:r>
            <w:r>
              <w:rPr>
                <w:rFonts w:hint="eastAsia" w:ascii="宋体" w:hAnsi="宋体"/>
                <w:bCs/>
                <w:color w:val="auto"/>
                <w:szCs w:val="20"/>
              </w:rPr>
              <w:t>）</w:t>
            </w:r>
            <w:r>
              <w:rPr>
                <w:rFonts w:hint="eastAsia" w:ascii="宋体" w:hAnsi="宋体"/>
                <w:bCs/>
                <w:color w:val="auto"/>
                <w:szCs w:val="20"/>
              </w:rPr>
              <w:tab/>
            </w:r>
            <w:r>
              <w:rPr>
                <w:rFonts w:hint="eastAsia" w:ascii="宋体" w:hAnsi="宋体"/>
                <w:bCs/>
                <w:color w:val="auto"/>
                <w:szCs w:val="20"/>
              </w:rPr>
              <w:t>本项目不接受联合体投标；</w:t>
            </w:r>
          </w:p>
          <w:p>
            <w:pPr>
              <w:rPr>
                <w:rFonts w:ascii="宋体" w:hAnsi="宋体"/>
                <w:bCs/>
                <w:color w:val="auto"/>
                <w:szCs w:val="20"/>
              </w:rPr>
            </w:pPr>
            <w:r>
              <w:rPr>
                <w:rFonts w:hint="eastAsia" w:ascii="宋体" w:hAnsi="宋体"/>
                <w:bCs/>
                <w:color w:val="auto"/>
                <w:szCs w:val="20"/>
              </w:rPr>
              <w:t>（</w:t>
            </w:r>
            <w:r>
              <w:rPr>
                <w:rFonts w:ascii="宋体" w:hAnsi="宋体"/>
                <w:bCs/>
                <w:color w:val="auto"/>
                <w:szCs w:val="20"/>
              </w:rPr>
              <w:t>11</w:t>
            </w:r>
            <w:r>
              <w:rPr>
                <w:rFonts w:hint="eastAsia" w:ascii="宋体" w:hAnsi="宋体"/>
                <w:bCs/>
                <w:color w:val="auto"/>
                <w:szCs w:val="20"/>
              </w:rPr>
              <w:t>）已登记报名并购买了招标文件。</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59"/>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ascii="宋体" w:hAnsi="宋体"/>
                <w:color w:val="auto"/>
              </w:rPr>
              <w:t>其</w:t>
            </w:r>
            <w:r>
              <w:rPr>
                <w:rFonts w:hint="eastAsia" w:ascii="宋体" w:hAnsi="宋体"/>
                <w:color w:val="auto"/>
              </w:rPr>
              <w:t>它初审部分文件</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restart"/>
            <w:noWrap w:val="0"/>
            <w:vAlign w:val="center"/>
          </w:tcPr>
          <w:p>
            <w:pPr>
              <w:autoSpaceDE w:val="0"/>
              <w:autoSpaceDN w:val="0"/>
              <w:adjustRightInd w:val="0"/>
              <w:spacing w:line="360" w:lineRule="atLeast"/>
              <w:jc w:val="center"/>
              <w:rPr>
                <w:rFonts w:hint="eastAsia" w:ascii="宋体" w:hAnsi="宋体" w:cs="宋体"/>
                <w:b/>
                <w:color w:val="auto"/>
                <w:kern w:val="0"/>
                <w:szCs w:val="21"/>
              </w:rPr>
            </w:pPr>
            <w:r>
              <w:rPr>
                <w:rFonts w:hint="eastAsia" w:ascii="宋体" w:hAnsi="宋体" w:cs="宋体"/>
                <w:b/>
                <w:color w:val="auto"/>
                <w:kern w:val="0"/>
                <w:szCs w:val="21"/>
              </w:rPr>
              <w:t>商务</w:t>
            </w:r>
          </w:p>
          <w:p>
            <w:pPr>
              <w:autoSpaceDE w:val="0"/>
              <w:autoSpaceDN w:val="0"/>
              <w:adjustRightInd w:val="0"/>
              <w:spacing w:line="360" w:lineRule="atLeast"/>
              <w:jc w:val="center"/>
              <w:rPr>
                <w:rFonts w:hint="eastAsia" w:ascii="宋体" w:hAnsi="宋体" w:cs="宋体"/>
                <w:b/>
                <w:color w:val="auto"/>
                <w:kern w:val="0"/>
                <w:szCs w:val="21"/>
              </w:rPr>
            </w:pPr>
            <w:r>
              <w:rPr>
                <w:rFonts w:hint="eastAsia" w:ascii="宋体" w:hAnsi="宋体" w:cs="宋体"/>
                <w:b/>
                <w:color w:val="auto"/>
                <w:kern w:val="0"/>
                <w:szCs w:val="21"/>
              </w:rPr>
              <w:t>部分</w:t>
            </w:r>
          </w:p>
          <w:p>
            <w:pPr>
              <w:autoSpaceDE w:val="0"/>
              <w:autoSpaceDN w:val="0"/>
              <w:adjustRightInd w:val="0"/>
              <w:spacing w:line="360" w:lineRule="atLeast"/>
              <w:jc w:val="center"/>
              <w:rPr>
                <w:rFonts w:ascii="宋体" w:hAnsi="宋体" w:cs="宋体"/>
                <w:b/>
                <w:color w:val="auto"/>
                <w:kern w:val="0"/>
                <w:szCs w:val="21"/>
              </w:rPr>
            </w:pPr>
            <w:r>
              <w:rPr>
                <w:rFonts w:hint="eastAsia" w:ascii="宋体" w:hAnsi="宋体" w:cs="宋体"/>
                <w:b/>
                <w:color w:val="auto"/>
                <w:kern w:val="0"/>
                <w:szCs w:val="21"/>
              </w:rPr>
              <w:t>文件</w:t>
            </w: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cs="宋体"/>
                <w:color w:val="auto"/>
                <w:kern w:val="0"/>
                <w:szCs w:val="21"/>
              </w:rPr>
              <w:t>投标人基本情况表（格式</w:t>
            </w:r>
            <w:r>
              <w:rPr>
                <w:rFonts w:ascii="宋体" w:hAnsi="宋体" w:cs="宋体"/>
                <w:color w:val="auto"/>
                <w:kern w:val="0"/>
                <w:szCs w:val="21"/>
              </w:rPr>
              <w:t>8</w:t>
            </w:r>
            <w:r>
              <w:rPr>
                <w:rFonts w:hint="eastAsia" w:ascii="宋体" w:hAnsi="宋体" w:cs="宋体"/>
                <w:color w:val="auto"/>
                <w:kern w:val="0"/>
                <w:szCs w:val="21"/>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hint="eastAsia" w:ascii="宋体" w:hAnsi="宋体"/>
                <w:color w:val="auto"/>
              </w:rPr>
            </w:pPr>
            <w:r>
              <w:rPr>
                <w:rFonts w:hint="eastAsia" w:ascii="宋体" w:hAnsi="宋体"/>
                <w:color w:val="auto"/>
              </w:rPr>
              <w:t>本项目管理人员及技术人员名单</w:t>
            </w:r>
            <w:r>
              <w:rPr>
                <w:rFonts w:hint="eastAsia" w:ascii="宋体" w:hAnsi="宋体" w:cs="宋体"/>
                <w:color w:val="auto"/>
                <w:kern w:val="0"/>
                <w:szCs w:val="21"/>
              </w:rPr>
              <w:t>（格式9）</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bCs/>
                <w:color w:val="auto"/>
                <w:szCs w:val="21"/>
              </w:rPr>
              <w:t>投标人拟派项目经理（仅1人）经验及资质能力水平情况</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hint="eastAsia" w:ascii="宋体" w:hAnsi="宋体"/>
                <w:bCs/>
                <w:color w:val="auto"/>
                <w:szCs w:val="21"/>
              </w:rPr>
              <w:t>投标人拟派任本项目的技术负责人（仅1人，项目经理除外）</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olor w:val="auto"/>
              </w:rPr>
            </w:pPr>
            <w:r>
              <w:rPr>
                <w:rFonts w:hint="eastAsia" w:ascii="宋体" w:hAnsi="宋体" w:cs="宋体"/>
                <w:color w:val="auto"/>
                <w:szCs w:val="21"/>
              </w:rPr>
              <w:t>项目主要技术管理人员情况（项目经理、技术负责人除外）</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olor w:val="auto"/>
              </w:rPr>
            </w:pPr>
            <w:r>
              <w:rPr>
                <w:rFonts w:hint="eastAsia" w:ascii="宋体" w:hAnsi="宋体"/>
                <w:color w:val="auto"/>
                <w:szCs w:val="21"/>
              </w:rPr>
              <w:t>企业质量管理认证证书</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3"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0"/>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exact"/>
              <w:rPr>
                <w:rFonts w:ascii="宋体" w:hAnsi="宋体"/>
                <w:color w:val="auto"/>
              </w:rPr>
            </w:pPr>
            <w:r>
              <w:rPr>
                <w:rFonts w:ascii="宋体" w:hAnsi="宋体"/>
                <w:color w:val="auto"/>
              </w:rPr>
              <w:t>其</w:t>
            </w:r>
            <w:r>
              <w:rPr>
                <w:rFonts w:hint="eastAsia" w:ascii="宋体" w:hAnsi="宋体"/>
                <w:color w:val="auto"/>
              </w:rPr>
              <w:t>它商务部分文件</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restart"/>
            <w:noWrap w:val="0"/>
            <w:vAlign w:val="center"/>
          </w:tcPr>
          <w:p>
            <w:pPr>
              <w:autoSpaceDE w:val="0"/>
              <w:autoSpaceDN w:val="0"/>
              <w:adjustRightInd w:val="0"/>
              <w:spacing w:line="360" w:lineRule="atLeast"/>
              <w:jc w:val="center"/>
              <w:rPr>
                <w:rFonts w:hint="eastAsia" w:ascii="宋体" w:hAnsi="宋体" w:cs="宋体"/>
                <w:b/>
                <w:color w:val="auto"/>
                <w:kern w:val="0"/>
                <w:szCs w:val="21"/>
              </w:rPr>
            </w:pPr>
            <w:r>
              <w:rPr>
                <w:rFonts w:hint="eastAsia" w:ascii="宋体" w:hAnsi="宋体" w:cs="宋体"/>
                <w:b/>
                <w:color w:val="auto"/>
                <w:kern w:val="0"/>
                <w:szCs w:val="21"/>
              </w:rPr>
              <w:t>技术</w:t>
            </w:r>
          </w:p>
          <w:p>
            <w:pPr>
              <w:autoSpaceDE w:val="0"/>
              <w:autoSpaceDN w:val="0"/>
              <w:adjustRightInd w:val="0"/>
              <w:spacing w:line="360" w:lineRule="atLeast"/>
              <w:jc w:val="center"/>
              <w:rPr>
                <w:rFonts w:hint="eastAsia" w:ascii="宋体" w:hAnsi="宋体" w:cs="宋体"/>
                <w:b/>
                <w:color w:val="auto"/>
                <w:kern w:val="0"/>
                <w:szCs w:val="21"/>
              </w:rPr>
            </w:pPr>
            <w:r>
              <w:rPr>
                <w:rFonts w:hint="eastAsia" w:ascii="宋体" w:hAnsi="宋体" w:cs="宋体"/>
                <w:b/>
                <w:color w:val="auto"/>
                <w:kern w:val="0"/>
                <w:szCs w:val="21"/>
              </w:rPr>
              <w:t>部分</w:t>
            </w:r>
          </w:p>
          <w:p>
            <w:pPr>
              <w:autoSpaceDE w:val="0"/>
              <w:autoSpaceDN w:val="0"/>
              <w:adjustRightInd w:val="0"/>
              <w:spacing w:line="360" w:lineRule="atLeast"/>
              <w:jc w:val="center"/>
              <w:rPr>
                <w:rFonts w:ascii="宋体" w:hAnsi="宋体" w:cs="宋体"/>
                <w:color w:val="auto"/>
                <w:kern w:val="0"/>
                <w:szCs w:val="21"/>
              </w:rPr>
            </w:pPr>
            <w:r>
              <w:rPr>
                <w:rFonts w:hint="eastAsia" w:ascii="宋体" w:hAnsi="宋体" w:cs="宋体"/>
                <w:b/>
                <w:color w:val="auto"/>
                <w:kern w:val="0"/>
                <w:szCs w:val="21"/>
              </w:rPr>
              <w:t>文件</w:t>
            </w: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s="宋体"/>
                <w:color w:val="auto"/>
                <w:kern w:val="0"/>
                <w:szCs w:val="21"/>
              </w:rPr>
            </w:pPr>
            <w:r>
              <w:rPr>
                <w:rFonts w:hint="eastAsia" w:ascii="宋体" w:hAnsi="宋体" w:cs="宋体"/>
                <w:color w:val="auto"/>
                <w:kern w:val="0"/>
                <w:szCs w:val="21"/>
              </w:rPr>
              <w:t>用户需求响应表（格式10）</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s="宋体"/>
                <w:color w:val="auto"/>
                <w:kern w:val="0"/>
                <w:szCs w:val="21"/>
              </w:rPr>
            </w:pPr>
            <w:r>
              <w:rPr>
                <w:rFonts w:hint="eastAsia" w:ascii="宋体" w:hAnsi="宋体" w:cs="宋体"/>
                <w:color w:val="auto"/>
                <w:szCs w:val="21"/>
              </w:rPr>
              <w:t>总体技术方案</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olor w:val="auto"/>
              </w:rPr>
            </w:pPr>
            <w:r>
              <w:rPr>
                <w:rFonts w:hint="eastAsia" w:ascii="宋体" w:hAnsi="宋体"/>
                <w:color w:val="auto"/>
                <w:szCs w:val="21"/>
              </w:rPr>
              <w:t>2Gbps</w:t>
            </w:r>
            <w:r>
              <w:rPr>
                <w:rFonts w:hint="eastAsia" w:ascii="宋体" w:hAnsi="宋体" w:cs="宋体"/>
                <w:color w:val="auto"/>
                <w:szCs w:val="21"/>
              </w:rPr>
              <w:t>上下行对等互联网出口带宽与招标文件中所列的3个站点的平均时延（ping）时间</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s="宋体"/>
                <w:color w:val="auto"/>
                <w:kern w:val="0"/>
                <w:szCs w:val="21"/>
              </w:rPr>
            </w:pPr>
            <w:r>
              <w:rPr>
                <w:rFonts w:hint="eastAsia" w:ascii="宋体" w:hAnsi="宋体" w:cs="宋体"/>
                <w:color w:val="auto"/>
                <w:szCs w:val="21"/>
              </w:rPr>
              <w:t>投标人在中国大陆拥有的IPV4地址总数</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s="宋体"/>
                <w:color w:val="auto"/>
                <w:szCs w:val="21"/>
              </w:rPr>
            </w:pPr>
            <w:r>
              <w:rPr>
                <w:rFonts w:hint="eastAsia" w:ascii="宋体" w:hAnsi="宋体" w:cs="宋体"/>
                <w:color w:val="auto"/>
                <w:szCs w:val="21"/>
              </w:rPr>
              <w:t>投标人在中国大陆拥有的IPV6地址总数</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s="宋体"/>
                <w:color w:val="auto"/>
                <w:szCs w:val="21"/>
              </w:rPr>
            </w:pPr>
            <w:r>
              <w:rPr>
                <w:rFonts w:hint="eastAsia" w:ascii="宋体" w:hAnsi="宋体" w:cs="宋体"/>
                <w:color w:val="auto"/>
                <w:szCs w:val="21"/>
              </w:rPr>
              <w:t>能否沿用原来的IP地址，保证现有网络互联网出口IP地址平滑过渡</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s="宋体"/>
                <w:color w:val="auto"/>
                <w:szCs w:val="21"/>
              </w:rPr>
            </w:pPr>
            <w:r>
              <w:rPr>
                <w:rFonts w:hint="eastAsia" w:ascii="宋体" w:hAnsi="宋体" w:cs="宋体"/>
                <w:bCs/>
                <w:color w:val="auto"/>
                <w:szCs w:val="21"/>
              </w:rPr>
              <w:t>售后服务响应情况</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342" w:type="pct"/>
            <w:noWrap w:val="0"/>
            <w:vAlign w:val="center"/>
          </w:tcPr>
          <w:p>
            <w:pPr>
              <w:numPr>
                <w:ilvl w:val="0"/>
                <w:numId w:val="61"/>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olor w:val="auto"/>
              </w:rPr>
            </w:pPr>
            <w:r>
              <w:rPr>
                <w:rFonts w:ascii="宋体" w:hAnsi="宋体"/>
                <w:color w:val="auto"/>
              </w:rPr>
              <w:t>其</w:t>
            </w:r>
            <w:r>
              <w:rPr>
                <w:rFonts w:hint="eastAsia" w:ascii="宋体" w:hAnsi="宋体"/>
                <w:color w:val="auto"/>
              </w:rPr>
              <w:t>它技术部分文件</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restart"/>
            <w:noWrap w:val="0"/>
            <w:vAlign w:val="center"/>
          </w:tcPr>
          <w:p>
            <w:pPr>
              <w:autoSpaceDE w:val="0"/>
              <w:autoSpaceDN w:val="0"/>
              <w:adjustRightInd w:val="0"/>
              <w:spacing w:line="360" w:lineRule="atLeast"/>
              <w:jc w:val="center"/>
              <w:rPr>
                <w:rFonts w:ascii="宋体" w:hAnsi="宋体" w:cs="宋体"/>
                <w:b/>
                <w:color w:val="auto"/>
                <w:kern w:val="0"/>
                <w:szCs w:val="21"/>
              </w:rPr>
            </w:pPr>
            <w:r>
              <w:rPr>
                <w:rFonts w:hint="eastAsia" w:ascii="宋体" w:hAnsi="宋体" w:cs="宋体"/>
                <w:b/>
                <w:color w:val="auto"/>
                <w:kern w:val="0"/>
                <w:szCs w:val="21"/>
              </w:rPr>
              <w:t>其他文件</w:t>
            </w: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ascii="宋体" w:hAnsi="宋体"/>
                <w:color w:val="auto"/>
              </w:rPr>
            </w:pPr>
            <w:r>
              <w:rPr>
                <w:rFonts w:hint="eastAsia" w:ascii="宋体" w:hAnsi="宋体"/>
                <w:color w:val="auto"/>
              </w:rPr>
              <w:t>招标代理服务费承诺书</w:t>
            </w:r>
            <w:r>
              <w:rPr>
                <w:rFonts w:hint="eastAsia" w:ascii="宋体" w:hAnsi="宋体" w:cs="宋体"/>
                <w:color w:val="auto"/>
                <w:kern w:val="0"/>
                <w:szCs w:val="21"/>
              </w:rPr>
              <w:t>（格式11）</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olor w:val="auto"/>
              </w:rPr>
            </w:pPr>
            <w:r>
              <w:rPr>
                <w:rFonts w:hint="eastAsia" w:ascii="宋体" w:hAnsi="宋体"/>
                <w:color w:val="auto"/>
              </w:rPr>
              <w:t>质疑函范本（格式1</w:t>
            </w:r>
            <w:r>
              <w:rPr>
                <w:rFonts w:hint="eastAsia" w:ascii="宋体" w:hAnsi="宋体"/>
                <w:color w:val="auto"/>
                <w:lang w:val="en-US" w:eastAsia="zh-CN"/>
              </w:rPr>
              <w:t>2</w:t>
            </w:r>
            <w:r>
              <w:rPr>
                <w:rFonts w:hint="eastAsia" w:ascii="宋体" w:hAnsi="宋体"/>
                <w:color w:val="auto"/>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olor w:val="auto"/>
              </w:rPr>
            </w:pPr>
            <w:r>
              <w:rPr>
                <w:rFonts w:hint="eastAsia" w:ascii="宋体" w:hAnsi="宋体"/>
                <w:color w:val="auto"/>
              </w:rPr>
              <w:t>中小企业声明函（格式1</w:t>
            </w:r>
            <w:r>
              <w:rPr>
                <w:rFonts w:hint="eastAsia" w:ascii="宋体" w:hAnsi="宋体"/>
                <w:color w:val="auto"/>
                <w:lang w:val="en-US" w:eastAsia="zh-CN"/>
              </w:rPr>
              <w:t>3</w:t>
            </w:r>
            <w:r>
              <w:rPr>
                <w:rFonts w:hint="eastAsia" w:ascii="宋体" w:hAnsi="宋体"/>
                <w:color w:val="auto"/>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olor w:val="auto"/>
              </w:rPr>
            </w:pPr>
            <w:r>
              <w:rPr>
                <w:rFonts w:hint="eastAsia" w:ascii="宋体" w:hAnsi="宋体"/>
                <w:color w:val="auto"/>
              </w:rPr>
              <w:t>监狱企业（格式1</w:t>
            </w:r>
            <w:r>
              <w:rPr>
                <w:rFonts w:hint="eastAsia" w:ascii="宋体" w:hAnsi="宋体"/>
                <w:color w:val="auto"/>
                <w:lang w:val="en-US" w:eastAsia="zh-CN"/>
              </w:rPr>
              <w:t>4</w:t>
            </w:r>
            <w:r>
              <w:rPr>
                <w:rFonts w:hint="eastAsia" w:ascii="宋体" w:hAnsi="宋体"/>
                <w:color w:val="auto"/>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spacing w:line="360" w:lineRule="atLeast"/>
              <w:jc w:val="left"/>
              <w:rPr>
                <w:rFonts w:hint="eastAsia" w:ascii="宋体" w:hAnsi="宋体"/>
                <w:color w:val="auto"/>
              </w:rPr>
            </w:pPr>
            <w:r>
              <w:rPr>
                <w:rFonts w:hint="eastAsia" w:ascii="宋体" w:hAnsi="宋体"/>
                <w:color w:val="auto"/>
              </w:rPr>
              <w:t>残疾人福利性单位声明函（格式1</w:t>
            </w:r>
            <w:r>
              <w:rPr>
                <w:rFonts w:hint="eastAsia" w:ascii="宋体" w:hAnsi="宋体"/>
                <w:color w:val="auto"/>
                <w:lang w:val="en-US" w:eastAsia="zh-CN"/>
              </w:rPr>
              <w:t>5</w:t>
            </w:r>
            <w:r>
              <w:rPr>
                <w:rFonts w:hint="eastAsia" w:ascii="宋体" w:hAnsi="宋体"/>
                <w:color w:val="auto"/>
              </w:rPr>
              <w:t>）</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523" w:type="pct"/>
            <w:vMerge w:val="continue"/>
            <w:noWrap w:val="0"/>
            <w:vAlign w:val="center"/>
          </w:tcPr>
          <w:p>
            <w:pPr>
              <w:autoSpaceDE w:val="0"/>
              <w:autoSpaceDN w:val="0"/>
              <w:adjustRightInd w:val="0"/>
              <w:spacing w:line="360" w:lineRule="atLeast"/>
              <w:jc w:val="center"/>
              <w:rPr>
                <w:rFonts w:ascii="宋体" w:hAnsi="宋体" w:cs="宋体"/>
                <w:b/>
                <w:color w:val="auto"/>
                <w:kern w:val="0"/>
                <w:szCs w:val="21"/>
              </w:rPr>
            </w:pPr>
          </w:p>
        </w:tc>
        <w:tc>
          <w:tcPr>
            <w:tcW w:w="342" w:type="pct"/>
            <w:noWrap w:val="0"/>
            <w:vAlign w:val="center"/>
          </w:tcPr>
          <w:p>
            <w:pPr>
              <w:numPr>
                <w:ilvl w:val="0"/>
                <w:numId w:val="62"/>
              </w:numPr>
              <w:autoSpaceDE w:val="0"/>
              <w:autoSpaceDN w:val="0"/>
              <w:adjustRightInd w:val="0"/>
              <w:spacing w:line="360" w:lineRule="atLeast"/>
              <w:jc w:val="center"/>
              <w:rPr>
                <w:rFonts w:ascii="宋体" w:hAnsi="宋体" w:cs="宋体"/>
                <w:color w:val="auto"/>
                <w:kern w:val="0"/>
                <w:szCs w:val="21"/>
              </w:rPr>
            </w:pPr>
          </w:p>
        </w:tc>
        <w:tc>
          <w:tcPr>
            <w:tcW w:w="2520" w:type="pct"/>
            <w:noWrap w:val="0"/>
            <w:vAlign w:val="center"/>
          </w:tcPr>
          <w:p>
            <w:pPr>
              <w:autoSpaceDE w:val="0"/>
              <w:autoSpaceDN w:val="0"/>
              <w:adjustRightInd w:val="0"/>
              <w:spacing w:line="360" w:lineRule="atLeast"/>
              <w:jc w:val="left"/>
              <w:rPr>
                <w:rFonts w:ascii="宋体" w:hAnsi="宋体" w:cs="宋体"/>
                <w:color w:val="auto"/>
                <w:kern w:val="0"/>
                <w:szCs w:val="21"/>
              </w:rPr>
            </w:pPr>
            <w:r>
              <w:rPr>
                <w:rFonts w:ascii="宋体" w:hAnsi="宋体"/>
                <w:color w:val="auto"/>
              </w:rPr>
              <w:t>其</w:t>
            </w:r>
            <w:r>
              <w:rPr>
                <w:rFonts w:hint="eastAsia" w:ascii="宋体" w:hAnsi="宋体"/>
                <w:color w:val="auto"/>
              </w:rPr>
              <w:t>它</w:t>
            </w:r>
            <w:r>
              <w:rPr>
                <w:rFonts w:ascii="宋体" w:hAnsi="宋体"/>
                <w:color w:val="auto"/>
              </w:rPr>
              <w:t>文件</w:t>
            </w:r>
          </w:p>
        </w:tc>
        <w:tc>
          <w:tcPr>
            <w:tcW w:w="39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11"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6"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c>
          <w:tcPr>
            <w:tcW w:w="405" w:type="pct"/>
            <w:noWrap w:val="0"/>
            <w:vAlign w:val="center"/>
          </w:tcPr>
          <w:p>
            <w:pPr>
              <w:autoSpaceDE w:val="0"/>
              <w:autoSpaceDN w:val="0"/>
              <w:adjustRightInd w:val="0"/>
              <w:spacing w:line="360" w:lineRule="atLeast"/>
              <w:ind w:left="630"/>
              <w:jc w:val="center"/>
              <w:rPr>
                <w:rFonts w:ascii="宋体" w:hAnsi="宋体" w:cs="宋体"/>
                <w:color w:val="auto"/>
                <w:kern w:val="0"/>
                <w:szCs w:val="21"/>
              </w:rPr>
            </w:pPr>
          </w:p>
        </w:tc>
      </w:tr>
    </w:tbl>
    <w:p>
      <w:pPr>
        <w:spacing w:line="360" w:lineRule="auto"/>
        <w:ind w:firstLine="105" w:firstLineChars="50"/>
        <w:rPr>
          <w:rFonts w:ascii="宋体" w:hAnsi="宋体"/>
          <w:color w:val="auto"/>
        </w:rPr>
      </w:pPr>
      <w:r>
        <w:rPr>
          <w:rFonts w:hint="eastAsia" w:ascii="宋体" w:hAnsi="宋体"/>
          <w:color w:val="auto"/>
        </w:rPr>
        <w:t>备注：</w:t>
      </w:r>
    </w:p>
    <w:p>
      <w:pPr>
        <w:spacing w:line="360" w:lineRule="auto"/>
        <w:ind w:firstLine="105" w:firstLineChars="50"/>
        <w:rPr>
          <w:rFonts w:ascii="宋体" w:hAnsi="宋体"/>
          <w:color w:val="auto"/>
        </w:rPr>
      </w:pPr>
      <w:r>
        <w:rPr>
          <w:rFonts w:hint="eastAsia" w:ascii="宋体" w:hAnsi="宋体"/>
          <w:color w:val="auto"/>
        </w:rPr>
        <w:t>1. 投标人以上所递交的资料按规定加盖投标人公章；</w:t>
      </w:r>
    </w:p>
    <w:p>
      <w:pPr>
        <w:spacing w:line="360" w:lineRule="auto"/>
        <w:ind w:firstLine="105" w:firstLineChars="50"/>
        <w:rPr>
          <w:rFonts w:ascii="宋体" w:hAnsi="宋体"/>
          <w:b/>
          <w:color w:val="auto"/>
          <w:sz w:val="30"/>
          <w:szCs w:val="30"/>
        </w:rPr>
      </w:pPr>
      <w:r>
        <w:rPr>
          <w:rFonts w:hint="eastAsia" w:ascii="宋体" w:hAnsi="宋体"/>
          <w:color w:val="auto"/>
        </w:rPr>
        <w:t>2. 投标人认为有必要提交的其他文件可自行增加表格栏目，以上投标文件提交时必须严格按照《投标文件目录表》的排列顺序装订成册。</w:t>
      </w:r>
    </w:p>
    <w:p>
      <w:pPr>
        <w:autoSpaceDE w:val="0"/>
        <w:autoSpaceDN w:val="0"/>
        <w:adjustRightInd w:val="0"/>
        <w:jc w:val="center"/>
        <w:outlineLvl w:val="2"/>
        <w:rPr>
          <w:rFonts w:ascii="宋体" w:hAnsi="宋体"/>
          <w:b/>
          <w:color w:val="auto"/>
          <w:sz w:val="30"/>
          <w:szCs w:val="30"/>
        </w:rPr>
      </w:pPr>
      <w:r>
        <w:rPr>
          <w:rFonts w:ascii="宋体" w:hAnsi="宋体"/>
          <w:b/>
          <w:color w:val="auto"/>
          <w:sz w:val="30"/>
          <w:szCs w:val="30"/>
        </w:rPr>
        <w:br w:type="page"/>
      </w:r>
      <w:r>
        <w:rPr>
          <w:rFonts w:hint="eastAsia" w:ascii="宋体" w:hAnsi="宋体"/>
          <w:b/>
          <w:color w:val="auto"/>
          <w:sz w:val="30"/>
          <w:szCs w:val="30"/>
        </w:rPr>
        <w:t>初步评审自查表</w:t>
      </w:r>
    </w:p>
    <w:tbl>
      <w:tblPr>
        <w:tblStyle w:val="36"/>
        <w:tblW w:w="9437" w:type="dxa"/>
        <w:tblInd w:w="-1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810"/>
        <w:gridCol w:w="5286"/>
        <w:gridCol w:w="1550"/>
        <w:gridCol w:w="179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494" w:hRule="atLeast"/>
        </w:trPr>
        <w:tc>
          <w:tcPr>
            <w:tcW w:w="810" w:type="dxa"/>
            <w:noWrap w:val="0"/>
            <w:vAlign w:val="center"/>
          </w:tcPr>
          <w:p>
            <w:pPr>
              <w:ind w:left="-171"/>
              <w:jc w:val="center"/>
              <w:rPr>
                <w:rFonts w:ascii="宋体" w:hAnsi="宋体"/>
                <w:bCs/>
                <w:color w:val="auto"/>
                <w:szCs w:val="21"/>
              </w:rPr>
            </w:pPr>
            <w:r>
              <w:rPr>
                <w:rFonts w:hint="eastAsia" w:ascii="宋体" w:hAnsi="宋体"/>
                <w:bCs/>
                <w:color w:val="auto"/>
                <w:szCs w:val="21"/>
              </w:rPr>
              <w:t>序号</w:t>
            </w:r>
          </w:p>
        </w:tc>
        <w:tc>
          <w:tcPr>
            <w:tcW w:w="5286" w:type="dxa"/>
            <w:noWrap/>
            <w:vAlign w:val="center"/>
          </w:tcPr>
          <w:p>
            <w:pPr>
              <w:ind w:left="-171"/>
              <w:jc w:val="center"/>
              <w:rPr>
                <w:rFonts w:ascii="宋体" w:hAnsi="宋体"/>
                <w:bCs/>
                <w:color w:val="auto"/>
                <w:szCs w:val="21"/>
              </w:rPr>
            </w:pPr>
            <w:r>
              <w:rPr>
                <w:rFonts w:hint="eastAsia" w:ascii="宋体" w:hAnsi="宋体"/>
                <w:bCs/>
                <w:color w:val="auto"/>
                <w:szCs w:val="21"/>
              </w:rPr>
              <w:t>审查内容</w:t>
            </w:r>
          </w:p>
        </w:tc>
        <w:tc>
          <w:tcPr>
            <w:tcW w:w="1550" w:type="dxa"/>
            <w:noWrap/>
            <w:vAlign w:val="center"/>
          </w:tcPr>
          <w:p>
            <w:pPr>
              <w:ind w:left="-171"/>
              <w:jc w:val="center"/>
              <w:rPr>
                <w:rFonts w:ascii="宋体" w:hAnsi="宋体"/>
                <w:bCs/>
                <w:color w:val="auto"/>
                <w:szCs w:val="21"/>
              </w:rPr>
            </w:pPr>
            <w:r>
              <w:rPr>
                <w:rFonts w:hint="eastAsia" w:ascii="宋体" w:hAnsi="宋体"/>
                <w:bCs/>
                <w:color w:val="auto"/>
                <w:szCs w:val="21"/>
              </w:rPr>
              <w:t>自查结论</w:t>
            </w:r>
          </w:p>
        </w:tc>
        <w:tc>
          <w:tcPr>
            <w:tcW w:w="1791" w:type="dxa"/>
            <w:noWrap w:val="0"/>
            <w:vAlign w:val="center"/>
          </w:tcPr>
          <w:p>
            <w:pPr>
              <w:ind w:left="-171"/>
              <w:jc w:val="center"/>
              <w:rPr>
                <w:rFonts w:ascii="宋体" w:hAnsi="宋体"/>
                <w:bCs/>
                <w:color w:val="auto"/>
                <w:szCs w:val="21"/>
              </w:rPr>
            </w:pPr>
            <w:r>
              <w:rPr>
                <w:rFonts w:hint="eastAsia" w:ascii="宋体" w:hAnsi="宋体"/>
                <w:bCs/>
                <w:color w:val="auto"/>
                <w:szCs w:val="21"/>
              </w:rPr>
              <w:t>证明资料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83"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s="宋体"/>
                <w:color w:val="auto"/>
                <w:szCs w:val="21"/>
              </w:rPr>
            </w:pPr>
            <w:r>
              <w:rPr>
                <w:rFonts w:hint="eastAsia" w:ascii="宋体" w:hAnsi="宋体"/>
                <w:color w:val="auto"/>
                <w:szCs w:val="21"/>
              </w:rPr>
              <w:t>投标函、资格声明函</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83"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s="宋体"/>
                <w:color w:val="auto"/>
                <w:szCs w:val="21"/>
              </w:rPr>
            </w:pPr>
            <w:r>
              <w:rPr>
                <w:rFonts w:hint="eastAsia" w:ascii="宋体" w:hAnsi="宋体"/>
                <w:color w:val="auto"/>
                <w:szCs w:val="21"/>
              </w:rPr>
              <w:t>法定代表人（负责人）证明书、法定代表人授权委托书</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83"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hint="eastAsia" w:ascii="宋体" w:hAnsi="宋体"/>
                <w:bCs/>
                <w:color w:val="auto"/>
                <w:szCs w:val="20"/>
              </w:rPr>
            </w:pPr>
            <w:r>
              <w:rPr>
                <w:rFonts w:hint="eastAsia" w:ascii="宋体" w:hAnsi="宋体"/>
                <w:bCs/>
                <w:color w:val="auto"/>
                <w:szCs w:val="20"/>
              </w:rPr>
              <w:t>（1）</w:t>
            </w:r>
            <w:r>
              <w:rPr>
                <w:rFonts w:hint="eastAsia" w:ascii="宋体" w:hAnsi="宋体"/>
                <w:bCs/>
                <w:color w:val="auto"/>
                <w:szCs w:val="20"/>
              </w:rPr>
              <w:tab/>
            </w:r>
            <w:r>
              <w:rPr>
                <w:rFonts w:hint="eastAsia" w:ascii="宋体" w:hAnsi="宋体"/>
                <w:bCs/>
                <w:color w:val="auto"/>
                <w:szCs w:val="20"/>
              </w:rPr>
              <w:t>具有独立承担民事责任能力的在中华人民共和国境内注册的法人或其他组织；</w:t>
            </w:r>
          </w:p>
          <w:p>
            <w:pPr>
              <w:spacing w:line="360" w:lineRule="auto"/>
              <w:rPr>
                <w:rFonts w:hint="eastAsia" w:ascii="宋体" w:hAnsi="宋体"/>
                <w:bCs/>
                <w:color w:val="auto"/>
                <w:szCs w:val="20"/>
              </w:rPr>
            </w:pPr>
            <w:r>
              <w:rPr>
                <w:rFonts w:hint="eastAsia" w:ascii="宋体" w:hAnsi="宋体"/>
                <w:bCs/>
                <w:color w:val="auto"/>
                <w:szCs w:val="20"/>
              </w:rPr>
              <w:t>（2）</w:t>
            </w:r>
            <w:r>
              <w:rPr>
                <w:rFonts w:hint="eastAsia" w:ascii="宋体" w:hAnsi="宋体"/>
                <w:bCs/>
                <w:color w:val="auto"/>
                <w:szCs w:val="20"/>
              </w:rPr>
              <w:tab/>
            </w:r>
            <w:r>
              <w:rPr>
                <w:rFonts w:hint="eastAsia" w:ascii="宋体" w:hAnsi="宋体"/>
                <w:bCs/>
                <w:color w:val="auto"/>
                <w:szCs w:val="20"/>
              </w:rPr>
              <w:t>具有良好的商业信誉和健全的财务会计制度；</w:t>
            </w:r>
          </w:p>
          <w:p>
            <w:pPr>
              <w:spacing w:line="360" w:lineRule="auto"/>
              <w:rPr>
                <w:rFonts w:hint="eastAsia" w:ascii="宋体" w:hAnsi="宋体"/>
                <w:bCs/>
                <w:color w:val="auto"/>
                <w:szCs w:val="20"/>
              </w:rPr>
            </w:pPr>
            <w:r>
              <w:rPr>
                <w:rFonts w:hint="eastAsia" w:ascii="宋体" w:hAnsi="宋体"/>
                <w:bCs/>
                <w:color w:val="auto"/>
                <w:szCs w:val="20"/>
              </w:rPr>
              <w:t>（3）</w:t>
            </w:r>
            <w:r>
              <w:rPr>
                <w:rFonts w:hint="eastAsia" w:ascii="宋体" w:hAnsi="宋体"/>
                <w:bCs/>
                <w:color w:val="auto"/>
                <w:szCs w:val="20"/>
              </w:rPr>
              <w:tab/>
            </w:r>
            <w:r>
              <w:rPr>
                <w:rFonts w:hint="eastAsia" w:ascii="宋体" w:hAnsi="宋体"/>
                <w:bCs/>
                <w:color w:val="auto"/>
                <w:szCs w:val="20"/>
              </w:rPr>
              <w:t>有依法缴纳税收和社会保障资金的良好记录；</w:t>
            </w:r>
          </w:p>
          <w:p>
            <w:pPr>
              <w:spacing w:line="360" w:lineRule="auto"/>
              <w:rPr>
                <w:rFonts w:hint="eastAsia" w:ascii="宋体" w:hAnsi="宋体"/>
                <w:bCs/>
                <w:color w:val="auto"/>
                <w:szCs w:val="20"/>
              </w:rPr>
            </w:pPr>
            <w:r>
              <w:rPr>
                <w:rFonts w:hint="eastAsia" w:ascii="宋体" w:hAnsi="宋体"/>
                <w:bCs/>
                <w:color w:val="auto"/>
                <w:szCs w:val="20"/>
              </w:rPr>
              <w:t>（4）</w:t>
            </w:r>
            <w:r>
              <w:rPr>
                <w:rFonts w:hint="eastAsia" w:ascii="宋体" w:hAnsi="宋体"/>
                <w:bCs/>
                <w:color w:val="auto"/>
                <w:szCs w:val="20"/>
              </w:rPr>
              <w:tab/>
            </w:r>
            <w:r>
              <w:rPr>
                <w:rFonts w:hint="eastAsia" w:ascii="宋体" w:hAnsi="宋体"/>
                <w:bCs/>
                <w:color w:val="auto"/>
                <w:szCs w:val="20"/>
              </w:rPr>
              <w:tab/>
            </w:r>
            <w:r>
              <w:rPr>
                <w:rFonts w:hint="eastAsia" w:ascii="宋体" w:hAnsi="宋体"/>
                <w:bCs/>
                <w:color w:val="auto"/>
                <w:szCs w:val="20"/>
              </w:rPr>
              <w:t>具有履行合同所必需的设备和专业技术能力；</w:t>
            </w:r>
          </w:p>
          <w:p>
            <w:pPr>
              <w:spacing w:line="360" w:lineRule="auto"/>
              <w:rPr>
                <w:rFonts w:hint="eastAsia" w:ascii="宋体" w:hAnsi="宋体"/>
                <w:bCs/>
                <w:color w:val="auto"/>
                <w:szCs w:val="20"/>
              </w:rPr>
            </w:pPr>
            <w:r>
              <w:rPr>
                <w:rFonts w:hint="eastAsia" w:ascii="宋体" w:hAnsi="宋体"/>
                <w:bCs/>
                <w:color w:val="auto"/>
                <w:szCs w:val="20"/>
              </w:rPr>
              <w:t>（5）</w:t>
            </w:r>
            <w:r>
              <w:rPr>
                <w:rFonts w:hint="eastAsia" w:ascii="宋体" w:hAnsi="宋体"/>
                <w:bCs/>
                <w:color w:val="auto"/>
                <w:szCs w:val="20"/>
              </w:rPr>
              <w:tab/>
            </w:r>
            <w:r>
              <w:rPr>
                <w:rFonts w:hint="eastAsia" w:ascii="宋体" w:hAnsi="宋体"/>
                <w:bCs/>
                <w:color w:val="auto"/>
                <w:szCs w:val="20"/>
              </w:rPr>
              <w:t>投标人承诺在过往三年内没有违法违规行为或违反合同约定行为；</w:t>
            </w:r>
          </w:p>
          <w:p>
            <w:pPr>
              <w:spacing w:line="360" w:lineRule="auto"/>
              <w:rPr>
                <w:rFonts w:hint="eastAsia" w:ascii="宋体" w:hAnsi="宋体"/>
                <w:bCs/>
                <w:color w:val="auto"/>
                <w:szCs w:val="20"/>
              </w:rPr>
            </w:pPr>
            <w:r>
              <w:rPr>
                <w:rFonts w:hint="eastAsia" w:ascii="宋体" w:hAnsi="宋体"/>
                <w:bCs/>
                <w:color w:val="auto"/>
                <w:szCs w:val="20"/>
              </w:rPr>
              <w:t>（6）</w:t>
            </w:r>
            <w:r>
              <w:rPr>
                <w:rFonts w:hint="eastAsia" w:ascii="宋体" w:hAnsi="宋体"/>
                <w:bCs/>
                <w:color w:val="auto"/>
                <w:szCs w:val="20"/>
              </w:rPr>
              <w:tab/>
            </w:r>
            <w:r>
              <w:rPr>
                <w:rFonts w:hint="eastAsia" w:ascii="宋体" w:hAnsi="宋体"/>
                <w:bCs/>
                <w:color w:val="auto"/>
                <w:szCs w:val="20"/>
              </w:rPr>
              <w:t>单位负责人为同一人或者存在控股、管理关系的不同投标人，不得同时参加本采购项目同一合同项下的投标；</w:t>
            </w:r>
          </w:p>
          <w:p>
            <w:pPr>
              <w:spacing w:line="360" w:lineRule="auto"/>
              <w:rPr>
                <w:rFonts w:hint="eastAsia" w:ascii="宋体" w:hAnsi="宋体"/>
                <w:bCs/>
                <w:color w:val="auto"/>
                <w:szCs w:val="20"/>
              </w:rPr>
            </w:pPr>
            <w:r>
              <w:rPr>
                <w:rFonts w:hint="eastAsia" w:ascii="宋体" w:hAnsi="宋体"/>
                <w:bCs/>
                <w:color w:val="auto"/>
                <w:szCs w:val="20"/>
              </w:rPr>
              <w:t>（7）</w:t>
            </w:r>
            <w:r>
              <w:rPr>
                <w:rFonts w:hint="eastAsia" w:ascii="宋体" w:hAnsi="宋体"/>
                <w:bCs/>
                <w:color w:val="auto"/>
                <w:szCs w:val="20"/>
              </w:rPr>
              <w:tab/>
            </w:r>
            <w:r>
              <w:rPr>
                <w:rFonts w:hint="eastAsia" w:ascii="宋体" w:hAnsi="宋体"/>
                <w:bCs/>
                <w:color w:val="auto"/>
                <w:szCs w:val="20"/>
              </w:rPr>
              <w:t>为采购项目提供整体设计、规范编制或者项目管理、监理、检测等服务的投标人，不得再参加本采购项目的其他采购活动；</w:t>
            </w:r>
          </w:p>
          <w:p>
            <w:pPr>
              <w:spacing w:line="360" w:lineRule="auto"/>
              <w:rPr>
                <w:rFonts w:hint="eastAsia" w:ascii="宋体" w:hAnsi="宋体"/>
                <w:bCs/>
                <w:color w:val="auto"/>
                <w:szCs w:val="20"/>
              </w:rPr>
            </w:pPr>
            <w:r>
              <w:rPr>
                <w:rFonts w:hint="eastAsia" w:ascii="宋体" w:hAnsi="宋体"/>
                <w:bCs/>
                <w:color w:val="auto"/>
                <w:szCs w:val="20"/>
              </w:rPr>
              <w:t>（8）</w:t>
            </w:r>
            <w:r>
              <w:rPr>
                <w:rFonts w:hint="eastAsia" w:ascii="宋体" w:hAnsi="宋体"/>
                <w:bCs/>
                <w:color w:val="auto"/>
                <w:szCs w:val="20"/>
              </w:rPr>
              <w:tab/>
            </w:r>
            <w:r>
              <w:rPr>
                <w:rFonts w:hint="eastAsia" w:ascii="宋体" w:hAnsi="宋体"/>
                <w:bCs/>
                <w:color w:val="auto"/>
                <w:szCs w:val="20"/>
              </w:rPr>
              <w:t>投标人已进驻广东政府采购智慧云平台电子卖场（定点集市互联网接入服务类）；</w:t>
            </w:r>
          </w:p>
          <w:p>
            <w:pPr>
              <w:spacing w:line="360" w:lineRule="auto"/>
              <w:rPr>
                <w:rFonts w:hint="eastAsia" w:ascii="宋体" w:hAnsi="宋体"/>
                <w:bCs/>
                <w:color w:val="auto"/>
                <w:szCs w:val="20"/>
              </w:rPr>
            </w:pPr>
            <w:r>
              <w:rPr>
                <w:rFonts w:hint="eastAsia" w:ascii="宋体" w:hAnsi="宋体"/>
                <w:color w:val="auto"/>
                <w:szCs w:val="21"/>
              </w:rPr>
              <w:t>（9）本项目不属于专门面向中小企业采购的项目；</w:t>
            </w:r>
          </w:p>
          <w:p>
            <w:pPr>
              <w:spacing w:line="360" w:lineRule="auto"/>
              <w:rPr>
                <w:rFonts w:hint="eastAsia" w:ascii="宋体" w:hAnsi="宋体"/>
                <w:bCs/>
                <w:color w:val="auto"/>
                <w:szCs w:val="20"/>
              </w:rPr>
            </w:pPr>
            <w:r>
              <w:rPr>
                <w:rFonts w:hint="eastAsia" w:ascii="宋体" w:hAnsi="宋体"/>
                <w:bCs/>
                <w:color w:val="auto"/>
                <w:szCs w:val="20"/>
              </w:rPr>
              <w:t>（</w:t>
            </w:r>
            <w:r>
              <w:rPr>
                <w:rFonts w:ascii="宋体" w:hAnsi="宋体"/>
                <w:bCs/>
                <w:color w:val="auto"/>
                <w:szCs w:val="20"/>
              </w:rPr>
              <w:t>10</w:t>
            </w:r>
            <w:r>
              <w:rPr>
                <w:rFonts w:hint="eastAsia" w:ascii="宋体" w:hAnsi="宋体"/>
                <w:bCs/>
                <w:color w:val="auto"/>
                <w:szCs w:val="20"/>
              </w:rPr>
              <w:t>）</w:t>
            </w:r>
            <w:r>
              <w:rPr>
                <w:rFonts w:hint="eastAsia" w:ascii="宋体" w:hAnsi="宋体"/>
                <w:bCs/>
                <w:color w:val="auto"/>
                <w:szCs w:val="20"/>
              </w:rPr>
              <w:tab/>
            </w:r>
            <w:r>
              <w:rPr>
                <w:rFonts w:hint="eastAsia" w:ascii="宋体" w:hAnsi="宋体"/>
                <w:bCs/>
                <w:color w:val="auto"/>
                <w:szCs w:val="20"/>
              </w:rPr>
              <w:t>本项目不接受联合体投标；</w:t>
            </w:r>
          </w:p>
          <w:p>
            <w:pPr>
              <w:spacing w:line="360" w:lineRule="auto"/>
              <w:rPr>
                <w:rFonts w:hint="eastAsia" w:ascii="宋体" w:hAnsi="宋体"/>
                <w:color w:val="auto"/>
                <w:szCs w:val="21"/>
              </w:rPr>
            </w:pPr>
            <w:r>
              <w:rPr>
                <w:rFonts w:hint="eastAsia" w:ascii="宋体" w:hAnsi="宋体"/>
                <w:bCs/>
                <w:color w:val="auto"/>
                <w:szCs w:val="20"/>
              </w:rPr>
              <w:t>（</w:t>
            </w:r>
            <w:r>
              <w:rPr>
                <w:rFonts w:ascii="宋体" w:hAnsi="宋体"/>
                <w:bCs/>
                <w:color w:val="auto"/>
                <w:szCs w:val="20"/>
              </w:rPr>
              <w:t>11</w:t>
            </w:r>
            <w:r>
              <w:rPr>
                <w:rFonts w:hint="eastAsia" w:ascii="宋体" w:hAnsi="宋体"/>
                <w:bCs/>
                <w:color w:val="auto"/>
                <w:szCs w:val="20"/>
              </w:rPr>
              <w:t>）已登记报名并购买了招标文件。</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83"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olor w:val="auto"/>
                <w:szCs w:val="21"/>
              </w:rPr>
            </w:pPr>
            <w:r>
              <w:rPr>
                <w:rFonts w:hint="eastAsia" w:ascii="宋体" w:hAnsi="宋体"/>
                <w:color w:val="auto"/>
                <w:szCs w:val="21"/>
              </w:rPr>
              <w:t>投标有效期：90日</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83"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olor w:val="auto"/>
                <w:szCs w:val="21"/>
              </w:rPr>
            </w:pPr>
            <w:r>
              <w:rPr>
                <w:rFonts w:hint="eastAsia"/>
                <w:color w:val="auto"/>
              </w:rPr>
              <w:t>投标文件</w:t>
            </w:r>
            <w:r>
              <w:rPr>
                <w:rFonts w:hint="eastAsia" w:ascii="宋体" w:hAnsi="宋体"/>
                <w:color w:val="auto"/>
                <w:szCs w:val="21"/>
              </w:rPr>
              <w:t>按照规定要求签署、盖章</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olor w:val="auto"/>
              </w:rPr>
            </w:pPr>
            <w:r>
              <w:rPr>
                <w:rFonts w:hint="eastAsia" w:ascii="宋体" w:hAnsi="宋体"/>
                <w:color w:val="auto"/>
                <w:szCs w:val="21"/>
              </w:rPr>
              <w:t>投标报价是固定价且未超过本项目招标预算</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40" w:leftChars="19"/>
              <w:jc w:val="center"/>
              <w:rPr>
                <w:rFonts w:ascii="宋体" w:hAnsi="宋体"/>
                <w:color w:val="auto"/>
              </w:rPr>
            </w:pPr>
            <w:r>
              <w:rPr>
                <w:rFonts w:hint="eastAsia" w:ascii="宋体" w:hAnsi="宋体"/>
                <w:color w:val="auto"/>
              </w:rPr>
              <w:t>见投标文件</w:t>
            </w:r>
          </w:p>
          <w:p>
            <w:pPr>
              <w:spacing w:line="260" w:lineRule="exact"/>
              <w:ind w:left="40" w:leftChars="19"/>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olor w:val="auto"/>
                <w:szCs w:val="21"/>
              </w:rPr>
            </w:pPr>
            <w:r>
              <w:rPr>
                <w:rFonts w:hint="eastAsia" w:ascii="宋体" w:hAnsi="宋体"/>
                <w:color w:val="auto"/>
                <w:szCs w:val="21"/>
              </w:rPr>
              <w:t>能满足用户需求的主要参数（带“★”号条款）</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171"/>
              <w:jc w:val="center"/>
              <w:rPr>
                <w:rFonts w:ascii="宋体" w:hAnsi="宋体"/>
                <w:color w:val="auto"/>
              </w:rPr>
            </w:pPr>
            <w:r>
              <w:rPr>
                <w:rFonts w:hint="eastAsia" w:ascii="宋体" w:hAnsi="宋体"/>
                <w:color w:val="auto"/>
              </w:rPr>
              <w:t>见投标文件</w:t>
            </w:r>
          </w:p>
          <w:p>
            <w:pPr>
              <w:spacing w:line="260" w:lineRule="exact"/>
              <w:ind w:left="-171"/>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26" w:hRule="atLeast"/>
        </w:trPr>
        <w:tc>
          <w:tcPr>
            <w:tcW w:w="810" w:type="dxa"/>
            <w:noWrap w:val="0"/>
            <w:vAlign w:val="center"/>
          </w:tcPr>
          <w:p>
            <w:pPr>
              <w:numPr>
                <w:ilvl w:val="0"/>
                <w:numId w:val="63"/>
              </w:numPr>
              <w:spacing w:line="360" w:lineRule="auto"/>
              <w:jc w:val="center"/>
              <w:rPr>
                <w:rFonts w:ascii="宋体" w:hAnsi="宋体" w:cs="宋体"/>
                <w:color w:val="auto"/>
                <w:kern w:val="0"/>
                <w:szCs w:val="21"/>
              </w:rPr>
            </w:pPr>
          </w:p>
        </w:tc>
        <w:tc>
          <w:tcPr>
            <w:tcW w:w="5286" w:type="dxa"/>
            <w:noWrap w:val="0"/>
            <w:vAlign w:val="center"/>
          </w:tcPr>
          <w:p>
            <w:pPr>
              <w:spacing w:line="360" w:lineRule="auto"/>
              <w:rPr>
                <w:rFonts w:ascii="宋体" w:hAnsi="宋体" w:cs="宋体"/>
                <w:color w:val="auto"/>
                <w:kern w:val="0"/>
                <w:szCs w:val="21"/>
              </w:rPr>
            </w:pPr>
            <w:r>
              <w:rPr>
                <w:rFonts w:hint="eastAsia" w:ascii="宋体" w:hAnsi="宋体" w:cs="宋体"/>
                <w:color w:val="auto"/>
                <w:kern w:val="0"/>
                <w:szCs w:val="21"/>
              </w:rPr>
              <w:t>未出现恶意竞争低于成本价的情形</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171"/>
              <w:jc w:val="center"/>
              <w:rPr>
                <w:rFonts w:ascii="宋体" w:hAnsi="宋体"/>
                <w:color w:val="auto"/>
              </w:rPr>
            </w:pPr>
            <w:r>
              <w:rPr>
                <w:rFonts w:hint="eastAsia" w:ascii="宋体" w:hAnsi="宋体"/>
                <w:color w:val="auto"/>
              </w:rPr>
              <w:t>见投标文件</w:t>
            </w:r>
          </w:p>
          <w:p>
            <w:pPr>
              <w:spacing w:line="260" w:lineRule="exact"/>
              <w:ind w:left="-171"/>
              <w:jc w:val="center"/>
              <w:rPr>
                <w:rFonts w:ascii="宋体" w:hAnsi="宋体"/>
                <w:color w:val="auto"/>
              </w:rPr>
            </w:pPr>
            <w:r>
              <w:rPr>
                <w:rFonts w:hint="eastAsia" w:ascii="宋体" w:hAnsi="宋体"/>
                <w:color w:val="auto"/>
              </w:rPr>
              <w:t>第（）页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02"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s="宋体"/>
                <w:color w:val="auto"/>
                <w:kern w:val="0"/>
                <w:szCs w:val="21"/>
              </w:rPr>
            </w:pPr>
            <w:r>
              <w:rPr>
                <w:rFonts w:hint="eastAsia" w:ascii="宋体" w:hAnsi="宋体"/>
                <w:color w:val="auto"/>
                <w:szCs w:val="21"/>
              </w:rPr>
              <w:t>无招标文件中规定的被视为无效投标的其它条款的</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171"/>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302" w:hRule="atLeast"/>
        </w:trPr>
        <w:tc>
          <w:tcPr>
            <w:tcW w:w="810" w:type="dxa"/>
            <w:noWrap w:val="0"/>
            <w:vAlign w:val="center"/>
          </w:tcPr>
          <w:p>
            <w:pPr>
              <w:numPr>
                <w:ilvl w:val="0"/>
                <w:numId w:val="63"/>
              </w:numPr>
              <w:spacing w:line="360" w:lineRule="auto"/>
              <w:jc w:val="center"/>
              <w:rPr>
                <w:rFonts w:ascii="宋体" w:hAnsi="宋体"/>
                <w:color w:val="auto"/>
                <w:szCs w:val="21"/>
              </w:rPr>
            </w:pPr>
          </w:p>
        </w:tc>
        <w:tc>
          <w:tcPr>
            <w:tcW w:w="5286" w:type="dxa"/>
            <w:noWrap w:val="0"/>
            <w:vAlign w:val="center"/>
          </w:tcPr>
          <w:p>
            <w:pPr>
              <w:spacing w:line="360" w:lineRule="auto"/>
              <w:rPr>
                <w:rFonts w:ascii="宋体" w:hAnsi="宋体"/>
                <w:color w:val="auto"/>
                <w:szCs w:val="21"/>
              </w:rPr>
            </w:pPr>
            <w:r>
              <w:rPr>
                <w:rFonts w:hint="eastAsia" w:ascii="宋体" w:hAnsi="宋体"/>
                <w:color w:val="auto"/>
                <w:szCs w:val="21"/>
              </w:rPr>
              <w:t>未出现法律、法规、规章规定属于投标无效的其他情形</w:t>
            </w:r>
          </w:p>
        </w:tc>
        <w:tc>
          <w:tcPr>
            <w:tcW w:w="1550" w:type="dxa"/>
            <w:noWrap/>
            <w:vAlign w:val="center"/>
          </w:tcPr>
          <w:p>
            <w:pPr>
              <w:jc w:val="center"/>
              <w:rPr>
                <w:rFonts w:ascii="宋体" w:hAnsi="宋体"/>
                <w:color w:val="auto"/>
                <w:szCs w:val="21"/>
              </w:rPr>
            </w:pPr>
            <w:r>
              <w:rPr>
                <w:rFonts w:hint="eastAsia" w:ascii="宋体" w:hAnsi="宋体"/>
                <w:color w:val="auto"/>
                <w:szCs w:val="21"/>
              </w:rPr>
              <w:t>通过或不通过</w:t>
            </w:r>
          </w:p>
        </w:tc>
        <w:tc>
          <w:tcPr>
            <w:tcW w:w="1791" w:type="dxa"/>
            <w:noWrap w:val="0"/>
            <w:vAlign w:val="center"/>
          </w:tcPr>
          <w:p>
            <w:pPr>
              <w:spacing w:line="260" w:lineRule="exact"/>
              <w:ind w:left="-171"/>
              <w:jc w:val="center"/>
              <w:rPr>
                <w:rFonts w:ascii="宋体" w:hAnsi="宋体"/>
                <w:color w:val="auto"/>
              </w:rPr>
            </w:pPr>
          </w:p>
        </w:tc>
      </w:tr>
    </w:tbl>
    <w:p>
      <w:pPr>
        <w:autoSpaceDE w:val="0"/>
        <w:autoSpaceDN w:val="0"/>
        <w:adjustRightInd w:val="0"/>
        <w:jc w:val="left"/>
        <w:rPr>
          <w:color w:val="auto"/>
          <w:szCs w:val="21"/>
        </w:rPr>
      </w:pPr>
      <w:r>
        <w:rPr>
          <w:rFonts w:hint="eastAsia"/>
          <w:color w:val="auto"/>
          <w:szCs w:val="21"/>
        </w:rPr>
        <w:t>注：1、以上材料将作为投标人合格性和有效性审核的重要内容之一，投标人必须严格按照其内容及序列要求在投标文件中对应如实提供，对缺漏和不符合项将会直接导致无效投标。</w:t>
      </w:r>
    </w:p>
    <w:p>
      <w:pPr>
        <w:autoSpaceDE w:val="0"/>
        <w:autoSpaceDN w:val="0"/>
        <w:adjustRightInd w:val="0"/>
        <w:ind w:firstLine="420" w:firstLineChars="200"/>
        <w:jc w:val="left"/>
        <w:rPr>
          <w:rFonts w:ascii="宋体" w:hAnsi="宋体" w:cs="宋体"/>
          <w:color w:val="auto"/>
          <w:kern w:val="0"/>
          <w:szCs w:val="21"/>
        </w:rPr>
      </w:pPr>
      <w:r>
        <w:rPr>
          <w:rFonts w:hint="eastAsia" w:ascii="宋体" w:hAnsi="宋体" w:cs="宋体"/>
          <w:color w:val="auto"/>
          <w:kern w:val="0"/>
          <w:szCs w:val="21"/>
        </w:rPr>
        <w:t>2、投标人须在“自查结论”栏填写通过或不通过，在“证明资料”栏填写页码。</w:t>
      </w:r>
    </w:p>
    <w:p>
      <w:pPr>
        <w:autoSpaceDE w:val="0"/>
        <w:autoSpaceDN w:val="0"/>
        <w:adjustRightInd w:val="0"/>
        <w:jc w:val="center"/>
        <w:outlineLvl w:val="2"/>
        <w:rPr>
          <w:rFonts w:ascii="宋体" w:hAnsi="宋体"/>
          <w:b/>
          <w:color w:val="auto"/>
          <w:sz w:val="30"/>
          <w:szCs w:val="30"/>
        </w:rPr>
      </w:pPr>
      <w:r>
        <w:rPr>
          <w:rFonts w:ascii="宋体" w:hAnsi="宋体"/>
          <w:b/>
          <w:color w:val="auto"/>
          <w:sz w:val="30"/>
          <w:szCs w:val="30"/>
        </w:rPr>
        <w:br w:type="page"/>
      </w:r>
      <w:r>
        <w:rPr>
          <w:rFonts w:hint="eastAsia" w:ascii="宋体" w:hAnsi="宋体"/>
          <w:b/>
          <w:color w:val="auto"/>
          <w:sz w:val="30"/>
          <w:szCs w:val="30"/>
        </w:rPr>
        <w:t>商务评审自查表</w:t>
      </w:r>
    </w:p>
    <w:tbl>
      <w:tblPr>
        <w:tblStyle w:val="36"/>
        <w:tblW w:w="5123"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72"/>
        <w:gridCol w:w="2710"/>
        <w:gridCol w:w="4092"/>
        <w:gridCol w:w="228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b/>
                <w:color w:val="auto"/>
                <w:szCs w:val="21"/>
              </w:rPr>
            </w:pPr>
            <w:r>
              <w:rPr>
                <w:rFonts w:hint="eastAsia" w:ascii="宋体" w:hAnsi="宋体"/>
                <w:b/>
                <w:color w:val="auto"/>
                <w:szCs w:val="21"/>
              </w:rPr>
              <w:t>序号</w:t>
            </w:r>
          </w:p>
        </w:tc>
        <w:tc>
          <w:tcPr>
            <w:tcW w:w="1374" w:type="pct"/>
            <w:noWrap w:val="0"/>
            <w:vAlign w:val="center"/>
          </w:tcPr>
          <w:p>
            <w:pPr>
              <w:jc w:val="center"/>
              <w:rPr>
                <w:rFonts w:ascii="宋体" w:hAnsi="宋体"/>
                <w:b/>
                <w:color w:val="auto"/>
                <w:szCs w:val="21"/>
              </w:rPr>
            </w:pPr>
            <w:r>
              <w:rPr>
                <w:rFonts w:hint="eastAsia" w:ascii="宋体" w:hAnsi="宋体"/>
                <w:b/>
                <w:color w:val="auto"/>
                <w:szCs w:val="21"/>
              </w:rPr>
              <w:t>评审分项</w:t>
            </w:r>
          </w:p>
        </w:tc>
        <w:tc>
          <w:tcPr>
            <w:tcW w:w="2075" w:type="pct"/>
            <w:noWrap w:val="0"/>
            <w:vAlign w:val="center"/>
          </w:tcPr>
          <w:p>
            <w:pPr>
              <w:jc w:val="center"/>
              <w:rPr>
                <w:rFonts w:ascii="宋体" w:hAnsi="宋体"/>
                <w:b/>
                <w:color w:val="auto"/>
                <w:szCs w:val="21"/>
              </w:rPr>
            </w:pPr>
            <w:r>
              <w:rPr>
                <w:rFonts w:hint="eastAsia" w:ascii="宋体" w:hAnsi="宋体"/>
                <w:b/>
                <w:color w:val="auto"/>
                <w:szCs w:val="21"/>
              </w:rPr>
              <w:t>内容</w:t>
            </w:r>
          </w:p>
        </w:tc>
        <w:tc>
          <w:tcPr>
            <w:tcW w:w="1159" w:type="pct"/>
            <w:noWrap w:val="0"/>
            <w:vAlign w:val="center"/>
          </w:tcPr>
          <w:p>
            <w:pPr>
              <w:jc w:val="center"/>
              <w:rPr>
                <w:rFonts w:ascii="宋体" w:hAnsi="宋体"/>
                <w:b/>
                <w:color w:val="auto"/>
                <w:szCs w:val="21"/>
              </w:rPr>
            </w:pPr>
            <w:r>
              <w:rPr>
                <w:rFonts w:hint="eastAsia" w:ascii="宋体" w:hAnsi="宋体"/>
                <w:b/>
                <w:color w:val="auto"/>
                <w:szCs w:val="21"/>
              </w:rPr>
              <w:t>证明文件（如有）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1</w:t>
            </w:r>
          </w:p>
        </w:tc>
        <w:tc>
          <w:tcPr>
            <w:tcW w:w="1374" w:type="pct"/>
            <w:noWrap w:val="0"/>
            <w:vAlign w:val="center"/>
          </w:tcPr>
          <w:p>
            <w:pPr>
              <w:spacing w:line="400" w:lineRule="exact"/>
              <w:jc w:val="center"/>
              <w:rPr>
                <w:rFonts w:ascii="宋体" w:hAnsi="宋体"/>
                <w:bCs/>
                <w:color w:val="auto"/>
                <w:szCs w:val="21"/>
              </w:rPr>
            </w:pPr>
          </w:p>
        </w:tc>
        <w:tc>
          <w:tcPr>
            <w:tcW w:w="2075" w:type="pct"/>
            <w:noWrap w:val="0"/>
            <w:vAlign w:val="center"/>
          </w:tcPr>
          <w:p>
            <w:pPr>
              <w:spacing w:line="400" w:lineRule="exact"/>
              <w:rPr>
                <w:rFonts w:ascii="宋体" w:hAnsi="宋体"/>
                <w:bCs/>
                <w:color w:val="auto"/>
                <w:szCs w:val="21"/>
              </w:rPr>
            </w:pPr>
          </w:p>
        </w:tc>
        <w:tc>
          <w:tcPr>
            <w:tcW w:w="1159"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2</w:t>
            </w:r>
          </w:p>
        </w:tc>
        <w:tc>
          <w:tcPr>
            <w:tcW w:w="1374" w:type="pct"/>
            <w:noWrap w:val="0"/>
            <w:vAlign w:val="center"/>
          </w:tcPr>
          <w:p>
            <w:pPr>
              <w:spacing w:line="400" w:lineRule="exact"/>
              <w:jc w:val="center"/>
              <w:rPr>
                <w:rFonts w:ascii="宋体" w:hAnsi="宋体"/>
                <w:color w:val="auto"/>
              </w:rPr>
            </w:pPr>
          </w:p>
        </w:tc>
        <w:tc>
          <w:tcPr>
            <w:tcW w:w="2075" w:type="pct"/>
            <w:noWrap w:val="0"/>
            <w:vAlign w:val="center"/>
          </w:tcPr>
          <w:p>
            <w:pPr>
              <w:spacing w:line="400" w:lineRule="exact"/>
              <w:rPr>
                <w:rFonts w:ascii="宋体" w:hAnsi="宋体"/>
                <w:bCs/>
                <w:color w:val="auto"/>
                <w:szCs w:val="21"/>
              </w:rPr>
            </w:pPr>
          </w:p>
        </w:tc>
        <w:tc>
          <w:tcPr>
            <w:tcW w:w="1159"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3</w:t>
            </w:r>
          </w:p>
        </w:tc>
        <w:tc>
          <w:tcPr>
            <w:tcW w:w="1374" w:type="pct"/>
            <w:noWrap w:val="0"/>
            <w:vAlign w:val="center"/>
          </w:tcPr>
          <w:p>
            <w:pPr>
              <w:spacing w:line="400" w:lineRule="exact"/>
              <w:jc w:val="center"/>
              <w:rPr>
                <w:color w:val="auto"/>
              </w:rPr>
            </w:pPr>
          </w:p>
        </w:tc>
        <w:tc>
          <w:tcPr>
            <w:tcW w:w="2075" w:type="pct"/>
            <w:noWrap w:val="0"/>
            <w:vAlign w:val="center"/>
          </w:tcPr>
          <w:p>
            <w:pPr>
              <w:spacing w:line="400" w:lineRule="exact"/>
              <w:rPr>
                <w:rFonts w:ascii="宋体" w:hAnsi="宋体"/>
                <w:bCs/>
                <w:color w:val="auto"/>
                <w:szCs w:val="21"/>
              </w:rPr>
            </w:pPr>
          </w:p>
        </w:tc>
        <w:tc>
          <w:tcPr>
            <w:tcW w:w="1159"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4</w:t>
            </w:r>
          </w:p>
        </w:tc>
        <w:tc>
          <w:tcPr>
            <w:tcW w:w="1374" w:type="pct"/>
            <w:noWrap w:val="0"/>
            <w:vAlign w:val="center"/>
          </w:tcPr>
          <w:p>
            <w:pPr>
              <w:spacing w:line="400" w:lineRule="exact"/>
              <w:jc w:val="center"/>
              <w:rPr>
                <w:rFonts w:ascii="宋体" w:hAnsi="宋体"/>
                <w:bCs/>
                <w:color w:val="auto"/>
                <w:szCs w:val="21"/>
              </w:rPr>
            </w:pPr>
          </w:p>
        </w:tc>
        <w:tc>
          <w:tcPr>
            <w:tcW w:w="2075" w:type="pct"/>
            <w:noWrap w:val="0"/>
            <w:vAlign w:val="center"/>
          </w:tcPr>
          <w:p>
            <w:pPr>
              <w:spacing w:line="400" w:lineRule="exact"/>
              <w:rPr>
                <w:rFonts w:ascii="宋体" w:hAnsi="宋体"/>
                <w:color w:val="auto"/>
                <w:szCs w:val="21"/>
              </w:rPr>
            </w:pPr>
          </w:p>
        </w:tc>
        <w:tc>
          <w:tcPr>
            <w:tcW w:w="1159"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5</w:t>
            </w:r>
          </w:p>
        </w:tc>
        <w:tc>
          <w:tcPr>
            <w:tcW w:w="1374" w:type="pct"/>
            <w:noWrap w:val="0"/>
            <w:vAlign w:val="center"/>
          </w:tcPr>
          <w:p>
            <w:pPr>
              <w:spacing w:line="400" w:lineRule="exact"/>
              <w:jc w:val="center"/>
              <w:rPr>
                <w:rFonts w:ascii="宋体" w:hAnsi="宋体"/>
                <w:bCs/>
                <w:color w:val="auto"/>
                <w:szCs w:val="21"/>
              </w:rPr>
            </w:pPr>
          </w:p>
        </w:tc>
        <w:tc>
          <w:tcPr>
            <w:tcW w:w="2075" w:type="pct"/>
            <w:noWrap w:val="0"/>
            <w:vAlign w:val="center"/>
          </w:tcPr>
          <w:p>
            <w:pPr>
              <w:spacing w:line="400" w:lineRule="exact"/>
              <w:rPr>
                <w:rFonts w:ascii="宋体" w:hAnsi="宋体"/>
                <w:color w:val="auto"/>
                <w:szCs w:val="21"/>
              </w:rPr>
            </w:pPr>
          </w:p>
        </w:tc>
        <w:tc>
          <w:tcPr>
            <w:tcW w:w="1159"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392" w:type="pct"/>
            <w:noWrap w:val="0"/>
            <w:vAlign w:val="center"/>
          </w:tcPr>
          <w:p>
            <w:pPr>
              <w:jc w:val="center"/>
              <w:rPr>
                <w:rFonts w:ascii="宋体" w:hAnsi="宋体"/>
                <w:color w:val="auto"/>
                <w:szCs w:val="21"/>
              </w:rPr>
            </w:pPr>
            <w:r>
              <w:rPr>
                <w:rFonts w:hint="eastAsia" w:ascii="宋体" w:hAnsi="宋体"/>
                <w:color w:val="auto"/>
                <w:szCs w:val="21"/>
              </w:rPr>
              <w:t>…</w:t>
            </w:r>
          </w:p>
        </w:tc>
        <w:tc>
          <w:tcPr>
            <w:tcW w:w="1374" w:type="pct"/>
            <w:noWrap w:val="0"/>
            <w:vAlign w:val="center"/>
          </w:tcPr>
          <w:p>
            <w:pPr>
              <w:jc w:val="center"/>
              <w:rPr>
                <w:rFonts w:ascii="宋体" w:hAnsi="宋体"/>
                <w:color w:val="auto"/>
                <w:szCs w:val="21"/>
              </w:rPr>
            </w:pPr>
          </w:p>
        </w:tc>
        <w:tc>
          <w:tcPr>
            <w:tcW w:w="2075" w:type="pct"/>
            <w:noWrap w:val="0"/>
            <w:vAlign w:val="center"/>
          </w:tcPr>
          <w:p>
            <w:pPr>
              <w:jc w:val="center"/>
              <w:rPr>
                <w:rFonts w:ascii="宋体" w:hAnsi="宋体"/>
                <w:color w:val="auto"/>
                <w:szCs w:val="21"/>
              </w:rPr>
            </w:pPr>
          </w:p>
        </w:tc>
        <w:tc>
          <w:tcPr>
            <w:tcW w:w="1159" w:type="pct"/>
            <w:noWrap w:val="0"/>
            <w:vAlign w:val="center"/>
          </w:tcPr>
          <w:p>
            <w:pPr>
              <w:rPr>
                <w:rFonts w:ascii="宋体" w:hAnsi="宋体"/>
                <w:color w:val="auto"/>
                <w:szCs w:val="21"/>
              </w:rPr>
            </w:pPr>
          </w:p>
        </w:tc>
      </w:tr>
    </w:tbl>
    <w:p>
      <w:pPr>
        <w:adjustRightInd w:val="0"/>
        <w:snapToGrid w:val="0"/>
        <w:rPr>
          <w:rFonts w:ascii="宋体" w:hAnsi="宋体"/>
          <w:color w:val="auto"/>
          <w:szCs w:val="21"/>
          <w:lang w:val="en-GB"/>
        </w:rPr>
      </w:pPr>
      <w:r>
        <w:rPr>
          <w:rFonts w:hint="eastAsia" w:ascii="宋体" w:hAnsi="宋体"/>
          <w:color w:val="auto"/>
          <w:szCs w:val="21"/>
          <w:lang w:val="en-GB"/>
        </w:rPr>
        <w:t>注：投标人应根据《商务评审表》的各项内容填写此表。</w:t>
      </w:r>
    </w:p>
    <w:p>
      <w:pPr>
        <w:adjustRightInd w:val="0"/>
        <w:snapToGrid w:val="0"/>
        <w:rPr>
          <w:rFonts w:ascii="宋体" w:hAnsi="宋体"/>
          <w:color w:val="auto"/>
          <w:szCs w:val="21"/>
          <w:lang w:val="en-GB"/>
        </w:rPr>
      </w:pPr>
    </w:p>
    <w:p>
      <w:pPr>
        <w:adjustRightInd w:val="0"/>
        <w:snapToGrid w:val="0"/>
        <w:rPr>
          <w:rFonts w:ascii="宋体" w:hAnsi="宋体"/>
          <w:color w:val="auto"/>
          <w:szCs w:val="21"/>
          <w:lang w:val="en-GB"/>
        </w:rPr>
      </w:pPr>
    </w:p>
    <w:p>
      <w:pPr>
        <w:adjustRightInd w:val="0"/>
        <w:snapToGrid w:val="0"/>
        <w:rPr>
          <w:rFonts w:ascii="宋体" w:hAnsi="宋体"/>
          <w:color w:val="auto"/>
          <w:szCs w:val="21"/>
        </w:rPr>
      </w:pPr>
    </w:p>
    <w:p>
      <w:pPr>
        <w:autoSpaceDE w:val="0"/>
        <w:autoSpaceDN w:val="0"/>
        <w:adjustRightInd w:val="0"/>
        <w:jc w:val="center"/>
        <w:outlineLvl w:val="2"/>
        <w:rPr>
          <w:rFonts w:ascii="宋体" w:hAnsi="宋体"/>
          <w:b/>
          <w:color w:val="auto"/>
          <w:sz w:val="30"/>
          <w:szCs w:val="30"/>
        </w:rPr>
      </w:pPr>
      <w:r>
        <w:rPr>
          <w:rFonts w:hint="eastAsia" w:ascii="宋体" w:hAnsi="宋体"/>
          <w:b/>
          <w:color w:val="auto"/>
          <w:sz w:val="30"/>
          <w:szCs w:val="30"/>
        </w:rPr>
        <w:t>技术评审自查表</w:t>
      </w:r>
    </w:p>
    <w:tbl>
      <w:tblPr>
        <w:tblStyle w:val="36"/>
        <w:tblW w:w="5246"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31"/>
        <w:gridCol w:w="2692"/>
        <w:gridCol w:w="4067"/>
        <w:gridCol w:w="250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412" w:type="pct"/>
            <w:noWrap w:val="0"/>
            <w:vAlign w:val="center"/>
          </w:tcPr>
          <w:p>
            <w:pPr>
              <w:jc w:val="center"/>
              <w:rPr>
                <w:rFonts w:ascii="宋体" w:hAnsi="宋体"/>
                <w:b/>
                <w:color w:val="auto"/>
                <w:szCs w:val="21"/>
              </w:rPr>
            </w:pPr>
            <w:r>
              <w:rPr>
                <w:rFonts w:hint="eastAsia" w:ascii="宋体" w:hAnsi="宋体"/>
                <w:b/>
                <w:color w:val="auto"/>
                <w:szCs w:val="21"/>
              </w:rPr>
              <w:t>序号</w:t>
            </w:r>
          </w:p>
        </w:tc>
        <w:tc>
          <w:tcPr>
            <w:tcW w:w="1333" w:type="pct"/>
            <w:noWrap w:val="0"/>
            <w:vAlign w:val="center"/>
          </w:tcPr>
          <w:p>
            <w:pPr>
              <w:jc w:val="center"/>
              <w:rPr>
                <w:rFonts w:ascii="宋体" w:hAnsi="宋体"/>
                <w:b/>
                <w:color w:val="auto"/>
                <w:szCs w:val="21"/>
              </w:rPr>
            </w:pPr>
            <w:r>
              <w:rPr>
                <w:rFonts w:hint="eastAsia" w:ascii="宋体" w:hAnsi="宋体"/>
                <w:b/>
                <w:color w:val="auto"/>
                <w:szCs w:val="21"/>
              </w:rPr>
              <w:t>评审分项</w:t>
            </w:r>
          </w:p>
        </w:tc>
        <w:tc>
          <w:tcPr>
            <w:tcW w:w="2014" w:type="pct"/>
            <w:noWrap w:val="0"/>
            <w:vAlign w:val="center"/>
          </w:tcPr>
          <w:p>
            <w:pPr>
              <w:jc w:val="center"/>
              <w:rPr>
                <w:rFonts w:ascii="宋体" w:hAnsi="宋体"/>
                <w:b/>
                <w:color w:val="auto"/>
                <w:szCs w:val="21"/>
              </w:rPr>
            </w:pPr>
            <w:r>
              <w:rPr>
                <w:rFonts w:hint="eastAsia" w:ascii="宋体" w:hAnsi="宋体"/>
                <w:b/>
                <w:color w:val="auto"/>
                <w:szCs w:val="21"/>
              </w:rPr>
              <w:t>内容</w:t>
            </w:r>
          </w:p>
        </w:tc>
        <w:tc>
          <w:tcPr>
            <w:tcW w:w="1241" w:type="pct"/>
            <w:noWrap w:val="0"/>
            <w:vAlign w:val="center"/>
          </w:tcPr>
          <w:p>
            <w:pPr>
              <w:jc w:val="center"/>
              <w:rPr>
                <w:rFonts w:ascii="宋体" w:hAnsi="宋体"/>
                <w:b/>
                <w:color w:val="auto"/>
                <w:szCs w:val="21"/>
              </w:rPr>
            </w:pPr>
            <w:r>
              <w:rPr>
                <w:rFonts w:hint="eastAsia" w:ascii="宋体" w:hAnsi="宋体"/>
                <w:b/>
                <w:color w:val="auto"/>
                <w:szCs w:val="21"/>
              </w:rPr>
              <w:t>证明文件（如有）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412" w:type="pct"/>
            <w:noWrap w:val="0"/>
            <w:vAlign w:val="center"/>
          </w:tcPr>
          <w:p>
            <w:pPr>
              <w:jc w:val="center"/>
              <w:rPr>
                <w:rFonts w:ascii="宋体" w:hAnsi="宋体"/>
                <w:color w:val="auto"/>
                <w:szCs w:val="21"/>
              </w:rPr>
            </w:pPr>
            <w:r>
              <w:rPr>
                <w:rFonts w:hint="eastAsia" w:ascii="宋体" w:hAnsi="宋体"/>
                <w:color w:val="auto"/>
                <w:szCs w:val="21"/>
              </w:rPr>
              <w:t>1</w:t>
            </w:r>
          </w:p>
        </w:tc>
        <w:tc>
          <w:tcPr>
            <w:tcW w:w="1333" w:type="pct"/>
            <w:noWrap w:val="0"/>
            <w:vAlign w:val="center"/>
          </w:tcPr>
          <w:p>
            <w:pPr>
              <w:spacing w:line="400" w:lineRule="exact"/>
              <w:jc w:val="center"/>
              <w:rPr>
                <w:rFonts w:ascii="宋体" w:hAnsi="宋体"/>
                <w:bCs/>
                <w:color w:val="auto"/>
                <w:szCs w:val="21"/>
              </w:rPr>
            </w:pPr>
          </w:p>
        </w:tc>
        <w:tc>
          <w:tcPr>
            <w:tcW w:w="2014" w:type="pct"/>
            <w:noWrap w:val="0"/>
            <w:vAlign w:val="center"/>
          </w:tcPr>
          <w:p>
            <w:pPr>
              <w:spacing w:line="400" w:lineRule="exact"/>
              <w:jc w:val="left"/>
              <w:rPr>
                <w:rFonts w:ascii="宋体" w:hAnsi="宋体"/>
                <w:color w:val="auto"/>
                <w:szCs w:val="21"/>
              </w:rPr>
            </w:pPr>
          </w:p>
        </w:tc>
        <w:tc>
          <w:tcPr>
            <w:tcW w:w="1241"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412" w:type="pct"/>
            <w:noWrap w:val="0"/>
            <w:vAlign w:val="center"/>
          </w:tcPr>
          <w:p>
            <w:pPr>
              <w:jc w:val="center"/>
              <w:rPr>
                <w:rFonts w:ascii="宋体" w:hAnsi="宋体"/>
                <w:color w:val="auto"/>
                <w:szCs w:val="21"/>
              </w:rPr>
            </w:pPr>
            <w:r>
              <w:rPr>
                <w:rFonts w:hint="eastAsia" w:ascii="宋体" w:hAnsi="宋体"/>
                <w:color w:val="auto"/>
                <w:szCs w:val="21"/>
              </w:rPr>
              <w:t>2</w:t>
            </w:r>
          </w:p>
        </w:tc>
        <w:tc>
          <w:tcPr>
            <w:tcW w:w="1333" w:type="pct"/>
            <w:noWrap w:val="0"/>
            <w:vAlign w:val="center"/>
          </w:tcPr>
          <w:p>
            <w:pPr>
              <w:spacing w:line="400" w:lineRule="exact"/>
              <w:jc w:val="center"/>
              <w:rPr>
                <w:rFonts w:ascii="宋体" w:hAnsi="宋体"/>
                <w:bCs/>
                <w:color w:val="auto"/>
                <w:szCs w:val="21"/>
              </w:rPr>
            </w:pPr>
          </w:p>
        </w:tc>
        <w:tc>
          <w:tcPr>
            <w:tcW w:w="2014" w:type="pct"/>
            <w:noWrap w:val="0"/>
            <w:vAlign w:val="center"/>
          </w:tcPr>
          <w:p>
            <w:pPr>
              <w:spacing w:line="400" w:lineRule="exact"/>
              <w:jc w:val="left"/>
              <w:rPr>
                <w:rFonts w:ascii="宋体" w:hAnsi="宋体"/>
                <w:bCs/>
                <w:color w:val="auto"/>
                <w:szCs w:val="21"/>
              </w:rPr>
            </w:pPr>
          </w:p>
        </w:tc>
        <w:tc>
          <w:tcPr>
            <w:tcW w:w="1241"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412" w:type="pct"/>
            <w:noWrap w:val="0"/>
            <w:vAlign w:val="center"/>
          </w:tcPr>
          <w:p>
            <w:pPr>
              <w:jc w:val="center"/>
              <w:rPr>
                <w:rFonts w:ascii="宋体" w:hAnsi="宋体"/>
                <w:color w:val="auto"/>
                <w:szCs w:val="21"/>
              </w:rPr>
            </w:pPr>
            <w:r>
              <w:rPr>
                <w:rFonts w:hint="eastAsia" w:ascii="宋体" w:hAnsi="宋体"/>
                <w:color w:val="auto"/>
                <w:szCs w:val="21"/>
              </w:rPr>
              <w:t>3</w:t>
            </w:r>
          </w:p>
        </w:tc>
        <w:tc>
          <w:tcPr>
            <w:tcW w:w="1333" w:type="pct"/>
            <w:noWrap w:val="0"/>
            <w:vAlign w:val="center"/>
          </w:tcPr>
          <w:p>
            <w:pPr>
              <w:spacing w:line="400" w:lineRule="exact"/>
              <w:jc w:val="center"/>
              <w:rPr>
                <w:rFonts w:ascii="宋体" w:hAnsi="宋体"/>
                <w:bCs/>
                <w:color w:val="auto"/>
                <w:szCs w:val="21"/>
              </w:rPr>
            </w:pPr>
          </w:p>
        </w:tc>
        <w:tc>
          <w:tcPr>
            <w:tcW w:w="2014" w:type="pct"/>
            <w:noWrap w:val="0"/>
            <w:vAlign w:val="center"/>
          </w:tcPr>
          <w:p>
            <w:pPr>
              <w:spacing w:line="400" w:lineRule="exact"/>
              <w:jc w:val="left"/>
              <w:rPr>
                <w:rFonts w:ascii="宋体" w:hAnsi="宋体"/>
                <w:bCs/>
                <w:color w:val="auto"/>
                <w:szCs w:val="21"/>
              </w:rPr>
            </w:pPr>
          </w:p>
        </w:tc>
        <w:tc>
          <w:tcPr>
            <w:tcW w:w="1241" w:type="pct"/>
            <w:noWrap w:val="0"/>
            <w:vAlign w:val="center"/>
          </w:tcPr>
          <w:p>
            <w:pPr>
              <w:jc w:val="center"/>
              <w:rPr>
                <w:rFonts w:ascii="宋体" w:hAnsi="宋体"/>
                <w:color w:val="auto"/>
                <w:szCs w:val="21"/>
              </w:rPr>
            </w:pPr>
            <w:r>
              <w:rPr>
                <w:rFonts w:hint="eastAsia" w:ascii="宋体" w:hAnsi="宋体"/>
                <w:color w:val="auto"/>
                <w:szCs w:val="21"/>
              </w:rPr>
              <w:t>见投标文件（  ）页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1" w:hRule="atLeast"/>
          <w:jc w:val="center"/>
        </w:trPr>
        <w:tc>
          <w:tcPr>
            <w:tcW w:w="412" w:type="pct"/>
            <w:noWrap w:val="0"/>
            <w:vAlign w:val="center"/>
          </w:tcPr>
          <w:p>
            <w:pPr>
              <w:jc w:val="center"/>
              <w:rPr>
                <w:rFonts w:ascii="宋体" w:hAnsi="宋体"/>
                <w:color w:val="auto"/>
                <w:szCs w:val="21"/>
              </w:rPr>
            </w:pPr>
            <w:r>
              <w:rPr>
                <w:rFonts w:hint="eastAsia" w:ascii="宋体" w:hAnsi="宋体"/>
                <w:color w:val="auto"/>
                <w:szCs w:val="21"/>
              </w:rPr>
              <w:t>…</w:t>
            </w:r>
          </w:p>
        </w:tc>
        <w:tc>
          <w:tcPr>
            <w:tcW w:w="1333" w:type="pct"/>
            <w:noWrap w:val="0"/>
            <w:vAlign w:val="center"/>
          </w:tcPr>
          <w:p>
            <w:pPr>
              <w:jc w:val="center"/>
              <w:rPr>
                <w:rFonts w:ascii="宋体" w:hAnsi="宋体"/>
                <w:color w:val="auto"/>
                <w:szCs w:val="21"/>
              </w:rPr>
            </w:pPr>
          </w:p>
        </w:tc>
        <w:tc>
          <w:tcPr>
            <w:tcW w:w="2014" w:type="pct"/>
            <w:noWrap w:val="0"/>
            <w:vAlign w:val="center"/>
          </w:tcPr>
          <w:p>
            <w:pPr>
              <w:jc w:val="center"/>
              <w:rPr>
                <w:rFonts w:ascii="宋体" w:hAnsi="宋体"/>
                <w:color w:val="auto"/>
                <w:szCs w:val="21"/>
              </w:rPr>
            </w:pPr>
          </w:p>
        </w:tc>
        <w:tc>
          <w:tcPr>
            <w:tcW w:w="1241" w:type="pct"/>
            <w:noWrap w:val="0"/>
            <w:vAlign w:val="center"/>
          </w:tcPr>
          <w:p>
            <w:pPr>
              <w:jc w:val="center"/>
              <w:rPr>
                <w:rFonts w:ascii="宋体" w:hAnsi="宋体"/>
                <w:color w:val="auto"/>
                <w:szCs w:val="21"/>
              </w:rPr>
            </w:pPr>
          </w:p>
        </w:tc>
      </w:tr>
    </w:tbl>
    <w:p>
      <w:pPr>
        <w:adjustRightInd w:val="0"/>
        <w:snapToGrid w:val="0"/>
        <w:rPr>
          <w:rFonts w:ascii="宋体" w:hAnsi="宋体"/>
          <w:color w:val="auto"/>
          <w:szCs w:val="21"/>
          <w:lang w:val="en-GB"/>
        </w:rPr>
      </w:pPr>
      <w:r>
        <w:rPr>
          <w:rFonts w:hint="eastAsia" w:ascii="宋体" w:hAnsi="宋体"/>
          <w:color w:val="auto"/>
          <w:szCs w:val="21"/>
          <w:lang w:val="en-GB"/>
        </w:rPr>
        <w:t>注：投标人应根据《技术评审表》的各项内容填写此表。</w:t>
      </w:r>
    </w:p>
    <w:p>
      <w:pPr>
        <w:autoSpaceDE w:val="0"/>
        <w:autoSpaceDN w:val="0"/>
        <w:adjustRightInd w:val="0"/>
        <w:jc w:val="left"/>
        <w:rPr>
          <w:rFonts w:ascii="宋体" w:hAnsi="宋体" w:cs="宋体"/>
          <w:color w:val="auto"/>
          <w:kern w:val="0"/>
          <w:szCs w:val="21"/>
        </w:rPr>
      </w:pPr>
    </w:p>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投标函</w:t>
      </w:r>
    </w:p>
    <w:bookmarkEnd w:id="56"/>
    <w:bookmarkEnd w:id="57"/>
    <w:p>
      <w:pPr>
        <w:pStyle w:val="13"/>
        <w:spacing w:line="360" w:lineRule="auto"/>
        <w:jc w:val="center"/>
        <w:rPr>
          <w:rFonts w:ascii="宋体" w:hAnsi="宋体"/>
          <w:b/>
          <w:bCs/>
          <w:color w:val="auto"/>
          <w:sz w:val="30"/>
          <w:szCs w:val="30"/>
        </w:rPr>
      </w:pPr>
      <w:bookmarkStart w:id="60" w:name="_Toc385940900"/>
      <w:bookmarkStart w:id="61" w:name="_Toc76354921"/>
      <w:bookmarkStart w:id="62" w:name="_Toc50691028"/>
      <w:bookmarkStart w:id="63" w:name="_Toc52165083"/>
      <w:bookmarkStart w:id="64" w:name="_Toc50691040"/>
      <w:bookmarkStart w:id="65" w:name="_Toc50737293"/>
      <w:bookmarkStart w:id="66" w:name="_Toc50737325"/>
      <w:bookmarkStart w:id="67" w:name="_Toc52165077"/>
      <w:bookmarkStart w:id="68" w:name="_Toc50737299"/>
      <w:bookmarkStart w:id="69" w:name="_Toc76354927"/>
      <w:bookmarkStart w:id="70" w:name="_Toc50736479"/>
      <w:bookmarkStart w:id="71" w:name="_Toc50736473"/>
      <w:bookmarkStart w:id="72" w:name="_Toc50737331"/>
      <w:r>
        <w:rPr>
          <w:rFonts w:hint="eastAsia" w:ascii="宋体" w:hAnsi="宋体"/>
          <w:b/>
          <w:bCs/>
          <w:color w:val="auto"/>
          <w:sz w:val="30"/>
          <w:szCs w:val="30"/>
        </w:rPr>
        <w:t>投  标  函</w:t>
      </w:r>
      <w:bookmarkEnd w:id="60"/>
    </w:p>
    <w:p>
      <w:pPr>
        <w:spacing w:line="360" w:lineRule="auto"/>
        <w:ind w:left="105" w:leftChars="50" w:firstLine="2"/>
        <w:rPr>
          <w:rFonts w:ascii="宋体" w:hAnsi="宋体"/>
          <w:color w:val="auto"/>
        </w:rPr>
      </w:pPr>
      <w:r>
        <w:rPr>
          <w:rFonts w:hint="eastAsia" w:ascii="宋体" w:hAnsi="宋体"/>
          <w:color w:val="auto"/>
        </w:rPr>
        <w:t>致：广东中程招标代理有限公司</w:t>
      </w:r>
    </w:p>
    <w:p>
      <w:pPr>
        <w:spacing w:line="360" w:lineRule="auto"/>
        <w:ind w:left="105" w:leftChars="50" w:firstLine="373" w:firstLineChars="178"/>
        <w:jc w:val="left"/>
        <w:rPr>
          <w:rFonts w:ascii="宋体" w:hAnsi="宋体"/>
          <w:color w:val="auto"/>
        </w:rPr>
      </w:pPr>
      <w:r>
        <w:rPr>
          <w:rFonts w:hint="eastAsia" w:ascii="宋体" w:hAnsi="宋体"/>
          <w:color w:val="auto"/>
        </w:rPr>
        <w:t>根据贵方招标的项目名称：</w:t>
      </w:r>
      <w:r>
        <w:rPr>
          <w:rFonts w:hint="eastAsia" w:ascii="宋体" w:hAnsi="宋体"/>
          <w:color w:val="auto"/>
          <w:u w:val="single"/>
        </w:rPr>
        <w:t xml:space="preserve">广东省外语艺术职业学院校园网出口带宽服务项目定点议价供应商资格遴选 </w:t>
      </w:r>
      <w:r>
        <w:rPr>
          <w:rFonts w:ascii="宋体" w:hAnsi="宋体"/>
          <w:color w:val="auto"/>
        </w:rPr>
        <w:t>(</w:t>
      </w:r>
      <w:r>
        <w:rPr>
          <w:rFonts w:hint="eastAsia" w:ascii="宋体" w:hAnsi="宋体"/>
          <w:color w:val="auto"/>
        </w:rPr>
        <w:t>项目编号：</w:t>
      </w:r>
      <w:r>
        <w:rPr>
          <w:rFonts w:hint="eastAsia" w:ascii="宋体" w:hAnsi="宋体"/>
          <w:color w:val="auto"/>
          <w:u w:val="single"/>
        </w:rPr>
        <w:t>GDZC24DB1010Z</w:t>
      </w:r>
      <w:r>
        <w:rPr>
          <w:rFonts w:ascii="宋体" w:hAnsi="宋体"/>
          <w:color w:val="auto"/>
        </w:rPr>
        <w:t>)</w:t>
      </w:r>
      <w:r>
        <w:rPr>
          <w:rFonts w:hint="eastAsia" w:ascii="宋体" w:hAnsi="宋体"/>
          <w:color w:val="auto"/>
        </w:rPr>
        <w:t>的招标文件要求，签字代表________________</w:t>
      </w:r>
      <w:r>
        <w:rPr>
          <w:rFonts w:ascii="宋体" w:hAnsi="宋体"/>
          <w:color w:val="auto"/>
        </w:rPr>
        <w:t>(</w:t>
      </w:r>
      <w:r>
        <w:rPr>
          <w:rFonts w:hint="eastAsia" w:ascii="宋体" w:hAnsi="宋体"/>
          <w:color w:val="auto"/>
        </w:rPr>
        <w:t>全名及职衔</w:t>
      </w:r>
      <w:r>
        <w:rPr>
          <w:rFonts w:ascii="宋体" w:hAnsi="宋体"/>
          <w:color w:val="auto"/>
        </w:rPr>
        <w:t>)</w:t>
      </w:r>
      <w:r>
        <w:rPr>
          <w:rFonts w:hint="eastAsia" w:ascii="宋体" w:hAnsi="宋体"/>
          <w:color w:val="auto"/>
        </w:rPr>
        <w:t>经正式授权并以投标人</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w:t>
      </w:r>
      <w:r>
        <w:rPr>
          <w:rFonts w:hint="eastAsia" w:ascii="宋体" w:hAnsi="宋体"/>
          <w:color w:val="auto"/>
        </w:rPr>
        <w:t>投标人名称、地址</w:t>
      </w:r>
      <w:r>
        <w:rPr>
          <w:rFonts w:ascii="宋体" w:hAnsi="宋体"/>
          <w:color w:val="auto"/>
        </w:rPr>
        <w:t>)</w:t>
      </w:r>
      <w:r>
        <w:rPr>
          <w:rFonts w:hint="eastAsia" w:ascii="宋体" w:hAnsi="宋体"/>
          <w:color w:val="auto"/>
        </w:rPr>
        <w:t>的名义投标，并提交投标文件。</w:t>
      </w:r>
    </w:p>
    <w:p>
      <w:pPr>
        <w:spacing w:line="360" w:lineRule="auto"/>
        <w:ind w:firstLine="420" w:firstLineChars="200"/>
        <w:rPr>
          <w:rFonts w:ascii="宋体" w:hAnsi="宋体"/>
          <w:color w:val="auto"/>
        </w:rPr>
      </w:pPr>
      <w:r>
        <w:rPr>
          <w:rFonts w:hint="eastAsia" w:ascii="宋体" w:hAnsi="宋体"/>
          <w:color w:val="auto"/>
        </w:rPr>
        <w:t>在此，我方声明如下：</w:t>
      </w:r>
    </w:p>
    <w:p>
      <w:pPr>
        <w:numPr>
          <w:ilvl w:val="0"/>
          <w:numId w:val="65"/>
        </w:numPr>
        <w:spacing w:line="360" w:lineRule="auto"/>
        <w:rPr>
          <w:rFonts w:ascii="宋体" w:hAnsi="宋体"/>
          <w:color w:val="auto"/>
        </w:rPr>
      </w:pPr>
      <w:r>
        <w:rPr>
          <w:rFonts w:hint="eastAsia" w:ascii="宋体" w:hAnsi="宋体"/>
          <w:color w:val="auto"/>
        </w:rPr>
        <w:t>我方</w:t>
      </w:r>
      <w:r>
        <w:rPr>
          <w:rFonts w:hint="eastAsia"/>
          <w:color w:val="auto"/>
          <w:szCs w:val="21"/>
        </w:rPr>
        <w:t>同意并接受招标文件的各项要求，遵守招标文件中的各项规定，按招</w:t>
      </w:r>
      <w:r>
        <w:rPr>
          <w:rFonts w:hint="eastAsia" w:ascii="宋体" w:hAnsi="宋体"/>
          <w:color w:val="auto"/>
          <w:szCs w:val="21"/>
        </w:rPr>
        <w:t>标文件的要求提供报价。</w:t>
      </w:r>
    </w:p>
    <w:p>
      <w:pPr>
        <w:numPr>
          <w:ilvl w:val="0"/>
          <w:numId w:val="65"/>
        </w:numPr>
        <w:spacing w:line="360" w:lineRule="auto"/>
        <w:rPr>
          <w:rFonts w:ascii="宋体" w:hAnsi="宋体"/>
          <w:color w:val="auto"/>
        </w:rPr>
      </w:pPr>
      <w:r>
        <w:rPr>
          <w:rFonts w:hint="eastAsia" w:ascii="宋体" w:hAnsi="宋体"/>
          <w:color w:val="auto"/>
        </w:rPr>
        <w:t>我方同意投标有效期为投标截止日起90天。如果我方的中标，投标有效期延长至合同验收之日。</w:t>
      </w:r>
    </w:p>
    <w:p>
      <w:pPr>
        <w:numPr>
          <w:ilvl w:val="0"/>
          <w:numId w:val="65"/>
        </w:numPr>
        <w:spacing w:line="360" w:lineRule="auto"/>
        <w:rPr>
          <w:rFonts w:ascii="宋体" w:hAnsi="宋体"/>
          <w:color w:val="auto"/>
        </w:rPr>
      </w:pPr>
      <w:r>
        <w:rPr>
          <w:rFonts w:hint="eastAsia" w:ascii="宋体" w:hAnsi="宋体"/>
          <w:color w:val="auto"/>
        </w:rPr>
        <w:t>我方已经详细地阅读并完全明白了全部招标文件及附件，包括澄清、修改（如有）和所有已提供的参考资料以及有关附件，我方完全明白并认为此招标文件没有倾向性，也不存在排斥潜在投标人的内容，我方同意招标文件的相关条款，放弃对招标文件提出误解和质疑的一切权力。</w:t>
      </w:r>
    </w:p>
    <w:p>
      <w:pPr>
        <w:numPr>
          <w:ilvl w:val="0"/>
          <w:numId w:val="65"/>
        </w:numPr>
        <w:spacing w:line="360" w:lineRule="auto"/>
        <w:rPr>
          <w:rFonts w:ascii="宋体" w:hAnsi="宋体"/>
          <w:color w:val="auto"/>
        </w:rPr>
      </w:pPr>
      <w:r>
        <w:rPr>
          <w:rFonts w:hint="eastAsia" w:ascii="宋体" w:hAnsi="宋体"/>
          <w:color w:val="auto"/>
        </w:rPr>
        <w:t>我方已毫无保留地向贵方提供一切所需的证明材料。</w:t>
      </w:r>
    </w:p>
    <w:p>
      <w:pPr>
        <w:numPr>
          <w:ilvl w:val="0"/>
          <w:numId w:val="65"/>
        </w:numPr>
        <w:spacing w:line="360" w:lineRule="auto"/>
        <w:rPr>
          <w:rFonts w:ascii="宋体" w:hAnsi="宋体"/>
          <w:color w:val="auto"/>
        </w:rPr>
      </w:pPr>
      <w:r>
        <w:rPr>
          <w:rFonts w:hint="eastAsia" w:ascii="宋体" w:hAnsi="宋体"/>
          <w:color w:val="auto"/>
        </w:rPr>
        <w:t>我方完全服从和尊重评委会所作的评定结果，同时清楚理解到报价最低并非意味着必定获得中标资格。</w:t>
      </w:r>
    </w:p>
    <w:p>
      <w:pPr>
        <w:numPr>
          <w:ilvl w:val="0"/>
          <w:numId w:val="65"/>
        </w:numPr>
        <w:spacing w:line="360" w:lineRule="auto"/>
        <w:rPr>
          <w:rFonts w:ascii="宋体" w:hAnsi="宋体"/>
          <w:color w:val="auto"/>
        </w:rPr>
      </w:pPr>
      <w:r>
        <w:rPr>
          <w:rFonts w:ascii="宋体" w:hAnsi="宋体" w:cs="宋体"/>
          <w:color w:val="auto"/>
          <w:kern w:val="0"/>
          <w:szCs w:val="18"/>
        </w:rPr>
        <w:t>完全理解招标代理机构拒绝迟到的任何投标和最低投标报价不是被授予</w:t>
      </w:r>
      <w:r>
        <w:rPr>
          <w:rFonts w:hint="eastAsia" w:ascii="宋体" w:hAnsi="宋体" w:cs="宋体"/>
          <w:color w:val="auto"/>
          <w:kern w:val="0"/>
          <w:szCs w:val="18"/>
        </w:rPr>
        <w:t>中标</w:t>
      </w:r>
      <w:r>
        <w:rPr>
          <w:rFonts w:ascii="宋体" w:hAnsi="宋体" w:cs="宋体"/>
          <w:color w:val="auto"/>
          <w:kern w:val="0"/>
          <w:szCs w:val="18"/>
        </w:rPr>
        <w:t>的唯一条件</w:t>
      </w:r>
      <w:r>
        <w:rPr>
          <w:rFonts w:hint="eastAsia" w:ascii="宋体" w:hAnsi="宋体"/>
          <w:color w:val="auto"/>
        </w:rPr>
        <w:t>。</w:t>
      </w:r>
    </w:p>
    <w:p>
      <w:pPr>
        <w:numPr>
          <w:ilvl w:val="0"/>
          <w:numId w:val="65"/>
        </w:numPr>
        <w:spacing w:line="360" w:lineRule="auto"/>
        <w:rPr>
          <w:rFonts w:ascii="宋体" w:hAnsi="宋体"/>
          <w:color w:val="auto"/>
        </w:rPr>
      </w:pPr>
      <w:r>
        <w:rPr>
          <w:rFonts w:hint="eastAsia" w:ascii="宋体" w:hAnsi="宋体"/>
          <w:color w:val="auto"/>
          <w:spacing w:val="4"/>
        </w:rPr>
        <w:t>如果</w:t>
      </w:r>
      <w:r>
        <w:rPr>
          <w:rFonts w:hint="eastAsia" w:ascii="宋体" w:hAnsi="宋体"/>
          <w:color w:val="auto"/>
        </w:rPr>
        <w:t>我方</w:t>
      </w:r>
      <w:r>
        <w:rPr>
          <w:rFonts w:hint="eastAsia" w:ascii="宋体" w:hAnsi="宋体"/>
          <w:color w:val="auto"/>
          <w:spacing w:val="4"/>
        </w:rPr>
        <w:t>在中标后未能按规定签订采购合同或在</w:t>
      </w:r>
      <w:r>
        <w:rPr>
          <w:rFonts w:ascii="宋体" w:hAnsi="宋体" w:cs="宋体"/>
          <w:color w:val="auto"/>
          <w:kern w:val="0"/>
          <w:szCs w:val="18"/>
        </w:rPr>
        <w:t>投标有效期内撤回投标</w:t>
      </w:r>
      <w:r>
        <w:rPr>
          <w:rFonts w:hint="eastAsia" w:ascii="宋体" w:hAnsi="宋体"/>
          <w:color w:val="auto"/>
          <w:spacing w:val="4"/>
        </w:rPr>
        <w:t>，其投标保证金将被贵方没收。</w:t>
      </w:r>
    </w:p>
    <w:p>
      <w:pPr>
        <w:numPr>
          <w:ilvl w:val="0"/>
          <w:numId w:val="65"/>
        </w:numPr>
        <w:spacing w:line="360" w:lineRule="auto"/>
        <w:rPr>
          <w:color w:val="auto"/>
          <w:spacing w:val="4"/>
        </w:rPr>
      </w:pPr>
      <w:r>
        <w:rPr>
          <w:rFonts w:hint="eastAsia" w:ascii="宋体" w:hAnsi="宋体"/>
          <w:color w:val="auto"/>
          <w:spacing w:val="4"/>
        </w:rPr>
        <w:t>如果我方未对招标文件要求作实质性响应，则完全同意并接受按无效投标处理。</w:t>
      </w:r>
    </w:p>
    <w:p>
      <w:pPr>
        <w:numPr>
          <w:ilvl w:val="0"/>
          <w:numId w:val="65"/>
        </w:numPr>
        <w:spacing w:line="360" w:lineRule="auto"/>
        <w:rPr>
          <w:rFonts w:ascii="宋体" w:hAnsi="宋体"/>
          <w:color w:val="auto"/>
        </w:rPr>
      </w:pPr>
      <w:r>
        <w:rPr>
          <w:rFonts w:hint="eastAsia" w:ascii="宋体" w:hAnsi="宋体"/>
          <w:color w:val="auto"/>
        </w:rPr>
        <w:t>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w:t>
      </w:r>
    </w:p>
    <w:p>
      <w:pPr>
        <w:numPr>
          <w:ilvl w:val="0"/>
          <w:numId w:val="65"/>
        </w:numPr>
        <w:spacing w:line="360" w:lineRule="auto"/>
        <w:rPr>
          <w:rFonts w:ascii="宋体" w:hAnsi="宋体"/>
          <w:color w:val="auto"/>
          <w:u w:val="single"/>
        </w:rPr>
      </w:pPr>
      <w:r>
        <w:rPr>
          <w:rFonts w:hint="eastAsia" w:ascii="宋体" w:hAnsi="宋体"/>
          <w:color w:val="auto"/>
        </w:rPr>
        <w:t>我方同意按招标文件规定向招标代理机构缴纳招标代理服务费。</w:t>
      </w:r>
    </w:p>
    <w:p>
      <w:pPr>
        <w:spacing w:line="360" w:lineRule="auto"/>
        <w:ind w:left="480"/>
        <w:rPr>
          <w:rFonts w:ascii="宋体" w:hAnsi="宋体"/>
          <w:b/>
          <w:color w:val="auto"/>
        </w:rPr>
      </w:pPr>
      <w:r>
        <w:rPr>
          <w:rFonts w:hint="eastAsia" w:ascii="宋体" w:hAnsi="宋体"/>
          <w:b/>
          <w:color w:val="auto"/>
        </w:rPr>
        <w:t>（注：本投标函内容不得擅自删改，否则视为无效投标）</w:t>
      </w:r>
    </w:p>
    <w:p>
      <w:pPr>
        <w:spacing w:line="360" w:lineRule="auto"/>
        <w:ind w:firstLine="105" w:firstLineChars="50"/>
        <w:rPr>
          <w:rFonts w:ascii="宋体" w:hAnsi="宋体"/>
          <w:color w:val="auto"/>
          <w:u w:val="single"/>
        </w:rPr>
      </w:pP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ascii="宋体" w:hAnsi="宋体"/>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widowControl/>
        <w:jc w:val="left"/>
        <w:rPr>
          <w:rFonts w:ascii="宋体" w:hAnsi="宋体"/>
          <w:b/>
          <w:bCs/>
          <w:color w:val="auto"/>
          <w:sz w:val="24"/>
        </w:rPr>
      </w:pPr>
    </w:p>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资格声明函</w:t>
      </w:r>
    </w:p>
    <w:p>
      <w:pPr>
        <w:pStyle w:val="13"/>
        <w:spacing w:line="360" w:lineRule="auto"/>
        <w:jc w:val="center"/>
        <w:rPr>
          <w:rFonts w:ascii="宋体" w:hAnsi="宋体"/>
          <w:b/>
          <w:bCs/>
          <w:color w:val="auto"/>
          <w:sz w:val="30"/>
          <w:szCs w:val="30"/>
        </w:rPr>
      </w:pPr>
      <w:bookmarkStart w:id="73" w:name="_Toc385940901"/>
      <w:r>
        <w:rPr>
          <w:rFonts w:hint="eastAsia" w:ascii="宋体" w:hAnsi="宋体"/>
          <w:b/>
          <w:bCs/>
          <w:color w:val="auto"/>
          <w:sz w:val="30"/>
          <w:szCs w:val="30"/>
        </w:rPr>
        <w:t>资格声明函</w:t>
      </w:r>
      <w:bookmarkEnd w:id="73"/>
    </w:p>
    <w:p>
      <w:pPr>
        <w:spacing w:line="360" w:lineRule="auto"/>
        <w:jc w:val="center"/>
        <w:rPr>
          <w:rFonts w:ascii="宋体" w:hAnsi="宋体"/>
          <w:b/>
          <w:bCs/>
          <w:color w:val="auto"/>
        </w:rPr>
      </w:pPr>
    </w:p>
    <w:p>
      <w:pPr>
        <w:spacing w:line="360" w:lineRule="auto"/>
        <w:rPr>
          <w:rFonts w:ascii="宋体" w:hAnsi="宋体"/>
          <w:b/>
          <w:color w:val="auto"/>
        </w:rPr>
      </w:pPr>
      <w:r>
        <w:rPr>
          <w:rFonts w:hint="eastAsia" w:ascii="宋体" w:hAnsi="宋体"/>
          <w:color w:val="auto"/>
        </w:rPr>
        <w:t>致：广东中程招标代理有限公司</w:t>
      </w:r>
    </w:p>
    <w:p>
      <w:pPr>
        <w:spacing w:line="360" w:lineRule="auto"/>
        <w:ind w:firstLine="420" w:firstLineChars="200"/>
        <w:rPr>
          <w:rFonts w:ascii="宋体"/>
          <w:color w:val="auto"/>
          <w:szCs w:val="21"/>
        </w:rPr>
      </w:pPr>
      <w:r>
        <w:rPr>
          <w:rFonts w:hint="eastAsia" w:ascii="宋体"/>
          <w:color w:val="auto"/>
          <w:szCs w:val="21"/>
        </w:rPr>
        <w:t>下述投标人愿响应你方</w:t>
      </w:r>
      <w:r>
        <w:rPr>
          <w:rFonts w:hint="eastAsia" w:ascii="宋体"/>
          <w:color w:val="auto"/>
          <w:szCs w:val="21"/>
          <w:u w:val="single"/>
        </w:rPr>
        <w:t xml:space="preserve">     </w:t>
      </w:r>
      <w:r>
        <w:rPr>
          <w:rFonts w:hint="eastAsia" w:ascii="宋体"/>
          <w:color w:val="auto"/>
          <w:szCs w:val="21"/>
        </w:rPr>
        <w:t>年</w:t>
      </w:r>
      <w:r>
        <w:rPr>
          <w:rFonts w:hint="eastAsia" w:ascii="宋体"/>
          <w:color w:val="auto"/>
          <w:szCs w:val="21"/>
          <w:u w:val="single"/>
        </w:rPr>
        <w:t xml:space="preserve">     </w:t>
      </w:r>
      <w:r>
        <w:rPr>
          <w:rFonts w:hint="eastAsia" w:ascii="宋体"/>
          <w:color w:val="auto"/>
          <w:szCs w:val="21"/>
        </w:rPr>
        <w:t>月</w:t>
      </w:r>
      <w:r>
        <w:rPr>
          <w:rFonts w:hint="eastAsia" w:ascii="宋体"/>
          <w:color w:val="auto"/>
          <w:szCs w:val="21"/>
          <w:u w:val="single"/>
        </w:rPr>
        <w:t xml:space="preserve">     </w:t>
      </w:r>
      <w:r>
        <w:rPr>
          <w:rFonts w:hint="eastAsia" w:ascii="宋体"/>
          <w:color w:val="auto"/>
          <w:szCs w:val="21"/>
        </w:rPr>
        <w:t>日的</w:t>
      </w:r>
      <w:r>
        <w:rPr>
          <w:rFonts w:ascii="宋体" w:hAnsi="宋体"/>
          <w:color w:val="auto"/>
          <w:u w:val="single"/>
        </w:rPr>
        <w:t xml:space="preserve"> (</w:t>
      </w:r>
      <w:r>
        <w:rPr>
          <w:rFonts w:hint="eastAsia" w:ascii="宋体" w:hAnsi="宋体"/>
          <w:color w:val="auto"/>
          <w:u w:val="single"/>
        </w:rPr>
        <w:t>项目编号：</w:t>
      </w:r>
      <w:r>
        <w:rPr>
          <w:rFonts w:ascii="宋体" w:hAnsi="宋体"/>
          <w:color w:val="auto"/>
          <w:u w:val="single"/>
        </w:rPr>
        <w:t>GDZC24DB1010Z)</w:t>
      </w:r>
      <w:r>
        <w:rPr>
          <w:rFonts w:hint="eastAsia" w:ascii="宋体"/>
          <w:color w:val="auto"/>
          <w:szCs w:val="21"/>
        </w:rPr>
        <w:t>投标邀请，参与投标，提供用户需求书中规定的</w:t>
      </w:r>
      <w:r>
        <w:rPr>
          <w:rFonts w:hint="eastAsia" w:ascii="宋体"/>
          <w:i/>
          <w:color w:val="auto"/>
          <w:szCs w:val="21"/>
          <w:u w:val="single"/>
        </w:rPr>
        <w:t>（招标内容）</w:t>
      </w:r>
      <w:r>
        <w:rPr>
          <w:rFonts w:hint="eastAsia" w:ascii="宋体"/>
          <w:color w:val="auto"/>
          <w:szCs w:val="21"/>
        </w:rPr>
        <w:t>，并按招标文件要求提交所附资格文件且声明和保证如下：</w:t>
      </w:r>
    </w:p>
    <w:p>
      <w:pPr>
        <w:spacing w:line="360" w:lineRule="auto"/>
        <w:ind w:firstLine="420" w:firstLineChars="200"/>
        <w:rPr>
          <w:rFonts w:hint="eastAsia" w:ascii="宋体" w:hAnsi="宋体"/>
          <w:color w:val="auto"/>
        </w:rPr>
      </w:pPr>
      <w:r>
        <w:rPr>
          <w:rFonts w:hint="eastAsia" w:ascii="宋体" w:hAnsi="宋体"/>
          <w:color w:val="auto"/>
        </w:rPr>
        <w:t>我方承诺：</w:t>
      </w:r>
    </w:p>
    <w:p>
      <w:pPr>
        <w:spacing w:line="360" w:lineRule="auto"/>
        <w:ind w:firstLine="420" w:firstLineChars="200"/>
        <w:rPr>
          <w:rFonts w:hint="eastAsia" w:ascii="宋体" w:hAnsi="宋体"/>
          <w:color w:val="auto"/>
        </w:rPr>
      </w:pPr>
      <w:r>
        <w:rPr>
          <w:rFonts w:hint="eastAsia" w:ascii="宋体" w:hAnsi="宋体"/>
          <w:color w:val="auto"/>
        </w:rPr>
        <w:t>（一）</w:t>
      </w:r>
      <w:r>
        <w:rPr>
          <w:rFonts w:hint="eastAsia" w:ascii="宋体" w:hAnsi="宋体"/>
          <w:bCs/>
          <w:color w:val="auto"/>
          <w:kern w:val="28"/>
        </w:rPr>
        <w:t>具备履行合同所必需的设备和专业技术能力</w:t>
      </w:r>
      <w:r>
        <w:rPr>
          <w:rFonts w:hint="eastAsia" w:ascii="宋体" w:hAnsi="宋体"/>
          <w:color w:val="auto"/>
        </w:rPr>
        <w:t>。</w:t>
      </w:r>
    </w:p>
    <w:p>
      <w:pPr>
        <w:spacing w:line="360" w:lineRule="auto"/>
        <w:ind w:firstLine="420" w:firstLineChars="200"/>
        <w:rPr>
          <w:rFonts w:hint="eastAsia" w:ascii="宋体" w:hAnsi="宋体"/>
          <w:color w:val="auto"/>
        </w:rPr>
      </w:pPr>
      <w:r>
        <w:rPr>
          <w:rFonts w:hint="eastAsia" w:ascii="宋体" w:hAnsi="宋体"/>
          <w:color w:val="auto"/>
        </w:rPr>
        <w:t>（二）</w:t>
      </w:r>
      <w:r>
        <w:rPr>
          <w:rFonts w:hint="eastAsia" w:ascii="宋体" w:hAnsi="宋体"/>
          <w:bCs/>
          <w:color w:val="auto"/>
          <w:kern w:val="28"/>
        </w:rPr>
        <w:t>参加经营活动前三年内，在经营活动中没有重大违法记录</w:t>
      </w:r>
      <w:r>
        <w:rPr>
          <w:rFonts w:hint="eastAsia" w:ascii="宋体" w:hAnsi="宋体"/>
          <w:color w:val="auto"/>
        </w:rPr>
        <w:t>。</w:t>
      </w:r>
    </w:p>
    <w:p>
      <w:pPr>
        <w:spacing w:line="360" w:lineRule="auto"/>
        <w:ind w:firstLine="420" w:firstLineChars="200"/>
        <w:rPr>
          <w:rFonts w:hint="eastAsia" w:ascii="宋体" w:hAnsi="宋体"/>
          <w:color w:val="auto"/>
        </w:rPr>
      </w:pPr>
      <w:r>
        <w:rPr>
          <w:rFonts w:hint="eastAsia" w:ascii="宋体" w:hAnsi="宋体"/>
          <w:color w:val="auto"/>
        </w:rPr>
        <w:t>（三）</w:t>
      </w:r>
      <w:r>
        <w:rPr>
          <w:rFonts w:hint="eastAsia" w:ascii="宋体" w:hAnsi="宋体"/>
          <w:bCs/>
          <w:color w:val="auto"/>
          <w:kern w:val="28"/>
        </w:rPr>
        <w:t>符合法律、行政法规规定的其他条件。</w:t>
      </w:r>
    </w:p>
    <w:p>
      <w:pPr>
        <w:spacing w:line="360" w:lineRule="auto"/>
        <w:ind w:firstLine="420" w:firstLineChars="200"/>
        <w:rPr>
          <w:rFonts w:ascii="宋体" w:hAnsi="宋体"/>
          <w:bCs/>
          <w:color w:val="auto"/>
          <w:kern w:val="28"/>
        </w:rPr>
      </w:pPr>
      <w:r>
        <w:rPr>
          <w:rFonts w:hint="eastAsia" w:ascii="宋体" w:hAnsi="宋体"/>
          <w:color w:val="auto"/>
        </w:rPr>
        <w:t>（四）</w:t>
      </w:r>
      <w:r>
        <w:rPr>
          <w:rFonts w:hint="eastAsia" w:ascii="宋体" w:hAnsi="宋体"/>
          <w:bCs/>
          <w:color w:val="auto"/>
          <w:kern w:val="28"/>
        </w:rPr>
        <w:t>不同投标人之间单位负责人为同一人或者存在直接控股、管理关系的不同供应商，不同时参加本采购项目投标。</w:t>
      </w:r>
    </w:p>
    <w:p>
      <w:pPr>
        <w:spacing w:line="360" w:lineRule="auto"/>
        <w:ind w:firstLine="420" w:firstLineChars="200"/>
        <w:rPr>
          <w:rFonts w:hint="eastAsia" w:ascii="宋体" w:hAnsi="宋体"/>
          <w:color w:val="auto"/>
        </w:rPr>
      </w:pPr>
      <w:r>
        <w:rPr>
          <w:rFonts w:hint="eastAsia" w:ascii="宋体" w:hAnsi="宋体"/>
          <w:bCs/>
          <w:color w:val="auto"/>
          <w:kern w:val="28"/>
        </w:rPr>
        <w:t>（五）</w:t>
      </w:r>
      <w:r>
        <w:rPr>
          <w:rFonts w:hint="eastAsia"/>
          <w:color w:val="auto"/>
          <w:szCs w:val="21"/>
        </w:rPr>
        <w:t>本公司（企业）及附属机构，非为本采购项目提供整体设计、规范编制或者项目管理、监理、检测等服务的供应商</w:t>
      </w:r>
      <w:r>
        <w:rPr>
          <w:rFonts w:hint="eastAsia" w:ascii="宋体" w:hAnsi="宋体"/>
          <w:bCs/>
          <w:color w:val="auto"/>
          <w:kern w:val="28"/>
        </w:rPr>
        <w:t>。为采购项目提供整体设计、规范编制或者项目管理、监理、检测等服务的供应商，不得再参加该采购项目的其他采购活动。</w:t>
      </w:r>
    </w:p>
    <w:p>
      <w:pPr>
        <w:spacing w:line="360" w:lineRule="auto"/>
        <w:ind w:firstLine="420" w:firstLineChars="200"/>
        <w:rPr>
          <w:rFonts w:hint="eastAsia" w:ascii="宋体" w:hAnsi="宋体"/>
          <w:color w:val="auto"/>
        </w:rPr>
      </w:pPr>
      <w:r>
        <w:rPr>
          <w:rFonts w:hint="eastAsia" w:ascii="宋体" w:hAnsi="宋体"/>
          <w:color w:val="auto"/>
        </w:rPr>
        <w:t>（六）在本次招标采购活动中提交的所有资质文件是准确、真实、有效的。</w:t>
      </w:r>
    </w:p>
    <w:p>
      <w:pPr>
        <w:spacing w:line="360" w:lineRule="auto"/>
        <w:rPr>
          <w:rFonts w:hint="eastAsia" w:ascii="宋体" w:hAnsi="宋体"/>
          <w:color w:val="auto"/>
        </w:rPr>
      </w:pPr>
      <w:r>
        <w:rPr>
          <w:rFonts w:hint="eastAsia" w:ascii="宋体" w:hAnsi="宋体"/>
          <w:color w:val="auto"/>
        </w:rPr>
        <w:t xml:space="preserve"> </w:t>
      </w:r>
      <w:r>
        <w:rPr>
          <w:rFonts w:ascii="宋体" w:hAnsi="宋体"/>
          <w:color w:val="auto"/>
        </w:rPr>
        <w:t xml:space="preserve">  </w:t>
      </w:r>
      <w:r>
        <w:rPr>
          <w:rFonts w:hint="eastAsia" w:ascii="宋体" w:hAnsi="宋体"/>
          <w:color w:val="auto"/>
        </w:rPr>
        <w:t xml:space="preserve"> 本次招标采购活动中，如有违法、违规、弄虚作假行为，所造成的损失、不良后果及法律责任，一律由我方承担。</w:t>
      </w:r>
    </w:p>
    <w:p>
      <w:pPr>
        <w:spacing w:line="360" w:lineRule="auto"/>
        <w:ind w:firstLine="420" w:firstLineChars="200"/>
        <w:rPr>
          <w:rFonts w:hint="eastAsia" w:ascii="宋体" w:hAnsi="宋体"/>
          <w:color w:val="auto"/>
        </w:rPr>
      </w:pPr>
      <w:r>
        <w:rPr>
          <w:rFonts w:hint="eastAsia" w:ascii="宋体" w:hAnsi="宋体"/>
          <w:color w:val="auto"/>
        </w:rPr>
        <w:t>特此声明！</w:t>
      </w:r>
    </w:p>
    <w:p>
      <w:pPr>
        <w:widowControl/>
        <w:spacing w:line="360" w:lineRule="auto"/>
        <w:jc w:val="left"/>
        <w:rPr>
          <w:rFonts w:ascii="宋体"/>
          <w:color w:val="auto"/>
          <w:szCs w:val="21"/>
        </w:rPr>
      </w:pPr>
      <w:r>
        <w:rPr>
          <w:rFonts w:hint="eastAsia" w:ascii="宋体" w:hAnsi="宋体"/>
          <w:color w:val="auto"/>
        </w:rPr>
        <w:t xml:space="preserve">  </w:t>
      </w:r>
      <w:r>
        <w:rPr>
          <w:rFonts w:hint="eastAsia" w:ascii="宋体" w:hAnsi="宋体"/>
          <w:b/>
          <w:color w:val="auto"/>
        </w:rPr>
        <w:t>注：本资格声明函内容不得擅自删改，否则视为无效投标。</w:t>
      </w:r>
    </w:p>
    <w:p>
      <w:pPr>
        <w:spacing w:line="360" w:lineRule="auto"/>
        <w:ind w:firstLine="617" w:firstLineChars="294"/>
        <w:rPr>
          <w:color w:val="auto"/>
          <w:kern w:val="0"/>
        </w:rPr>
      </w:pPr>
    </w:p>
    <w:p>
      <w:pPr>
        <w:spacing w:line="360" w:lineRule="auto"/>
        <w:ind w:firstLine="420" w:firstLineChars="200"/>
        <w:rPr>
          <w:rFonts w:ascii="宋体" w:hAnsi="宋体"/>
          <w:color w:val="auto"/>
        </w:rPr>
      </w:pPr>
    </w:p>
    <w:p>
      <w:pPr>
        <w:spacing w:line="360" w:lineRule="auto"/>
        <w:rPr>
          <w:rFonts w:ascii="宋体" w:hAnsi="宋体"/>
          <w:color w:val="auto"/>
        </w:rPr>
      </w:pPr>
      <w:r>
        <w:rPr>
          <w:rFonts w:hint="eastAsia" w:ascii="宋体" w:hAnsi="宋体"/>
          <w:color w:val="auto"/>
        </w:rPr>
        <w:t xml:space="preserve">  </w:t>
      </w:r>
    </w:p>
    <w:p>
      <w:pPr>
        <w:spacing w:line="360" w:lineRule="auto"/>
        <w:ind w:firstLine="105" w:firstLineChars="50"/>
        <w:rPr>
          <w:rFonts w:ascii="宋体" w:hAnsi="宋体"/>
          <w:color w:val="auto"/>
          <w:u w:val="single"/>
        </w:rPr>
      </w:pP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ascii="宋体" w:hAnsi="宋体"/>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spacing w:line="360" w:lineRule="auto"/>
        <w:rPr>
          <w:rFonts w:ascii="宋体" w:hAnsi="宋体"/>
          <w:color w:val="auto"/>
        </w:rPr>
      </w:pPr>
    </w:p>
    <w:p>
      <w:pPr>
        <w:pStyle w:val="13"/>
        <w:numPr>
          <w:ilvl w:val="0"/>
          <w:numId w:val="64"/>
        </w:numPr>
        <w:spacing w:line="360" w:lineRule="auto"/>
        <w:outlineLvl w:val="1"/>
        <w:rPr>
          <w:rFonts w:ascii="宋体" w:hAnsi="宋体"/>
          <w:b/>
          <w:bCs/>
          <w:color w:val="auto"/>
        </w:rPr>
      </w:pPr>
      <w:bookmarkStart w:id="74" w:name="_Toc43264516"/>
      <w:bookmarkStart w:id="75" w:name="_Toc50703722"/>
      <w:bookmarkStart w:id="76" w:name="_Toc50691029"/>
      <w:r>
        <w:rPr>
          <w:rFonts w:ascii="宋体" w:hAnsi="宋体"/>
          <w:b/>
          <w:bCs/>
          <w:color w:val="auto"/>
        </w:rPr>
        <w:br w:type="page"/>
      </w:r>
      <w:r>
        <w:rPr>
          <w:rFonts w:hint="eastAsia" w:ascii="宋体" w:hAnsi="宋体"/>
          <w:b/>
          <w:bCs/>
          <w:color w:val="auto"/>
        </w:rPr>
        <w:t>法定代表人（负责人）证明书</w:t>
      </w:r>
    </w:p>
    <w:p>
      <w:pPr>
        <w:spacing w:line="360" w:lineRule="auto"/>
        <w:rPr>
          <w:rFonts w:ascii="宋体" w:hAnsi="宋体"/>
          <w:b/>
          <w:bCs/>
          <w:color w:val="auto"/>
          <w:sz w:val="28"/>
          <w:szCs w:val="28"/>
        </w:rPr>
      </w:pPr>
    </w:p>
    <w:p>
      <w:pPr>
        <w:pStyle w:val="13"/>
        <w:spacing w:line="360" w:lineRule="auto"/>
        <w:jc w:val="center"/>
        <w:rPr>
          <w:rFonts w:ascii="宋体" w:hAnsi="宋体"/>
          <w:b/>
          <w:bCs/>
          <w:color w:val="auto"/>
          <w:sz w:val="30"/>
          <w:szCs w:val="30"/>
        </w:rPr>
      </w:pPr>
      <w:bookmarkStart w:id="77" w:name="_Toc385940902"/>
      <w:r>
        <w:rPr>
          <w:rFonts w:hint="eastAsia" w:ascii="宋体" w:hAnsi="宋体"/>
          <w:b/>
          <w:bCs/>
          <w:color w:val="auto"/>
          <w:sz w:val="30"/>
          <w:szCs w:val="30"/>
        </w:rPr>
        <w:t>法定代表人（负责人）证明书</w:t>
      </w:r>
      <w:bookmarkEnd w:id="77"/>
    </w:p>
    <w:p>
      <w:pPr>
        <w:pStyle w:val="7"/>
        <w:spacing w:line="360" w:lineRule="auto"/>
        <w:rPr>
          <w:rFonts w:ascii="宋体" w:hAnsi="宋体" w:eastAsia="宋体"/>
          <w:bCs/>
          <w:color w:val="auto"/>
          <w:sz w:val="21"/>
          <w:u w:val="single"/>
        </w:rPr>
      </w:pPr>
    </w:p>
    <w:p>
      <w:pPr>
        <w:pStyle w:val="7"/>
        <w:spacing w:line="360" w:lineRule="auto"/>
        <w:rPr>
          <w:rFonts w:ascii="宋体" w:hAnsi="宋体" w:eastAsia="宋体"/>
          <w:bCs/>
          <w:color w:val="auto"/>
          <w:sz w:val="21"/>
          <w:u w:val="single"/>
        </w:rPr>
      </w:pPr>
    </w:p>
    <w:p>
      <w:pPr>
        <w:pStyle w:val="7"/>
        <w:spacing w:line="360" w:lineRule="auto"/>
        <w:ind w:firstLine="840" w:firstLineChars="400"/>
        <w:rPr>
          <w:rFonts w:ascii="宋体" w:hAnsi="宋体" w:eastAsia="宋体"/>
          <w:bCs/>
          <w:color w:val="auto"/>
          <w:sz w:val="21"/>
        </w:rPr>
      </w:pPr>
      <w:r>
        <w:rPr>
          <w:rFonts w:hint="eastAsia" w:ascii="宋体" w:hAnsi="宋体" w:eastAsia="宋体"/>
          <w:bCs/>
          <w:color w:val="auto"/>
          <w:sz w:val="21"/>
          <w:u w:val="single"/>
        </w:rPr>
        <w:t xml:space="preserve">        </w:t>
      </w:r>
      <w:r>
        <w:rPr>
          <w:rFonts w:hint="eastAsia" w:ascii="宋体" w:hAnsi="宋体" w:eastAsia="宋体"/>
          <w:bCs/>
          <w:color w:val="auto"/>
          <w:sz w:val="21"/>
        </w:rPr>
        <w:t>现任我单位</w:t>
      </w:r>
      <w:r>
        <w:rPr>
          <w:rFonts w:hint="eastAsia" w:ascii="宋体" w:hAnsi="宋体" w:eastAsia="宋体"/>
          <w:bCs/>
          <w:color w:val="auto"/>
          <w:sz w:val="21"/>
          <w:u w:val="single"/>
        </w:rPr>
        <w:t xml:space="preserve">                  </w:t>
      </w:r>
      <w:r>
        <w:rPr>
          <w:rFonts w:hint="eastAsia" w:ascii="宋体" w:hAnsi="宋体" w:eastAsia="宋体"/>
          <w:bCs/>
          <w:color w:val="auto"/>
          <w:sz w:val="21"/>
        </w:rPr>
        <w:t xml:space="preserve"> 职务，为法定代表人（负责人），特此证明。</w:t>
      </w:r>
    </w:p>
    <w:p>
      <w:pPr>
        <w:pStyle w:val="7"/>
        <w:spacing w:line="360" w:lineRule="auto"/>
        <w:rPr>
          <w:rFonts w:ascii="宋体" w:hAnsi="宋体" w:eastAsia="宋体"/>
          <w:bCs/>
          <w:color w:val="auto"/>
          <w:sz w:val="21"/>
        </w:rPr>
      </w:pPr>
      <w:r>
        <w:rPr>
          <w:rFonts w:hint="eastAsia" w:ascii="宋体" w:hAnsi="宋体" w:eastAsia="宋体"/>
          <w:bCs/>
          <w:color w:val="auto"/>
          <w:sz w:val="21"/>
        </w:rPr>
        <w:t>签发日期：</w:t>
      </w:r>
      <w:r>
        <w:rPr>
          <w:rFonts w:hint="eastAsia" w:ascii="宋体" w:hAnsi="宋体" w:eastAsia="宋体"/>
          <w:bCs/>
          <w:color w:val="auto"/>
          <w:sz w:val="21"/>
          <w:u w:val="single"/>
        </w:rPr>
        <w:t xml:space="preserve">     </w:t>
      </w:r>
      <w:r>
        <w:rPr>
          <w:rFonts w:hint="eastAsia" w:ascii="宋体" w:hAnsi="宋体" w:eastAsia="宋体"/>
          <w:bCs/>
          <w:color w:val="auto"/>
          <w:sz w:val="21"/>
        </w:rPr>
        <w:t>年</w:t>
      </w:r>
      <w:r>
        <w:rPr>
          <w:rFonts w:hint="eastAsia" w:ascii="宋体" w:hAnsi="宋体" w:eastAsia="宋体"/>
          <w:bCs/>
          <w:color w:val="auto"/>
          <w:sz w:val="21"/>
          <w:u w:val="single"/>
        </w:rPr>
        <w:t xml:space="preserve">     </w:t>
      </w:r>
      <w:r>
        <w:rPr>
          <w:rFonts w:hint="eastAsia" w:ascii="宋体" w:hAnsi="宋体" w:eastAsia="宋体"/>
          <w:bCs/>
          <w:color w:val="auto"/>
          <w:sz w:val="21"/>
        </w:rPr>
        <w:t>月</w:t>
      </w:r>
      <w:r>
        <w:rPr>
          <w:rFonts w:hint="eastAsia" w:ascii="宋体" w:hAnsi="宋体" w:eastAsia="宋体"/>
          <w:bCs/>
          <w:color w:val="auto"/>
          <w:sz w:val="21"/>
          <w:u w:val="single"/>
        </w:rPr>
        <w:t xml:space="preserve">    </w:t>
      </w:r>
      <w:r>
        <w:rPr>
          <w:rFonts w:hint="eastAsia" w:ascii="宋体" w:hAnsi="宋体" w:eastAsia="宋体"/>
          <w:bCs/>
          <w:color w:val="auto"/>
          <w:sz w:val="21"/>
        </w:rPr>
        <w:t>日</w:t>
      </w:r>
    </w:p>
    <w:p>
      <w:pPr>
        <w:pStyle w:val="7"/>
        <w:spacing w:line="360" w:lineRule="auto"/>
        <w:rPr>
          <w:rFonts w:ascii="宋体" w:hAnsi="宋体" w:eastAsia="宋体"/>
          <w:bCs/>
          <w:color w:val="auto"/>
          <w:sz w:val="21"/>
        </w:rPr>
      </w:pPr>
      <w:r>
        <w:rPr>
          <w:rFonts w:hint="eastAsia" w:ascii="宋体" w:hAnsi="宋体" w:eastAsia="宋体"/>
          <w:bCs/>
          <w:color w:val="auto"/>
          <w:sz w:val="21"/>
        </w:rPr>
        <w:t>附：</w:t>
      </w:r>
    </w:p>
    <w:p>
      <w:pPr>
        <w:pStyle w:val="7"/>
        <w:spacing w:line="360" w:lineRule="auto"/>
        <w:rPr>
          <w:rFonts w:ascii="宋体" w:hAnsi="宋体" w:eastAsia="宋体"/>
          <w:bCs/>
          <w:color w:val="auto"/>
          <w:sz w:val="21"/>
        </w:rPr>
      </w:pPr>
      <w:r>
        <w:rPr>
          <w:rFonts w:hint="eastAsia" w:ascii="宋体" w:hAnsi="宋体" w:eastAsia="宋体"/>
          <w:bCs/>
          <w:color w:val="auto"/>
          <w:sz w:val="21"/>
        </w:rPr>
        <w:t>代表人性别：</w:t>
      </w:r>
      <w:r>
        <w:rPr>
          <w:rFonts w:hint="eastAsia" w:ascii="宋体" w:hAnsi="宋体" w:eastAsia="宋体"/>
          <w:bCs/>
          <w:color w:val="auto"/>
          <w:sz w:val="21"/>
          <w:u w:val="single"/>
        </w:rPr>
        <w:t xml:space="preserve">      </w:t>
      </w:r>
      <w:r>
        <w:rPr>
          <w:rFonts w:hint="eastAsia" w:ascii="宋体" w:hAnsi="宋体" w:eastAsia="宋体"/>
          <w:bCs/>
          <w:color w:val="auto"/>
          <w:sz w:val="21"/>
        </w:rPr>
        <w:t>年龄：</w:t>
      </w:r>
      <w:r>
        <w:rPr>
          <w:rFonts w:hint="eastAsia" w:ascii="宋体" w:hAnsi="宋体" w:eastAsia="宋体"/>
          <w:bCs/>
          <w:color w:val="auto"/>
          <w:sz w:val="21"/>
          <w:u w:val="single"/>
        </w:rPr>
        <w:t xml:space="preserve">       </w:t>
      </w:r>
      <w:r>
        <w:rPr>
          <w:rFonts w:hint="eastAsia" w:ascii="宋体" w:hAnsi="宋体" w:eastAsia="宋体"/>
          <w:bCs/>
          <w:color w:val="auto"/>
          <w:sz w:val="21"/>
        </w:rPr>
        <w:t>身份证号码：</w:t>
      </w:r>
      <w:r>
        <w:rPr>
          <w:rFonts w:hint="eastAsia" w:ascii="宋体" w:hAnsi="宋体" w:eastAsia="宋体"/>
          <w:bCs/>
          <w:color w:val="auto"/>
          <w:sz w:val="21"/>
          <w:u w:val="single"/>
        </w:rPr>
        <w:t xml:space="preserve">                   </w:t>
      </w:r>
      <w:r>
        <w:rPr>
          <w:rFonts w:hint="eastAsia" w:ascii="宋体" w:hAnsi="宋体" w:eastAsia="宋体"/>
          <w:bCs/>
          <w:color w:val="auto"/>
          <w:sz w:val="21"/>
        </w:rPr>
        <w:t xml:space="preserve"> </w:t>
      </w:r>
    </w:p>
    <w:p>
      <w:pPr>
        <w:pStyle w:val="7"/>
        <w:spacing w:line="360" w:lineRule="auto"/>
        <w:rPr>
          <w:rFonts w:ascii="宋体" w:hAnsi="宋体" w:eastAsia="宋体"/>
          <w:bCs/>
          <w:color w:val="auto"/>
          <w:sz w:val="21"/>
        </w:rPr>
      </w:pPr>
      <w:r>
        <w:rPr>
          <w:rFonts w:hint="eastAsia" w:ascii="宋体" w:hAnsi="宋体" w:eastAsia="宋体"/>
          <w:bCs/>
          <w:color w:val="auto"/>
          <w:sz w:val="21"/>
        </w:rPr>
        <w:t>营业执照注册号：</w:t>
      </w:r>
      <w:r>
        <w:rPr>
          <w:rFonts w:hint="eastAsia" w:ascii="宋体" w:hAnsi="宋体" w:eastAsia="宋体"/>
          <w:bCs/>
          <w:color w:val="auto"/>
          <w:sz w:val="21"/>
          <w:u w:val="single"/>
        </w:rPr>
        <w:t xml:space="preserve">                       </w:t>
      </w:r>
      <w:r>
        <w:rPr>
          <w:rFonts w:hint="eastAsia" w:ascii="宋体" w:hAnsi="宋体" w:eastAsia="宋体"/>
          <w:bCs/>
          <w:color w:val="auto"/>
          <w:sz w:val="21"/>
        </w:rPr>
        <w:t xml:space="preserve"> 企业类型：</w:t>
      </w:r>
      <w:r>
        <w:rPr>
          <w:rFonts w:hint="eastAsia" w:ascii="宋体" w:hAnsi="宋体" w:eastAsia="宋体"/>
          <w:bCs/>
          <w:color w:val="auto"/>
          <w:sz w:val="21"/>
          <w:u w:val="single"/>
        </w:rPr>
        <w:t xml:space="preserve">                    </w:t>
      </w:r>
      <w:r>
        <w:rPr>
          <w:rFonts w:hint="eastAsia" w:ascii="宋体" w:hAnsi="宋体" w:eastAsia="宋体"/>
          <w:bCs/>
          <w:color w:val="auto"/>
          <w:sz w:val="21"/>
        </w:rPr>
        <w:t xml:space="preserve"> </w:t>
      </w:r>
    </w:p>
    <w:p>
      <w:pPr>
        <w:pStyle w:val="7"/>
        <w:spacing w:line="360" w:lineRule="auto"/>
        <w:rPr>
          <w:rFonts w:ascii="宋体" w:hAnsi="宋体" w:eastAsia="宋体"/>
          <w:b/>
          <w:color w:val="auto"/>
          <w:sz w:val="21"/>
          <w:u w:val="single"/>
        </w:rPr>
      </w:pPr>
      <w:r>
        <w:rPr>
          <w:rFonts w:hint="eastAsia" w:ascii="宋体" w:hAnsi="宋体" w:eastAsia="宋体"/>
          <w:bCs/>
          <w:color w:val="auto"/>
          <w:sz w:val="21"/>
        </w:rPr>
        <w:t>经营范围：</w:t>
      </w:r>
      <w:r>
        <w:rPr>
          <w:rFonts w:hint="eastAsia" w:ascii="宋体" w:hAnsi="宋体" w:eastAsia="宋体"/>
          <w:bCs/>
          <w:color w:val="auto"/>
          <w:sz w:val="21"/>
          <w:u w:val="single"/>
        </w:rPr>
        <w:t xml:space="preserve">     </w:t>
      </w:r>
      <w:r>
        <w:rPr>
          <w:rFonts w:hint="eastAsia" w:ascii="宋体" w:hAnsi="宋体" w:eastAsia="宋体"/>
          <w:b/>
          <w:color w:val="auto"/>
          <w:sz w:val="21"/>
          <w:u w:val="single"/>
        </w:rPr>
        <w:t xml:space="preserve">                                                                     </w:t>
      </w:r>
    </w:p>
    <w:p>
      <w:pPr>
        <w:pStyle w:val="7"/>
        <w:spacing w:line="360" w:lineRule="auto"/>
        <w:rPr>
          <w:rFonts w:ascii="宋体" w:hAnsi="宋体" w:eastAsia="宋体"/>
          <w:b/>
          <w:color w:val="auto"/>
          <w:sz w:val="21"/>
          <w:u w:val="single"/>
        </w:rPr>
      </w:pPr>
      <w:r>
        <w:rPr>
          <w:rFonts w:hint="eastAsia" w:ascii="宋体" w:hAnsi="宋体" w:eastAsia="宋体"/>
          <w:b/>
          <w:color w:val="auto"/>
          <w:sz w:val="21"/>
          <w:u w:val="single"/>
        </w:rPr>
        <w:t xml:space="preserve">                                                                                    </w:t>
      </w:r>
    </w:p>
    <w:p>
      <w:pPr>
        <w:pStyle w:val="7"/>
        <w:spacing w:line="360" w:lineRule="auto"/>
        <w:rPr>
          <w:rFonts w:ascii="宋体" w:hAnsi="宋体" w:eastAsia="宋体"/>
          <w:color w:val="auto"/>
          <w:sz w:val="21"/>
        </w:rPr>
      </w:pPr>
      <w:r>
        <w:rPr>
          <w:rFonts w:hint="eastAsia" w:ascii="宋体" w:hAnsi="宋体" w:eastAsia="宋体"/>
          <w:b/>
          <w:color w:val="auto"/>
          <w:sz w:val="21"/>
          <w:u w:val="single"/>
        </w:rPr>
        <w:t xml:space="preserve">                                          </w:t>
      </w:r>
      <w:r>
        <w:rPr>
          <w:rFonts w:hint="eastAsia" w:ascii="宋体" w:hAnsi="宋体" w:eastAsia="宋体"/>
          <w:color w:val="auto"/>
          <w:sz w:val="21"/>
        </w:rPr>
        <w:t>。</w:t>
      </w:r>
    </w:p>
    <w:p>
      <w:pPr>
        <w:pStyle w:val="7"/>
        <w:spacing w:line="360" w:lineRule="auto"/>
        <w:rPr>
          <w:rFonts w:ascii="宋体" w:hAnsi="宋体" w:eastAsia="宋体"/>
          <w:b/>
          <w:color w:val="auto"/>
          <w:sz w:val="21"/>
        </w:rPr>
      </w:pPr>
    </w:p>
    <w:p>
      <w:pPr>
        <w:spacing w:line="360" w:lineRule="auto"/>
        <w:rPr>
          <w:rFonts w:ascii="宋体" w:hAnsi="宋体"/>
          <w:color w:val="auto"/>
        </w:rPr>
      </w:pPr>
      <w:r>
        <w:rPr>
          <w:rFonts w:ascii="宋体" w:hAnsi="宋体"/>
          <w:color w:val="auto"/>
        </w:rPr>
        <mc:AlternateContent>
          <mc:Choice Requires="wps">
            <w:drawing>
              <wp:anchor distT="0" distB="0" distL="114300" distR="114300" simplePos="0" relativeHeight="251660288" behindDoc="0" locked="0" layoutInCell="1" allowOverlap="1">
                <wp:simplePos x="0" y="0"/>
                <wp:positionH relativeFrom="column">
                  <wp:posOffset>1466850</wp:posOffset>
                </wp:positionH>
                <wp:positionV relativeFrom="paragraph">
                  <wp:posOffset>243840</wp:posOffset>
                </wp:positionV>
                <wp:extent cx="3429000" cy="1981200"/>
                <wp:effectExtent l="4445" t="5080" r="14605" b="13970"/>
                <wp:wrapNone/>
                <wp:docPr id="2" name="Rectangle 34"/>
                <wp:cNvGraphicFramePr/>
                <a:graphic xmlns:a="http://schemas.openxmlformats.org/drawingml/2006/main">
                  <a:graphicData uri="http://schemas.microsoft.com/office/word/2010/wordprocessingShape">
                    <wps:wsp>
                      <wps:cNvSpPr>
                        <a:spLocks noChangeArrowheads="1"/>
                      </wps:cNvSpPr>
                      <wps:spPr bwMode="auto">
                        <a:xfrm>
                          <a:off x="0" y="0"/>
                          <a:ext cx="3429000" cy="1981200"/>
                        </a:xfrm>
                        <a:prstGeom prst="rect">
                          <a:avLst/>
                        </a:prstGeom>
                        <a:solidFill>
                          <a:srgbClr val="FFFFFF"/>
                        </a:solidFill>
                        <a:ln w="9525">
                          <a:solidFill>
                            <a:srgbClr val="000000"/>
                          </a:solidFill>
                          <a:miter lim="800000"/>
                        </a:ln>
                        <a:effectLst/>
                      </wps:spPr>
                      <wps:txbx>
                        <w:txbxContent>
                          <w:p>
                            <w:pPr>
                              <w:jc w:val="center"/>
                              <w:rPr>
                                <w:bCs/>
                                <w:sz w:val="28"/>
                              </w:rPr>
                            </w:pPr>
                            <w:r>
                              <w:rPr>
                                <w:rFonts w:hint="eastAsia" w:ascii="宋体" w:hAnsi="宋体"/>
                                <w:b/>
                                <w:bCs/>
                                <w:sz w:val="30"/>
                                <w:szCs w:val="30"/>
                              </w:rPr>
                              <w:t>法定代表人（负责人）身份证正反面复印件</w:t>
                            </w:r>
                          </w:p>
                        </w:txbxContent>
                      </wps:txbx>
                      <wps:bodyPr rot="0" vert="horz" wrap="square" lIns="91440" tIns="45720" rIns="91440" bIns="45720" anchor="t" anchorCtr="0" upright="1">
                        <a:noAutofit/>
                      </wps:bodyPr>
                    </wps:wsp>
                  </a:graphicData>
                </a:graphic>
              </wp:anchor>
            </w:drawing>
          </mc:Choice>
          <mc:Fallback>
            <w:pict>
              <v:rect id="Rectangle 34" o:spid="_x0000_s1026" o:spt="1" style="position:absolute;left:0pt;margin-left:115.5pt;margin-top:19.2pt;height:156pt;width:270pt;z-index:251660288;mso-width-relative:page;mso-height-relative:page;" fillcolor="#FFFFFF" filled="t" stroked="t" coordsize="21600,21600" o:gfxdata="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91NqW2AAAAAoBAAAPAAAAAAAAAAEAIAAAACIAAABkcnMvZG93bnJl&#10;di54bWxQSwECFAAUAAAACACHTuJAHZIGcTYCAACNBAAADgAAAAAAAAABACAAAAAnAQAAZHJzL2Uy&#10;b0RvYy54bWxQSwUGAAAAAAYABgBZAQAAzwUAAAAA&#10;">
                <v:fill on="t" focussize="0,0"/>
                <v:stroke color="#000000" miterlimit="8" joinstyle="miter"/>
                <v:imagedata o:title=""/>
                <o:lock v:ext="edit" aspectratio="f"/>
                <v:textbox>
                  <w:txbxContent>
                    <w:p>
                      <w:pPr>
                        <w:jc w:val="center"/>
                        <w:rPr>
                          <w:bCs/>
                          <w:sz w:val="28"/>
                        </w:rPr>
                      </w:pPr>
                      <w:r>
                        <w:rPr>
                          <w:rFonts w:hint="eastAsia" w:ascii="宋体" w:hAnsi="宋体"/>
                          <w:b/>
                          <w:bCs/>
                          <w:sz w:val="30"/>
                          <w:szCs w:val="30"/>
                        </w:rPr>
                        <w:t>法定代表人（负责人）身份证正反面复印件</w:t>
                      </w:r>
                    </w:p>
                  </w:txbxContent>
                </v:textbox>
              </v:rect>
            </w:pict>
          </mc:Fallback>
        </mc:AlternateContent>
      </w: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pStyle w:val="7"/>
        <w:spacing w:line="360" w:lineRule="auto"/>
        <w:rPr>
          <w:rFonts w:ascii="宋体" w:hAnsi="宋体" w:eastAsia="宋体"/>
          <w:b/>
          <w:color w:val="auto"/>
          <w:sz w:val="21"/>
        </w:rPr>
      </w:pPr>
    </w:p>
    <w:p>
      <w:pPr>
        <w:tabs>
          <w:tab w:val="left" w:pos="3780"/>
        </w:tabs>
        <w:spacing w:line="360" w:lineRule="auto"/>
        <w:ind w:firstLine="3360" w:firstLineChars="1600"/>
        <w:rPr>
          <w:rFonts w:ascii="宋体" w:hAnsi="宋体"/>
          <w:color w:val="auto"/>
          <w:u w:val="single"/>
        </w:rPr>
      </w:pPr>
      <w:r>
        <w:rPr>
          <w:rFonts w:hint="eastAsia" w:ascii="宋体" w:hAnsi="宋体"/>
          <w:color w:val="auto"/>
        </w:rPr>
        <w:t>投标人名称（盖公章）：</w:t>
      </w:r>
      <w:r>
        <w:rPr>
          <w:rFonts w:hint="eastAsia" w:ascii="宋体" w:hAnsi="宋体"/>
          <w:color w:val="auto"/>
          <w:u w:val="single"/>
        </w:rPr>
        <w:t xml:space="preserve">                              </w:t>
      </w:r>
    </w:p>
    <w:p>
      <w:pPr>
        <w:spacing w:line="360" w:lineRule="auto"/>
        <w:ind w:firstLine="3360" w:firstLineChars="1600"/>
        <w:rPr>
          <w:rFonts w:ascii="宋体" w:hAnsi="宋体"/>
          <w:color w:val="auto"/>
          <w:szCs w:val="20"/>
          <w:u w:val="single"/>
        </w:rPr>
      </w:pPr>
      <w:r>
        <w:rPr>
          <w:rFonts w:hint="eastAsia" w:ascii="宋体" w:hAnsi="宋体"/>
          <w:color w:val="auto"/>
          <w:szCs w:val="20"/>
        </w:rPr>
        <w:t>地   址：</w:t>
      </w:r>
      <w:r>
        <w:rPr>
          <w:rFonts w:hint="eastAsia" w:ascii="宋体" w:hAnsi="宋体"/>
          <w:color w:val="auto"/>
          <w:szCs w:val="20"/>
          <w:u w:val="single"/>
        </w:rPr>
        <w:t xml:space="preserve">                                          </w:t>
      </w:r>
    </w:p>
    <w:p>
      <w:pPr>
        <w:spacing w:line="360" w:lineRule="auto"/>
        <w:ind w:firstLine="3360" w:firstLineChars="1600"/>
        <w:rPr>
          <w:rFonts w:ascii="宋体" w:hAnsi="宋体"/>
          <w:bCs/>
          <w:color w:val="auto"/>
          <w:u w:val="single"/>
        </w:rPr>
      </w:pPr>
      <w:r>
        <w:rPr>
          <w:rFonts w:hint="eastAsia" w:ascii="宋体" w:hAnsi="宋体"/>
          <w:color w:val="auto"/>
          <w:szCs w:val="20"/>
        </w:rPr>
        <w:t>日   期：</w:t>
      </w:r>
      <w:r>
        <w:rPr>
          <w:rFonts w:hint="eastAsia" w:ascii="宋体" w:hAnsi="宋体"/>
          <w:color w:val="auto"/>
          <w:szCs w:val="20"/>
          <w:u w:val="single"/>
        </w:rPr>
        <w:t xml:space="preserve">                                          </w:t>
      </w:r>
    </w:p>
    <w:p>
      <w:pPr>
        <w:spacing w:line="360" w:lineRule="auto"/>
        <w:ind w:left="2" w:firstLine="403" w:firstLineChars="192"/>
        <w:rPr>
          <w:rFonts w:ascii="宋体" w:hAnsi="宋体"/>
          <w:color w:val="auto"/>
        </w:rPr>
      </w:pPr>
    </w:p>
    <w:bookmarkEnd w:id="74"/>
    <w:bookmarkEnd w:id="75"/>
    <w:bookmarkEnd w:id="76"/>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法定代表人授权委托书</w:t>
      </w:r>
    </w:p>
    <w:p>
      <w:pPr>
        <w:spacing w:line="360" w:lineRule="auto"/>
        <w:ind w:left="2" w:firstLine="578" w:firstLineChars="192"/>
        <w:rPr>
          <w:rFonts w:ascii="宋体" w:hAnsi="宋体"/>
          <w:b/>
          <w:bCs/>
          <w:color w:val="auto"/>
          <w:sz w:val="30"/>
          <w:szCs w:val="30"/>
        </w:rPr>
      </w:pPr>
      <w:bookmarkStart w:id="78" w:name="_Toc50737297"/>
      <w:bookmarkStart w:id="79" w:name="_Toc50737329"/>
      <w:bookmarkStart w:id="80" w:name="_Toc50736477"/>
      <w:bookmarkStart w:id="81" w:name="_Toc52165081"/>
      <w:bookmarkStart w:id="82" w:name="_Toc76354925"/>
    </w:p>
    <w:p>
      <w:pPr>
        <w:pStyle w:val="13"/>
        <w:spacing w:line="360" w:lineRule="auto"/>
        <w:jc w:val="center"/>
        <w:rPr>
          <w:rFonts w:ascii="宋体" w:hAnsi="宋体"/>
          <w:b/>
          <w:bCs/>
          <w:color w:val="auto"/>
          <w:sz w:val="30"/>
          <w:szCs w:val="30"/>
        </w:rPr>
      </w:pPr>
      <w:bookmarkStart w:id="83" w:name="_Toc385940903"/>
      <w:r>
        <w:rPr>
          <w:rFonts w:hint="eastAsia" w:ascii="宋体" w:hAnsi="宋体"/>
          <w:b/>
          <w:bCs/>
          <w:color w:val="auto"/>
          <w:sz w:val="30"/>
          <w:szCs w:val="30"/>
        </w:rPr>
        <w:t>法定代表人授权委托书</w:t>
      </w:r>
      <w:bookmarkEnd w:id="78"/>
      <w:bookmarkEnd w:id="79"/>
      <w:bookmarkEnd w:id="80"/>
      <w:bookmarkEnd w:id="81"/>
      <w:bookmarkEnd w:id="82"/>
      <w:bookmarkEnd w:id="83"/>
    </w:p>
    <w:p>
      <w:pPr>
        <w:spacing w:line="360" w:lineRule="auto"/>
        <w:rPr>
          <w:rFonts w:ascii="宋体" w:hAnsi="宋体"/>
          <w:color w:val="auto"/>
        </w:rPr>
      </w:pPr>
    </w:p>
    <w:p>
      <w:pPr>
        <w:spacing w:line="360" w:lineRule="auto"/>
        <w:ind w:left="2" w:firstLine="403" w:firstLineChars="192"/>
        <w:rPr>
          <w:rFonts w:ascii="宋体" w:hAnsi="宋体"/>
          <w:color w:val="auto"/>
        </w:rPr>
      </w:pPr>
      <w:r>
        <w:rPr>
          <w:rFonts w:hint="eastAsia" w:ascii="宋体" w:hAnsi="宋体"/>
          <w:color w:val="auto"/>
        </w:rPr>
        <w:t>本授权书声明：注册于</w:t>
      </w:r>
      <w:r>
        <w:rPr>
          <w:rFonts w:hint="eastAsia" w:ascii="宋体" w:hAnsi="宋体"/>
          <w:color w:val="auto"/>
          <w:u w:val="single"/>
        </w:rPr>
        <w:t xml:space="preserve">  （公司地址）</w:t>
      </w:r>
      <w:r>
        <w:rPr>
          <w:rFonts w:hint="eastAsia" w:ascii="宋体" w:hAnsi="宋体"/>
          <w:color w:val="auto"/>
        </w:rPr>
        <w:t>的</w:t>
      </w:r>
      <w:r>
        <w:rPr>
          <w:rFonts w:hint="eastAsia" w:ascii="宋体" w:hAnsi="宋体"/>
          <w:color w:val="auto"/>
          <w:u w:val="single"/>
        </w:rPr>
        <w:t>（投标人名称）</w:t>
      </w:r>
      <w:r>
        <w:rPr>
          <w:rFonts w:hint="eastAsia" w:ascii="宋体" w:hAnsi="宋体"/>
          <w:color w:val="auto"/>
        </w:rPr>
        <w:t>在下面签字的</w:t>
      </w:r>
      <w:r>
        <w:rPr>
          <w:rFonts w:hint="eastAsia" w:ascii="宋体" w:hAnsi="宋体"/>
          <w:color w:val="auto"/>
          <w:u w:val="single"/>
        </w:rPr>
        <w:t>（法定代表人姓名、职务）</w:t>
      </w:r>
      <w:r>
        <w:rPr>
          <w:rFonts w:hint="eastAsia" w:ascii="宋体" w:hAnsi="宋体"/>
          <w:color w:val="auto"/>
        </w:rPr>
        <w:t>代表本公司授权</w:t>
      </w:r>
      <w:r>
        <w:rPr>
          <w:rFonts w:hint="eastAsia" w:ascii="宋体" w:hAnsi="宋体"/>
          <w:color w:val="auto"/>
          <w:u w:val="single"/>
        </w:rPr>
        <w:t>（单位名称）</w:t>
      </w:r>
      <w:r>
        <w:rPr>
          <w:rFonts w:hint="eastAsia" w:ascii="宋体" w:hAnsi="宋体"/>
          <w:color w:val="auto"/>
        </w:rPr>
        <w:t>的</w:t>
      </w:r>
      <w:r>
        <w:rPr>
          <w:rFonts w:hint="eastAsia" w:ascii="宋体" w:hAnsi="宋体"/>
          <w:color w:val="auto"/>
          <w:u w:val="single"/>
        </w:rPr>
        <w:t>（授权代表姓名、职务）</w:t>
      </w:r>
      <w:r>
        <w:rPr>
          <w:rFonts w:hint="eastAsia" w:ascii="宋体" w:hAnsi="宋体"/>
          <w:color w:val="auto"/>
        </w:rPr>
        <w:t>为本公司的合法代理人，就广东中程招标代理有限公司的项目编号为：</w:t>
      </w:r>
      <w:r>
        <w:rPr>
          <w:rFonts w:hint="eastAsia" w:ascii="宋体" w:hAnsi="宋体"/>
          <w:color w:val="auto"/>
          <w:u w:val="single"/>
        </w:rPr>
        <w:t>GDZC24DB1010Z</w:t>
      </w:r>
      <w:r>
        <w:rPr>
          <w:rFonts w:hint="eastAsia" w:ascii="宋体" w:hAnsi="宋体"/>
          <w:color w:val="auto"/>
        </w:rPr>
        <w:t>的</w:t>
      </w:r>
      <w:r>
        <w:rPr>
          <w:rFonts w:hint="eastAsia" w:ascii="宋体" w:hAnsi="宋体"/>
          <w:color w:val="auto"/>
          <w:u w:val="single"/>
        </w:rPr>
        <w:t>广东省外语艺术职业学院校园网出口带宽服务项目定点议价供应商资格遴选</w:t>
      </w:r>
      <w:r>
        <w:rPr>
          <w:rFonts w:hint="eastAsia" w:ascii="宋体" w:hAnsi="宋体"/>
          <w:color w:val="auto"/>
        </w:rPr>
        <w:t>活动，提交投标文件及采购合同的签订、执行、完成和售后服务，作为投标人代表以本公司的名义处理一切与之有关的事宜。</w:t>
      </w:r>
    </w:p>
    <w:p>
      <w:pPr>
        <w:spacing w:line="360" w:lineRule="auto"/>
        <w:ind w:left="2" w:firstLine="403" w:firstLineChars="192"/>
        <w:rPr>
          <w:rFonts w:ascii="宋体" w:hAnsi="宋体"/>
          <w:color w:val="auto"/>
        </w:rPr>
      </w:pPr>
      <w:r>
        <w:rPr>
          <w:rFonts w:hint="eastAsia" w:ascii="宋体" w:hAnsi="宋体"/>
          <w:color w:val="auto"/>
        </w:rPr>
        <w:t>被授权人（投标企业授权代表）无转委托权限。</w:t>
      </w:r>
    </w:p>
    <w:p>
      <w:pPr>
        <w:spacing w:line="360" w:lineRule="auto"/>
        <w:ind w:left="2" w:firstLine="403" w:firstLineChars="192"/>
        <w:rPr>
          <w:rFonts w:ascii="宋体" w:hAnsi="宋体"/>
          <w:color w:val="auto"/>
        </w:rPr>
      </w:pPr>
      <w:r>
        <w:rPr>
          <w:rFonts w:hint="eastAsia" w:ascii="宋体" w:hAnsi="宋体"/>
          <w:color w:val="auto"/>
        </w:rPr>
        <w:t>本授权书于</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年</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月</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日签字之日起生效，特此声明。</w:t>
      </w:r>
    </w:p>
    <w:p>
      <w:pPr>
        <w:spacing w:line="360" w:lineRule="auto"/>
        <w:rPr>
          <w:rFonts w:ascii="宋体" w:hAnsi="宋体"/>
          <w:color w:val="auto"/>
        </w:rPr>
      </w:pPr>
      <w:r>
        <w:rPr>
          <w:rFonts w:hint="eastAsia" w:ascii="宋体" w:hAnsi="宋体"/>
          <w:color w:val="auto"/>
        </w:rPr>
        <w:t>附：</w:t>
      </w:r>
    </w:p>
    <w:p>
      <w:pPr>
        <w:spacing w:line="360" w:lineRule="auto"/>
        <w:rPr>
          <w:rFonts w:ascii="宋体" w:hAnsi="宋体"/>
          <w:color w:val="auto"/>
          <w:u w:val="single"/>
        </w:rPr>
      </w:pPr>
      <w:r>
        <w:rPr>
          <w:rFonts w:hint="eastAsia" w:ascii="宋体" w:hAnsi="宋体"/>
          <w:color w:val="auto"/>
        </w:rPr>
        <w:t>投标人名称（盖公章）：</w:t>
      </w:r>
      <w:r>
        <w:rPr>
          <w:rFonts w:hint="eastAsia" w:ascii="宋体" w:hAnsi="宋体"/>
          <w:color w:val="auto"/>
          <w:u w:val="single"/>
        </w:rPr>
        <w:t xml:space="preserve">                               </w:t>
      </w:r>
    </w:p>
    <w:p>
      <w:pPr>
        <w:spacing w:line="360" w:lineRule="auto"/>
        <w:rPr>
          <w:rFonts w:ascii="宋体" w:hAnsi="宋体"/>
          <w:color w:val="auto"/>
          <w:u w:val="single"/>
        </w:rPr>
      </w:pPr>
      <w:r>
        <w:rPr>
          <w:rFonts w:hint="eastAsia" w:ascii="宋体" w:hAnsi="宋体"/>
          <w:color w:val="auto"/>
        </w:rPr>
        <w:t>地址：</w:t>
      </w:r>
      <w:r>
        <w:rPr>
          <w:rFonts w:hint="eastAsia" w:ascii="宋体" w:hAnsi="宋体"/>
          <w:color w:val="auto"/>
          <w:u w:val="single"/>
        </w:rPr>
        <w:t xml:space="preserve">                                              </w:t>
      </w:r>
    </w:p>
    <w:p>
      <w:pPr>
        <w:spacing w:line="360" w:lineRule="auto"/>
        <w:rPr>
          <w:rFonts w:ascii="宋体" w:hAnsi="宋体"/>
          <w:color w:val="auto"/>
          <w:u w:val="single"/>
        </w:rPr>
      </w:pPr>
      <w:r>
        <w:rPr>
          <w:rFonts w:hint="eastAsia" w:ascii="宋体" w:hAnsi="宋体"/>
          <w:color w:val="auto"/>
        </w:rPr>
        <w:t>法定代表人签字或盖章：</w:t>
      </w:r>
      <w:r>
        <w:rPr>
          <w:rFonts w:hint="eastAsia" w:ascii="宋体" w:hAnsi="宋体"/>
          <w:color w:val="auto"/>
          <w:u w:val="single"/>
        </w:rPr>
        <w:t xml:space="preserve">                              </w:t>
      </w:r>
    </w:p>
    <w:p>
      <w:pPr>
        <w:spacing w:line="360" w:lineRule="auto"/>
        <w:rPr>
          <w:rFonts w:ascii="宋体" w:hAnsi="宋体"/>
          <w:color w:val="auto"/>
        </w:rPr>
      </w:pPr>
    </w:p>
    <w:p>
      <w:pPr>
        <w:spacing w:line="360" w:lineRule="auto"/>
        <w:rPr>
          <w:rFonts w:ascii="宋体" w:hAnsi="宋体"/>
          <w:color w:val="auto"/>
          <w:u w:val="single"/>
        </w:rPr>
      </w:pPr>
      <w:r>
        <w:rPr>
          <w:rFonts w:hint="eastAsia" w:ascii="宋体" w:hAnsi="宋体"/>
          <w:color w:val="auto"/>
        </w:rPr>
        <w:t>投标人代表（授权代表）签字或盖章：</w:t>
      </w:r>
      <w:r>
        <w:rPr>
          <w:rFonts w:hint="eastAsia" w:ascii="宋体" w:hAnsi="宋体"/>
          <w:color w:val="auto"/>
          <w:u w:val="single"/>
        </w:rPr>
        <w:t xml:space="preserve">                 </w:t>
      </w:r>
    </w:p>
    <w:p>
      <w:pPr>
        <w:spacing w:line="360" w:lineRule="auto"/>
        <w:rPr>
          <w:rFonts w:ascii="宋体" w:hAnsi="宋体"/>
          <w:color w:val="auto"/>
          <w:u w:val="single"/>
        </w:rPr>
      </w:pPr>
      <w:r>
        <w:rPr>
          <w:rFonts w:hint="eastAsia" w:ascii="宋体" w:hAnsi="宋体"/>
          <w:color w:val="auto"/>
        </w:rPr>
        <w:t>职务：</w:t>
      </w:r>
      <w:r>
        <w:rPr>
          <w:rFonts w:hint="eastAsia" w:ascii="宋体" w:hAnsi="宋体"/>
          <w:color w:val="auto"/>
          <w:u w:val="single"/>
        </w:rPr>
        <w:t xml:space="preserve">                </w:t>
      </w:r>
    </w:p>
    <w:p>
      <w:pPr>
        <w:spacing w:line="360" w:lineRule="auto"/>
        <w:rPr>
          <w:rFonts w:ascii="宋体" w:hAnsi="宋体"/>
          <w:color w:val="auto"/>
        </w:rPr>
      </w:pPr>
    </w:p>
    <w:p>
      <w:pPr>
        <w:spacing w:line="360" w:lineRule="auto"/>
        <w:rPr>
          <w:rFonts w:ascii="宋体" w:hAnsi="宋体"/>
          <w:color w:val="auto"/>
        </w:rPr>
      </w:pPr>
      <w:r>
        <w:rPr>
          <w:rFonts w:ascii="宋体" w:hAnsi="宋体"/>
          <w:color w:val="auto"/>
        </w:rPr>
        <mc:AlternateContent>
          <mc:Choice Requires="wps">
            <w:drawing>
              <wp:anchor distT="0" distB="0" distL="114300" distR="114300" simplePos="0" relativeHeight="251659264" behindDoc="0" locked="0" layoutInCell="1" allowOverlap="1">
                <wp:simplePos x="0" y="0"/>
                <wp:positionH relativeFrom="column">
                  <wp:posOffset>1200150</wp:posOffset>
                </wp:positionH>
                <wp:positionV relativeFrom="paragraph">
                  <wp:posOffset>235585</wp:posOffset>
                </wp:positionV>
                <wp:extent cx="3429000" cy="1981200"/>
                <wp:effectExtent l="4445" t="5080" r="14605" b="13970"/>
                <wp:wrapNone/>
                <wp:docPr id="1" name="Rectangle 32"/>
                <wp:cNvGraphicFramePr/>
                <a:graphic xmlns:a="http://schemas.openxmlformats.org/drawingml/2006/main">
                  <a:graphicData uri="http://schemas.microsoft.com/office/word/2010/wordprocessingShape">
                    <wps:wsp>
                      <wps:cNvSpPr>
                        <a:spLocks noChangeArrowheads="1"/>
                      </wps:cNvSpPr>
                      <wps:spPr bwMode="auto">
                        <a:xfrm>
                          <a:off x="0" y="0"/>
                          <a:ext cx="3429000" cy="1981200"/>
                        </a:xfrm>
                        <a:prstGeom prst="rect">
                          <a:avLst/>
                        </a:prstGeom>
                        <a:solidFill>
                          <a:srgbClr val="FFFFFF"/>
                        </a:solidFill>
                        <a:ln w="9525">
                          <a:solidFill>
                            <a:srgbClr val="000000"/>
                          </a:solidFill>
                          <a:miter lim="800000"/>
                        </a:ln>
                        <a:effectLst/>
                      </wps:spPr>
                      <wps:txbx>
                        <w:txbxContent>
                          <w:p>
                            <w:pPr>
                              <w:jc w:val="center"/>
                              <w:rPr>
                                <w:bCs/>
                                <w:sz w:val="28"/>
                              </w:rPr>
                            </w:pPr>
                            <w:r>
                              <w:rPr>
                                <w:rFonts w:hint="eastAsia" w:ascii="宋体" w:hAnsi="宋体"/>
                                <w:b/>
                                <w:bCs/>
                                <w:sz w:val="30"/>
                                <w:szCs w:val="30"/>
                              </w:rPr>
                              <w:t>授权代表身份证正反面复印件</w:t>
                            </w:r>
                          </w:p>
                        </w:txbxContent>
                      </wps:txbx>
                      <wps:bodyPr rot="0" vert="horz" wrap="square" lIns="91440" tIns="45720" rIns="91440" bIns="45720" anchor="t" anchorCtr="0" upright="1">
                        <a:noAutofit/>
                      </wps:bodyPr>
                    </wps:wsp>
                  </a:graphicData>
                </a:graphic>
              </wp:anchor>
            </w:drawing>
          </mc:Choice>
          <mc:Fallback>
            <w:pict>
              <v:rect id="Rectangle 32" o:spid="_x0000_s1026" o:spt="1" style="position:absolute;left:0pt;margin-left:94.5pt;margin-top:18.55pt;height:156pt;width:270pt;z-index:251659264;mso-width-relative:page;mso-height-relative:page;" fillcolor="#FFFFFF" filled="t" stroked="t" coordsize="21600,21600" o:gfxdata="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Z0TqvXAAAACgEAAA8AAAAAAAAAAQAgAAAAIgAAAGRycy9kb3ducmV2&#10;LnhtbFBLAQIUABQAAAAIAIdO4kDXnvB0NgIAAI0EAAAOAAAAAAAAAAEAIAAAACYBAABkcnMvZTJv&#10;RG9jLnhtbFBLBQYAAAAABgAGAFkBAADOBQAAAAA=&#10;">
                <v:fill on="t" focussize="0,0"/>
                <v:stroke color="#000000" miterlimit="8" joinstyle="miter"/>
                <v:imagedata o:title=""/>
                <o:lock v:ext="edit" aspectratio="f"/>
                <v:textbox>
                  <w:txbxContent>
                    <w:p>
                      <w:pPr>
                        <w:jc w:val="center"/>
                        <w:rPr>
                          <w:bCs/>
                          <w:sz w:val="28"/>
                        </w:rPr>
                      </w:pPr>
                      <w:r>
                        <w:rPr>
                          <w:rFonts w:hint="eastAsia" w:ascii="宋体" w:hAnsi="宋体"/>
                          <w:b/>
                          <w:bCs/>
                          <w:sz w:val="30"/>
                          <w:szCs w:val="30"/>
                        </w:rPr>
                        <w:t>授权代表身份证正反面复印件</w:t>
                      </w:r>
                    </w:p>
                  </w:txbxContent>
                </v:textbox>
              </v:rect>
            </w:pict>
          </mc:Fallback>
        </mc:AlternateContent>
      </w: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spacing w:line="360" w:lineRule="auto"/>
        <w:rPr>
          <w:rFonts w:ascii="宋体" w:hAnsi="宋体"/>
          <w:color w:val="auto"/>
        </w:rPr>
      </w:pPr>
    </w:p>
    <w:p>
      <w:pPr>
        <w:widowControl/>
        <w:jc w:val="left"/>
        <w:rPr>
          <w:rFonts w:ascii="宋体" w:hAnsi="宋体"/>
          <w:b/>
          <w:bCs/>
          <w:color w:val="auto"/>
          <w:sz w:val="24"/>
        </w:rPr>
      </w:pPr>
    </w:p>
    <w:p>
      <w:pPr>
        <w:pStyle w:val="13"/>
        <w:numPr>
          <w:ilvl w:val="0"/>
          <w:numId w:val="64"/>
        </w:numPr>
        <w:spacing w:line="360" w:lineRule="auto"/>
        <w:outlineLvl w:val="1"/>
        <w:rPr>
          <w:rFonts w:hint="eastAsia" w:ascii="宋体" w:hAnsi="宋体"/>
          <w:b/>
          <w:bCs/>
          <w:color w:val="auto"/>
        </w:rPr>
      </w:pPr>
      <w:r>
        <w:rPr>
          <w:rFonts w:ascii="宋体" w:hAnsi="宋体"/>
          <w:b/>
          <w:bCs/>
          <w:color w:val="auto"/>
        </w:rPr>
        <w:br w:type="page"/>
      </w:r>
      <w:r>
        <w:rPr>
          <w:rFonts w:hint="eastAsia" w:ascii="宋体" w:hAnsi="宋体"/>
          <w:b/>
          <w:bCs/>
          <w:color w:val="auto"/>
          <w:lang w:eastAsia="zh-CN"/>
        </w:rPr>
        <w:t>开标一览表</w:t>
      </w:r>
    </w:p>
    <w:p>
      <w:pPr>
        <w:pStyle w:val="13"/>
        <w:spacing w:line="360" w:lineRule="auto"/>
        <w:jc w:val="center"/>
        <w:rPr>
          <w:rFonts w:hint="eastAsia" w:ascii="宋体" w:hAnsi="宋体"/>
          <w:b/>
          <w:bCs/>
          <w:color w:val="auto"/>
          <w:sz w:val="30"/>
          <w:szCs w:val="30"/>
          <w:lang w:eastAsia="zh-CN"/>
        </w:rPr>
      </w:pPr>
      <w:bookmarkStart w:id="84" w:name="_Toc385940905"/>
    </w:p>
    <w:p>
      <w:pPr>
        <w:pStyle w:val="13"/>
        <w:spacing w:line="360" w:lineRule="auto"/>
        <w:jc w:val="center"/>
        <w:rPr>
          <w:rFonts w:ascii="宋体" w:hAnsi="宋体"/>
          <w:b/>
          <w:bCs/>
          <w:color w:val="auto"/>
          <w:sz w:val="30"/>
          <w:szCs w:val="30"/>
        </w:rPr>
      </w:pPr>
      <w:r>
        <w:rPr>
          <w:rFonts w:hint="eastAsia" w:ascii="宋体" w:hAnsi="宋体"/>
          <w:b/>
          <w:bCs/>
          <w:color w:val="auto"/>
          <w:sz w:val="30"/>
          <w:szCs w:val="30"/>
        </w:rPr>
        <w:t>开标一览表</w:t>
      </w:r>
      <w:bookmarkEnd w:id="84"/>
    </w:p>
    <w:p>
      <w:pPr>
        <w:spacing w:line="360" w:lineRule="auto"/>
        <w:rPr>
          <w:rFonts w:ascii="宋体" w:hAnsi="宋体"/>
          <w:color w:val="auto"/>
          <w:szCs w:val="21"/>
        </w:rPr>
      </w:pPr>
      <w:r>
        <w:rPr>
          <w:rFonts w:hint="eastAsia" w:ascii="宋体" w:hAnsi="宋体"/>
          <w:color w:val="auto"/>
          <w:szCs w:val="21"/>
        </w:rPr>
        <w:t xml:space="preserve">项目编号：GDZC24DB1010Z                      </w:t>
      </w:r>
    </w:p>
    <w:p>
      <w:pPr>
        <w:rPr>
          <w:rFonts w:hint="eastAsia" w:ascii="宋体" w:hAnsi="宋体"/>
          <w:color w:val="auto"/>
          <w:szCs w:val="21"/>
        </w:rPr>
      </w:pPr>
      <w:r>
        <w:rPr>
          <w:rFonts w:hint="eastAsia" w:ascii="宋体" w:hAnsi="宋体"/>
          <w:color w:val="auto"/>
          <w:szCs w:val="21"/>
        </w:rPr>
        <w:t>项目名称：</w:t>
      </w:r>
      <w:r>
        <w:rPr>
          <w:rFonts w:ascii="宋体" w:hAnsi="宋体"/>
          <w:color w:val="auto"/>
          <w:szCs w:val="21"/>
        </w:rPr>
        <w:t xml:space="preserve">广东省外语艺术职业学院校园网出口带宽服务项目定点议价供应商资格遴选 </w:t>
      </w:r>
    </w:p>
    <w:p>
      <w:pPr>
        <w:rPr>
          <w:rFonts w:ascii="宋体" w:hAnsi="宋体" w:cs="宋体"/>
          <w:color w:val="auto"/>
          <w:kern w:val="0"/>
          <w:sz w:val="24"/>
        </w:rPr>
      </w:pP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986"/>
        <w:gridCol w:w="3303"/>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58" w:hRule="atLeast"/>
          <w:jc w:val="center"/>
        </w:trPr>
        <w:tc>
          <w:tcPr>
            <w:tcW w:w="1584" w:type="pct"/>
            <w:noWrap w:val="0"/>
            <w:vAlign w:val="center"/>
          </w:tcPr>
          <w:p>
            <w:pPr>
              <w:tabs>
                <w:tab w:val="right" w:leader="dot" w:pos="9628"/>
              </w:tabs>
              <w:autoSpaceDE w:val="0"/>
              <w:autoSpaceDN w:val="0"/>
              <w:adjustRightInd w:val="0"/>
              <w:spacing w:line="360" w:lineRule="auto"/>
              <w:jc w:val="center"/>
              <w:rPr>
                <w:rFonts w:ascii="宋体" w:hAnsi="宋体"/>
                <w:color w:val="auto"/>
                <w:szCs w:val="21"/>
                <w:lang w:val="zh-CN"/>
              </w:rPr>
            </w:pPr>
            <w:r>
              <w:rPr>
                <w:rFonts w:hint="eastAsia" w:ascii="宋体" w:hAnsi="宋体"/>
                <w:color w:val="auto"/>
                <w:szCs w:val="21"/>
                <w:lang w:val="zh-CN"/>
              </w:rPr>
              <w:t>招标内容</w:t>
            </w:r>
          </w:p>
        </w:tc>
        <w:tc>
          <w:tcPr>
            <w:tcW w:w="1752" w:type="pct"/>
            <w:noWrap w:val="0"/>
            <w:vAlign w:val="center"/>
          </w:tcPr>
          <w:p>
            <w:pPr>
              <w:tabs>
                <w:tab w:val="right" w:leader="dot" w:pos="9628"/>
              </w:tabs>
              <w:autoSpaceDE w:val="0"/>
              <w:autoSpaceDN w:val="0"/>
              <w:adjustRightInd w:val="0"/>
              <w:spacing w:line="360" w:lineRule="auto"/>
              <w:jc w:val="center"/>
              <w:rPr>
                <w:rFonts w:hint="eastAsia" w:ascii="宋体" w:hAnsi="宋体"/>
                <w:color w:val="auto"/>
                <w:szCs w:val="21"/>
                <w:lang w:val="zh-CN"/>
              </w:rPr>
            </w:pPr>
            <w:r>
              <w:rPr>
                <w:rFonts w:hint="eastAsia" w:ascii="宋体" w:hAnsi="宋体"/>
                <w:color w:val="auto"/>
                <w:szCs w:val="21"/>
                <w:lang w:val="zh-CN"/>
              </w:rPr>
              <w:t>交付期限</w:t>
            </w:r>
          </w:p>
        </w:tc>
        <w:tc>
          <w:tcPr>
            <w:tcW w:w="1664" w:type="pct"/>
            <w:noWrap w:val="0"/>
            <w:vAlign w:val="center"/>
          </w:tcPr>
          <w:p>
            <w:pPr>
              <w:tabs>
                <w:tab w:val="right" w:leader="dot" w:pos="9628"/>
              </w:tabs>
              <w:autoSpaceDE w:val="0"/>
              <w:autoSpaceDN w:val="0"/>
              <w:adjustRightInd w:val="0"/>
              <w:spacing w:line="360" w:lineRule="auto"/>
              <w:jc w:val="center"/>
              <w:rPr>
                <w:rFonts w:ascii="宋体" w:hAnsi="宋体"/>
                <w:color w:val="auto"/>
                <w:szCs w:val="21"/>
                <w:lang w:val="zh-CN"/>
              </w:rPr>
            </w:pPr>
            <w:r>
              <w:rPr>
                <w:rFonts w:hint="eastAsia" w:ascii="宋体" w:hAnsi="宋体"/>
                <w:color w:val="auto"/>
                <w:szCs w:val="21"/>
                <w:lang w:val="zh-CN"/>
              </w:rPr>
              <w:t>投标报价（元）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4" w:hRule="atLeast"/>
          <w:jc w:val="center"/>
        </w:trPr>
        <w:tc>
          <w:tcPr>
            <w:tcW w:w="1584" w:type="pct"/>
            <w:noWrap w:val="0"/>
            <w:vAlign w:val="center"/>
          </w:tcPr>
          <w:p>
            <w:pPr>
              <w:spacing w:line="360" w:lineRule="auto"/>
              <w:jc w:val="center"/>
              <w:rPr>
                <w:rFonts w:hint="eastAsia" w:cs="宋体"/>
                <w:color w:val="auto"/>
              </w:rPr>
            </w:pPr>
            <w:r>
              <w:rPr>
                <w:rFonts w:cs="宋体"/>
                <w:color w:val="auto"/>
              </w:rPr>
              <w:t>校园网出口带宽服务</w:t>
            </w:r>
          </w:p>
        </w:tc>
        <w:tc>
          <w:tcPr>
            <w:tcW w:w="1752" w:type="pct"/>
            <w:noWrap w:val="0"/>
            <w:vAlign w:val="center"/>
          </w:tcPr>
          <w:p>
            <w:pPr>
              <w:tabs>
                <w:tab w:val="left" w:pos="979"/>
              </w:tabs>
              <w:spacing w:line="420" w:lineRule="exact"/>
              <w:jc w:val="center"/>
              <w:rPr>
                <w:rFonts w:hint="eastAsia" w:ascii="宋体" w:hAnsi="宋体" w:cs="宋体"/>
                <w:color w:val="auto"/>
                <w:kern w:val="1"/>
                <w:szCs w:val="21"/>
              </w:rPr>
            </w:pPr>
            <w:r>
              <w:rPr>
                <w:rFonts w:hint="eastAsia" w:ascii="宋体" w:hAnsi="宋体" w:cs="宋体"/>
                <w:color w:val="auto"/>
                <w:kern w:val="1"/>
                <w:szCs w:val="21"/>
              </w:rPr>
              <w:t>自合同签订之日起</w:t>
            </w:r>
            <w:r>
              <w:rPr>
                <w:rFonts w:ascii="宋体" w:hAnsi="宋体" w:cs="宋体"/>
                <w:color w:val="auto"/>
                <w:kern w:val="1"/>
                <w:szCs w:val="21"/>
                <w:u w:val="single"/>
              </w:rPr>
              <w:t xml:space="preserve">    </w:t>
            </w:r>
            <w:r>
              <w:rPr>
                <w:rFonts w:hint="eastAsia" w:ascii="宋体" w:hAnsi="宋体" w:cs="宋体"/>
                <w:color w:val="auto"/>
                <w:kern w:val="1"/>
                <w:szCs w:val="21"/>
              </w:rPr>
              <w:t>个工作日内</w:t>
            </w:r>
          </w:p>
        </w:tc>
        <w:tc>
          <w:tcPr>
            <w:tcW w:w="1664" w:type="pct"/>
            <w:noWrap w:val="0"/>
            <w:vAlign w:val="center"/>
          </w:tcPr>
          <w:p>
            <w:pPr>
              <w:spacing w:line="420" w:lineRule="exact"/>
              <w:ind w:left="-2"/>
              <w:jc w:val="center"/>
              <w:rPr>
                <w:rFonts w:hint="eastAsia" w:ascii="宋体" w:hAnsi="宋体" w:cs="宋体"/>
                <w:color w:val="auto"/>
                <w:kern w:val="1"/>
                <w:szCs w:val="21"/>
              </w:rPr>
            </w:pPr>
          </w:p>
        </w:tc>
      </w:tr>
    </w:tbl>
    <w:p>
      <w:pPr>
        <w:widowControl/>
        <w:jc w:val="left"/>
        <w:rPr>
          <w:rFonts w:hint="eastAsia" w:ascii="宋体" w:hAnsi="宋体"/>
          <w:color w:val="auto"/>
        </w:rPr>
      </w:pPr>
    </w:p>
    <w:p>
      <w:pPr>
        <w:widowControl/>
        <w:jc w:val="left"/>
        <w:rPr>
          <w:rFonts w:ascii="宋体" w:hAnsi="宋体"/>
          <w:color w:val="auto"/>
        </w:rPr>
      </w:pPr>
      <w:r>
        <w:rPr>
          <w:rFonts w:hint="eastAsia" w:ascii="宋体" w:hAnsi="宋体"/>
          <w:color w:val="auto"/>
        </w:rPr>
        <w:t>注：</w:t>
      </w:r>
      <w:r>
        <w:rPr>
          <w:rFonts w:hint="eastAsia"/>
          <w:color w:val="auto"/>
          <w:szCs w:val="21"/>
        </w:rPr>
        <w:t>1.投标人须按要求填写所有信息，不得随意更改本表格式。</w:t>
      </w:r>
    </w:p>
    <w:p>
      <w:pPr>
        <w:spacing w:line="360" w:lineRule="auto"/>
        <w:ind w:firstLine="420" w:firstLineChars="200"/>
        <w:rPr>
          <w:rFonts w:ascii="宋体" w:hAnsi="宋体"/>
          <w:color w:val="auto"/>
        </w:rPr>
      </w:pPr>
      <w:r>
        <w:rPr>
          <w:rFonts w:hint="eastAsia" w:ascii="宋体" w:hAnsi="宋体"/>
          <w:color w:val="auto"/>
        </w:rPr>
        <w:t>2</w:t>
      </w:r>
      <w:r>
        <w:rPr>
          <w:rFonts w:ascii="宋体" w:hAnsi="宋体"/>
          <w:color w:val="auto"/>
        </w:rPr>
        <w:t>.</w:t>
      </w:r>
      <w:r>
        <w:rPr>
          <w:rFonts w:hint="eastAsia" w:ascii="宋体" w:hAnsi="宋体"/>
          <w:color w:val="auto"/>
        </w:rPr>
        <w:t>投标报价包含的内容及要求见第二章用户需求书。</w:t>
      </w:r>
    </w:p>
    <w:p>
      <w:pPr>
        <w:spacing w:line="360" w:lineRule="auto"/>
        <w:ind w:firstLine="420" w:firstLineChars="200"/>
        <w:rPr>
          <w:rFonts w:ascii="宋体" w:hAnsi="宋体"/>
          <w:color w:val="auto"/>
        </w:rPr>
      </w:pPr>
      <w:r>
        <w:rPr>
          <w:rFonts w:hint="eastAsia" w:ascii="宋体" w:hAnsi="宋体"/>
          <w:color w:val="auto"/>
        </w:rPr>
        <w:t>3</w:t>
      </w:r>
      <w:r>
        <w:rPr>
          <w:rFonts w:ascii="宋体" w:hAnsi="宋体"/>
          <w:color w:val="auto"/>
        </w:rPr>
        <w:t>.</w:t>
      </w:r>
      <w:r>
        <w:rPr>
          <w:rFonts w:hint="eastAsia" w:ascii="宋体" w:hAnsi="宋体"/>
          <w:color w:val="auto"/>
        </w:rPr>
        <w:t>以</w:t>
      </w:r>
      <w:r>
        <w:rPr>
          <w:rFonts w:hint="eastAsia" w:ascii="宋体" w:hAnsi="宋体"/>
          <w:color w:val="auto"/>
          <w:u w:val="single"/>
        </w:rPr>
        <w:t>人民币</w:t>
      </w:r>
      <w:r>
        <w:rPr>
          <w:rFonts w:hint="eastAsia" w:ascii="宋体" w:hAnsi="宋体"/>
          <w:color w:val="auto"/>
        </w:rPr>
        <w:t>报价。</w:t>
      </w:r>
    </w:p>
    <w:p>
      <w:pPr>
        <w:spacing w:line="360" w:lineRule="auto"/>
        <w:ind w:firstLine="420" w:firstLineChars="200"/>
        <w:rPr>
          <w:rFonts w:ascii="宋体" w:hAnsi="宋体"/>
          <w:bCs/>
          <w:color w:val="auto"/>
          <w:sz w:val="28"/>
        </w:rPr>
      </w:pPr>
      <w:r>
        <w:rPr>
          <w:rFonts w:hint="eastAsia" w:ascii="宋体" w:hAnsi="宋体"/>
          <w:color w:val="auto"/>
        </w:rPr>
        <w:t>4.此表是</w:t>
      </w:r>
      <w:r>
        <w:rPr>
          <w:rFonts w:hint="eastAsia"/>
          <w:color w:val="auto"/>
          <w:kern w:val="0"/>
          <w:szCs w:val="21"/>
        </w:rPr>
        <w:t>投标文件的必要文件，是投标文件的组成部分，还应另附一份封装在唱标信封中，作为唱标之用。</w:t>
      </w:r>
    </w:p>
    <w:p>
      <w:pPr>
        <w:spacing w:line="360" w:lineRule="auto"/>
        <w:rPr>
          <w:rFonts w:ascii="宋体" w:hAnsi="宋体"/>
          <w:b/>
          <w:bCs/>
          <w:color w:val="auto"/>
        </w:rPr>
      </w:pPr>
    </w:p>
    <w:p>
      <w:pPr>
        <w:spacing w:line="360" w:lineRule="auto"/>
        <w:ind w:firstLine="422" w:firstLineChars="200"/>
        <w:rPr>
          <w:rFonts w:ascii="宋体" w:hAnsi="宋体"/>
          <w:b/>
          <w:bCs/>
          <w:color w:val="auto"/>
        </w:rPr>
      </w:pPr>
    </w:p>
    <w:p>
      <w:pPr>
        <w:spacing w:line="360" w:lineRule="auto"/>
        <w:ind w:firstLine="105" w:firstLineChars="50"/>
        <w:rPr>
          <w:rFonts w:ascii="宋体" w:hAnsi="宋体"/>
          <w:color w:val="auto"/>
          <w:u w:val="single"/>
        </w:rPr>
      </w:pPr>
      <w:r>
        <w:rPr>
          <w:rFonts w:hint="eastAsia" w:ascii="宋体" w:hAnsi="宋体"/>
          <w:b/>
          <w:bCs/>
          <w:color w:val="auto"/>
        </w:rPr>
        <w:t xml:space="preserve">  </w:t>
      </w: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hint="eastAsia" w:ascii="宋体" w:hAnsi="宋体"/>
          <w:b/>
          <w:bCs/>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pStyle w:val="13"/>
        <w:numPr>
          <w:ilvl w:val="0"/>
          <w:numId w:val="64"/>
        </w:numPr>
        <w:spacing w:line="360" w:lineRule="auto"/>
        <w:outlineLvl w:val="1"/>
        <w:rPr>
          <w:rFonts w:hint="eastAsia" w:ascii="宋体" w:hAnsi="宋体"/>
          <w:b/>
          <w:bCs/>
          <w:color w:val="auto"/>
        </w:rPr>
      </w:pPr>
      <w:r>
        <w:rPr>
          <w:rFonts w:ascii="宋体" w:hAnsi="宋体"/>
          <w:b/>
          <w:bCs/>
          <w:color w:val="auto"/>
        </w:rPr>
        <w:br w:type="page"/>
      </w:r>
      <w:r>
        <w:rPr>
          <w:rFonts w:hint="eastAsia" w:ascii="宋体" w:hAnsi="宋体"/>
          <w:b/>
          <w:bCs/>
          <w:color w:val="auto"/>
          <w:lang w:eastAsia="zh-CN"/>
        </w:rPr>
        <w:t>投标分项报价表</w:t>
      </w:r>
    </w:p>
    <w:p>
      <w:pPr>
        <w:pStyle w:val="13"/>
        <w:spacing w:line="360" w:lineRule="auto"/>
        <w:jc w:val="center"/>
        <w:rPr>
          <w:rFonts w:hint="eastAsia" w:ascii="宋体" w:hAnsi="宋体"/>
          <w:b/>
          <w:bCs/>
          <w:color w:val="auto"/>
          <w:sz w:val="32"/>
          <w:szCs w:val="32"/>
        </w:rPr>
      </w:pPr>
      <w:r>
        <w:rPr>
          <w:rFonts w:hint="eastAsia" w:ascii="宋体" w:hAnsi="宋体"/>
          <w:b/>
          <w:bCs/>
          <w:color w:val="auto"/>
          <w:sz w:val="32"/>
          <w:szCs w:val="32"/>
        </w:rPr>
        <w:t>投标分项报价表</w:t>
      </w:r>
    </w:p>
    <w:p>
      <w:pPr>
        <w:snapToGrid w:val="0"/>
        <w:spacing w:line="360" w:lineRule="auto"/>
        <w:jc w:val="center"/>
        <w:rPr>
          <w:rFonts w:hint="eastAsia" w:ascii="宋体" w:hAnsi="宋体"/>
          <w:color w:val="auto"/>
          <w:sz w:val="24"/>
        </w:rPr>
      </w:pPr>
      <w:r>
        <w:rPr>
          <w:rFonts w:hint="eastAsia" w:ascii="宋体" w:hAnsi="宋体"/>
          <w:b/>
          <w:bCs/>
          <w:color w:val="auto"/>
          <w:sz w:val="24"/>
          <w:lang w:val="en-GB"/>
        </w:rPr>
        <w:t>【格式自拟】</w:t>
      </w:r>
    </w:p>
    <w:p>
      <w:pPr>
        <w:snapToGrid w:val="0"/>
        <w:spacing w:line="360" w:lineRule="auto"/>
        <w:rPr>
          <w:rFonts w:hint="eastAsia" w:ascii="宋体" w:hAnsi="宋体"/>
          <w:color w:val="auto"/>
          <w:szCs w:val="21"/>
        </w:rPr>
      </w:pPr>
      <w:r>
        <w:rPr>
          <w:rFonts w:hint="eastAsia" w:ascii="宋体" w:hAnsi="宋体"/>
          <w:color w:val="auto"/>
          <w:szCs w:val="21"/>
        </w:rPr>
        <w:t>项目编号：</w:t>
      </w:r>
      <w:r>
        <w:rPr>
          <w:rFonts w:ascii="宋体" w:hAnsi="宋体"/>
          <w:color w:val="auto"/>
          <w:szCs w:val="21"/>
        </w:rPr>
        <w:t>GDZC24DB1010Z</w:t>
      </w:r>
      <w:r>
        <w:rPr>
          <w:rFonts w:hint="eastAsia" w:ascii="宋体" w:hAnsi="宋体"/>
          <w:color w:val="auto"/>
          <w:szCs w:val="21"/>
        </w:rPr>
        <w:t xml:space="preserve">                             </w:t>
      </w:r>
    </w:p>
    <w:p>
      <w:pPr>
        <w:snapToGrid w:val="0"/>
        <w:spacing w:line="360" w:lineRule="auto"/>
        <w:rPr>
          <w:rFonts w:hint="eastAsia" w:ascii="宋体" w:hAnsi="宋体"/>
          <w:color w:val="auto"/>
          <w:szCs w:val="21"/>
        </w:rPr>
      </w:pPr>
      <w:r>
        <w:rPr>
          <w:rFonts w:hint="eastAsia" w:ascii="宋体" w:hAnsi="宋体"/>
          <w:color w:val="auto"/>
          <w:szCs w:val="21"/>
        </w:rPr>
        <w:t>项目名称：</w:t>
      </w:r>
      <w:r>
        <w:rPr>
          <w:rFonts w:hint="eastAsia" w:ascii="宋体" w:hAnsi="宋体"/>
          <w:color w:val="auto"/>
        </w:rPr>
        <w:t>广东省外语艺术职业学院校园网出口带宽服务项目定点议价供应商资格遴选</w:t>
      </w:r>
    </w:p>
    <w:p>
      <w:pPr>
        <w:spacing w:line="360" w:lineRule="auto"/>
        <w:ind w:firstLine="210" w:firstLineChars="100"/>
        <w:rPr>
          <w:rFonts w:ascii="宋体" w:hAnsi="宋体"/>
          <w:color w:val="auto"/>
        </w:rPr>
      </w:pPr>
    </w:p>
    <w:p>
      <w:pPr>
        <w:spacing w:line="360" w:lineRule="auto"/>
        <w:ind w:firstLine="210" w:firstLineChars="100"/>
        <w:rPr>
          <w:rFonts w:ascii="宋体" w:hAnsi="宋体"/>
          <w:color w:val="auto"/>
        </w:rPr>
      </w:pPr>
    </w:p>
    <w:p>
      <w:pPr>
        <w:spacing w:line="360" w:lineRule="auto"/>
        <w:ind w:firstLine="210" w:firstLineChars="100"/>
        <w:rPr>
          <w:rFonts w:hint="eastAsia" w:ascii="宋体" w:hAnsi="宋体"/>
          <w:color w:val="auto"/>
        </w:rPr>
      </w:pPr>
      <w:r>
        <w:rPr>
          <w:rFonts w:hint="eastAsia" w:ascii="宋体" w:hAnsi="宋体"/>
          <w:color w:val="auto"/>
        </w:rPr>
        <w:t xml:space="preserve">注： </w:t>
      </w:r>
      <w:r>
        <w:rPr>
          <w:rFonts w:ascii="宋体" w:hAnsi="宋体"/>
          <w:color w:val="auto"/>
        </w:rPr>
        <w:t>1.</w:t>
      </w:r>
      <w:r>
        <w:rPr>
          <w:rFonts w:hint="eastAsia" w:ascii="宋体" w:hAnsi="宋体"/>
          <w:color w:val="auto"/>
        </w:rPr>
        <w:t>以</w:t>
      </w:r>
      <w:r>
        <w:rPr>
          <w:rFonts w:hint="eastAsia" w:ascii="宋体" w:hAnsi="宋体"/>
          <w:color w:val="auto"/>
          <w:u w:val="single"/>
        </w:rPr>
        <w:t>人民币</w:t>
      </w:r>
      <w:r>
        <w:rPr>
          <w:rFonts w:hint="eastAsia" w:ascii="宋体" w:hAnsi="宋体"/>
          <w:color w:val="auto"/>
        </w:rPr>
        <w:t>报价。</w:t>
      </w:r>
    </w:p>
    <w:p>
      <w:pPr>
        <w:spacing w:line="360" w:lineRule="auto"/>
        <w:ind w:firstLine="749" w:firstLineChars="357"/>
        <w:rPr>
          <w:rFonts w:hint="eastAsia" w:ascii="宋体" w:hAnsi="宋体"/>
          <w:color w:val="auto"/>
        </w:rPr>
      </w:pPr>
      <w:r>
        <w:rPr>
          <w:rFonts w:hint="eastAsia" w:ascii="宋体" w:hAnsi="宋体"/>
          <w:color w:val="auto"/>
        </w:rPr>
        <w:t>2</w:t>
      </w:r>
      <w:r>
        <w:rPr>
          <w:rFonts w:ascii="宋体" w:hAnsi="宋体"/>
          <w:color w:val="auto"/>
        </w:rPr>
        <w:t>.</w:t>
      </w:r>
      <w:r>
        <w:rPr>
          <w:rFonts w:hint="eastAsia" w:ascii="宋体" w:hAnsi="宋体"/>
          <w:color w:val="auto"/>
          <w:szCs w:val="21"/>
        </w:rPr>
        <w:t>此表如有缺项、漏项，视为投标报价中已包含相关费用，招标人无须另外支付任何费用。</w:t>
      </w:r>
    </w:p>
    <w:p>
      <w:pPr>
        <w:spacing w:line="360" w:lineRule="auto"/>
        <w:ind w:firstLine="749" w:firstLineChars="357"/>
        <w:rPr>
          <w:rFonts w:hint="eastAsia" w:ascii="宋体" w:hAnsi="宋体"/>
          <w:color w:val="auto"/>
        </w:rPr>
      </w:pPr>
      <w:r>
        <w:rPr>
          <w:rFonts w:hint="eastAsia" w:ascii="宋体" w:hAnsi="宋体"/>
          <w:color w:val="auto"/>
        </w:rPr>
        <w:t>3.投标人的详细报价表格式可自定。</w:t>
      </w:r>
    </w:p>
    <w:p>
      <w:pPr>
        <w:spacing w:line="360" w:lineRule="auto"/>
        <w:ind w:firstLine="749" w:firstLineChars="357"/>
        <w:rPr>
          <w:rFonts w:hint="eastAsia" w:ascii="宋体" w:hAnsi="宋体"/>
          <w:color w:val="auto"/>
        </w:rPr>
      </w:pPr>
    </w:p>
    <w:p>
      <w:pPr>
        <w:spacing w:line="360" w:lineRule="auto"/>
        <w:ind w:firstLine="105" w:firstLineChars="50"/>
        <w:rPr>
          <w:rFonts w:hint="eastAsia" w:ascii="宋体" w:hAnsi="宋体"/>
          <w:color w:val="auto"/>
          <w:u w:val="single"/>
        </w:rPr>
      </w:pP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hint="eastAsia"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hint="eastAsia" w:ascii="宋体" w:hAnsi="宋体"/>
          <w:b/>
          <w:bCs/>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★实质性要求响应表</w:t>
      </w:r>
    </w:p>
    <w:p>
      <w:pPr>
        <w:pStyle w:val="13"/>
        <w:spacing w:line="360" w:lineRule="auto"/>
        <w:jc w:val="center"/>
        <w:rPr>
          <w:rFonts w:ascii="宋体" w:hAnsi="宋体"/>
          <w:b/>
          <w:bCs/>
          <w:color w:val="auto"/>
          <w:sz w:val="30"/>
          <w:szCs w:val="30"/>
        </w:rPr>
      </w:pPr>
      <w:bookmarkStart w:id="85" w:name="_Toc385940912"/>
      <w:r>
        <w:rPr>
          <w:rFonts w:hint="eastAsia" w:ascii="宋体" w:hAnsi="宋体" w:cs="宋体"/>
          <w:b/>
          <w:color w:val="auto"/>
          <w:szCs w:val="21"/>
        </w:rPr>
        <w:t>★</w:t>
      </w:r>
      <w:r>
        <w:rPr>
          <w:rFonts w:hint="eastAsia" w:ascii="宋体" w:hAnsi="宋体"/>
          <w:b/>
          <w:bCs/>
          <w:color w:val="auto"/>
          <w:sz w:val="30"/>
          <w:szCs w:val="30"/>
        </w:rPr>
        <w:t>实质性要求响应表</w:t>
      </w:r>
      <w:bookmarkEnd w:id="85"/>
    </w:p>
    <w:p>
      <w:pPr>
        <w:spacing w:line="360" w:lineRule="auto"/>
        <w:rPr>
          <w:rFonts w:ascii="宋体" w:hAnsi="宋体"/>
          <w:color w:val="auto"/>
          <w:szCs w:val="21"/>
        </w:rPr>
      </w:pPr>
      <w:r>
        <w:rPr>
          <w:rFonts w:hint="eastAsia" w:ascii="宋体" w:hAnsi="宋体"/>
          <w:color w:val="auto"/>
          <w:szCs w:val="21"/>
        </w:rPr>
        <w:t>项目编号：</w:t>
      </w:r>
      <w:r>
        <w:rPr>
          <w:rFonts w:hint="eastAsia" w:ascii="宋体" w:hAnsi="宋体"/>
          <w:color w:val="auto"/>
        </w:rPr>
        <w:t>GDZC24DB1010Z</w:t>
      </w:r>
      <w:r>
        <w:rPr>
          <w:rFonts w:hint="eastAsia" w:ascii="宋体" w:hAnsi="宋体"/>
          <w:color w:val="auto"/>
          <w:szCs w:val="21"/>
        </w:rPr>
        <w:t xml:space="preserve"> </w:t>
      </w:r>
    </w:p>
    <w:p>
      <w:pPr>
        <w:spacing w:line="360" w:lineRule="auto"/>
        <w:rPr>
          <w:rFonts w:ascii="宋体" w:hAnsi="宋体"/>
          <w:color w:val="auto"/>
          <w:szCs w:val="21"/>
        </w:rPr>
      </w:pPr>
      <w:r>
        <w:rPr>
          <w:rFonts w:hint="eastAsia" w:ascii="宋体" w:hAnsi="宋体"/>
          <w:color w:val="auto"/>
          <w:szCs w:val="21"/>
        </w:rPr>
        <w:t>项目名称：</w:t>
      </w:r>
      <w:r>
        <w:rPr>
          <w:rFonts w:hint="eastAsia" w:ascii="宋体" w:hAnsi="宋体"/>
          <w:color w:val="auto"/>
        </w:rPr>
        <w:t xml:space="preserve">广东省外语艺术职业学院校园网出口带宽服务项目定点议价供应商资格遴选 </w:t>
      </w:r>
    </w:p>
    <w:tbl>
      <w:tblPr>
        <w:tblStyle w:val="36"/>
        <w:tblW w:w="93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52"/>
        <w:gridCol w:w="4735"/>
        <w:gridCol w:w="1187"/>
        <w:gridCol w:w="923"/>
        <w:gridCol w:w="776"/>
        <w:gridCol w:w="110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97" w:hRule="atLeast"/>
          <w:jc w:val="center"/>
        </w:trPr>
        <w:tc>
          <w:tcPr>
            <w:tcW w:w="652" w:type="dxa"/>
            <w:tcBorders>
              <w:top w:val="single" w:color="auto" w:sz="12" w:space="0"/>
              <w:bottom w:val="single" w:color="auto" w:sz="2" w:space="0"/>
            </w:tcBorders>
            <w:noWrap w:val="0"/>
            <w:vAlign w:val="center"/>
          </w:tcPr>
          <w:p>
            <w:pPr>
              <w:spacing w:line="276" w:lineRule="auto"/>
              <w:jc w:val="center"/>
              <w:rPr>
                <w:rFonts w:hint="eastAsia" w:ascii="宋体" w:hAnsi="宋体"/>
                <w:color w:val="auto"/>
              </w:rPr>
            </w:pPr>
            <w:r>
              <w:rPr>
                <w:rFonts w:hint="eastAsia" w:ascii="宋体" w:hAnsi="宋体"/>
                <w:color w:val="auto"/>
              </w:rPr>
              <w:t>序号</w:t>
            </w:r>
          </w:p>
        </w:tc>
        <w:tc>
          <w:tcPr>
            <w:tcW w:w="4735" w:type="dxa"/>
            <w:tcBorders>
              <w:top w:val="single" w:color="auto" w:sz="12" w:space="0"/>
              <w:bottom w:val="single" w:color="auto" w:sz="2" w:space="0"/>
            </w:tcBorders>
            <w:noWrap w:val="0"/>
            <w:vAlign w:val="center"/>
          </w:tcPr>
          <w:p>
            <w:pPr>
              <w:spacing w:line="276" w:lineRule="auto"/>
              <w:jc w:val="center"/>
              <w:rPr>
                <w:rFonts w:hint="eastAsia" w:ascii="宋体" w:hAnsi="宋体"/>
                <w:b/>
                <w:bCs/>
                <w:color w:val="auto"/>
                <w:sz w:val="30"/>
                <w:szCs w:val="30"/>
              </w:rPr>
            </w:pPr>
            <w:r>
              <w:rPr>
                <w:rFonts w:hint="eastAsia" w:ascii="宋体" w:hAnsi="宋体"/>
                <w:color w:val="auto"/>
                <w:szCs w:val="21"/>
              </w:rPr>
              <w:t>★</w:t>
            </w:r>
            <w:r>
              <w:rPr>
                <w:rFonts w:hint="eastAsia" w:ascii="宋体" w:hAnsi="宋体"/>
                <w:color w:val="auto"/>
              </w:rPr>
              <w:t>实质性招标要求内容</w:t>
            </w:r>
          </w:p>
        </w:tc>
        <w:tc>
          <w:tcPr>
            <w:tcW w:w="1187" w:type="dxa"/>
            <w:tcBorders>
              <w:top w:val="single" w:color="auto" w:sz="12" w:space="0"/>
              <w:bottom w:val="single" w:color="auto" w:sz="2" w:space="0"/>
            </w:tcBorders>
            <w:noWrap w:val="0"/>
            <w:vAlign w:val="center"/>
          </w:tcPr>
          <w:p>
            <w:pPr>
              <w:spacing w:line="276" w:lineRule="auto"/>
              <w:jc w:val="center"/>
              <w:rPr>
                <w:rFonts w:hint="eastAsia" w:ascii="宋体" w:hAnsi="宋体"/>
                <w:color w:val="auto"/>
              </w:rPr>
            </w:pPr>
            <w:r>
              <w:rPr>
                <w:rFonts w:hint="eastAsia" w:ascii="宋体" w:hAnsi="宋体"/>
                <w:color w:val="auto"/>
              </w:rPr>
              <w:t>投标响应</w:t>
            </w:r>
          </w:p>
          <w:p>
            <w:pPr>
              <w:spacing w:line="276" w:lineRule="auto"/>
              <w:jc w:val="center"/>
              <w:rPr>
                <w:rFonts w:hint="eastAsia" w:ascii="宋体" w:hAnsi="宋体"/>
                <w:color w:val="auto"/>
              </w:rPr>
            </w:pPr>
            <w:r>
              <w:rPr>
                <w:rFonts w:hint="eastAsia" w:ascii="宋体" w:hAnsi="宋体"/>
                <w:color w:val="auto"/>
              </w:rPr>
              <w:t>详细内容</w:t>
            </w:r>
          </w:p>
        </w:tc>
        <w:tc>
          <w:tcPr>
            <w:tcW w:w="923" w:type="dxa"/>
            <w:tcBorders>
              <w:top w:val="single" w:color="auto" w:sz="12" w:space="0"/>
              <w:bottom w:val="single" w:color="auto" w:sz="2" w:space="0"/>
            </w:tcBorders>
            <w:noWrap w:val="0"/>
            <w:vAlign w:val="center"/>
          </w:tcPr>
          <w:p>
            <w:pPr>
              <w:spacing w:line="276" w:lineRule="auto"/>
              <w:jc w:val="center"/>
              <w:rPr>
                <w:rFonts w:hint="eastAsia" w:ascii="宋体" w:hAnsi="宋体"/>
                <w:color w:val="auto"/>
                <w:spacing w:val="4"/>
              </w:rPr>
            </w:pPr>
            <w:r>
              <w:rPr>
                <w:rFonts w:hint="eastAsia" w:ascii="宋体" w:hAnsi="宋体"/>
                <w:color w:val="auto"/>
                <w:spacing w:val="4"/>
              </w:rPr>
              <w:t>正/负/</w:t>
            </w:r>
          </w:p>
          <w:p>
            <w:pPr>
              <w:spacing w:line="276" w:lineRule="auto"/>
              <w:jc w:val="center"/>
              <w:rPr>
                <w:rFonts w:hint="eastAsia" w:ascii="宋体" w:hAnsi="宋体" w:cs="Arial"/>
                <w:color w:val="auto"/>
                <w:szCs w:val="21"/>
              </w:rPr>
            </w:pPr>
            <w:r>
              <w:rPr>
                <w:rFonts w:hint="eastAsia" w:ascii="宋体" w:hAnsi="宋体"/>
                <w:color w:val="auto"/>
              </w:rPr>
              <w:t>无偏离</w:t>
            </w:r>
          </w:p>
        </w:tc>
        <w:tc>
          <w:tcPr>
            <w:tcW w:w="776" w:type="dxa"/>
            <w:tcBorders>
              <w:top w:val="single" w:color="auto" w:sz="12" w:space="0"/>
              <w:bottom w:val="single" w:color="auto" w:sz="2" w:space="0"/>
            </w:tcBorders>
            <w:noWrap w:val="0"/>
            <w:vAlign w:val="center"/>
          </w:tcPr>
          <w:p>
            <w:pPr>
              <w:spacing w:line="276" w:lineRule="auto"/>
              <w:jc w:val="center"/>
              <w:rPr>
                <w:rFonts w:hint="eastAsia" w:ascii="宋体" w:hAnsi="宋体" w:cs="Arial"/>
                <w:color w:val="auto"/>
                <w:szCs w:val="21"/>
              </w:rPr>
            </w:pPr>
            <w:r>
              <w:rPr>
                <w:rFonts w:hint="eastAsia" w:ascii="宋体" w:hAnsi="宋体" w:cs="Arial"/>
                <w:color w:val="auto"/>
                <w:szCs w:val="21"/>
              </w:rPr>
              <w:t>偏离</w:t>
            </w:r>
          </w:p>
          <w:p>
            <w:pPr>
              <w:spacing w:line="276" w:lineRule="auto"/>
              <w:jc w:val="center"/>
              <w:rPr>
                <w:rFonts w:hint="eastAsia" w:ascii="宋体" w:hAnsi="宋体" w:cs="Arial"/>
                <w:color w:val="auto"/>
                <w:szCs w:val="21"/>
              </w:rPr>
            </w:pPr>
            <w:r>
              <w:rPr>
                <w:rFonts w:hint="eastAsia" w:ascii="宋体" w:hAnsi="宋体" w:cs="Arial"/>
                <w:color w:val="auto"/>
                <w:szCs w:val="21"/>
              </w:rPr>
              <w:t>说明</w:t>
            </w:r>
          </w:p>
        </w:tc>
        <w:tc>
          <w:tcPr>
            <w:tcW w:w="1109" w:type="dxa"/>
            <w:tcBorders>
              <w:top w:val="single" w:color="auto" w:sz="12" w:space="0"/>
              <w:bottom w:val="single" w:color="auto" w:sz="2" w:space="0"/>
            </w:tcBorders>
            <w:noWrap w:val="0"/>
            <w:vAlign w:val="center"/>
          </w:tcPr>
          <w:p>
            <w:pPr>
              <w:spacing w:line="276" w:lineRule="auto"/>
              <w:jc w:val="center"/>
              <w:rPr>
                <w:rFonts w:hint="eastAsia" w:ascii="宋体" w:hAnsi="宋体" w:cs="Arial"/>
                <w:color w:val="auto"/>
                <w:szCs w:val="21"/>
              </w:rPr>
            </w:pPr>
            <w:r>
              <w:rPr>
                <w:rFonts w:hint="eastAsia" w:ascii="宋体" w:hAnsi="宋体" w:cs="Arial"/>
                <w:color w:val="auto"/>
                <w:szCs w:val="21"/>
              </w:rPr>
              <w:t>投标文件响应页码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652" w:type="dxa"/>
            <w:tcBorders>
              <w:top w:val="single" w:color="auto" w:sz="2" w:space="0"/>
            </w:tcBorders>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tcBorders>
              <w:top w:val="single" w:color="auto" w:sz="2" w:space="0"/>
            </w:tcBorders>
            <w:noWrap w:val="0"/>
            <w:vAlign w:val="center"/>
          </w:tcPr>
          <w:p>
            <w:pPr>
              <w:spacing w:line="276" w:lineRule="auto"/>
              <w:rPr>
                <w:rFonts w:hint="eastAsia" w:ascii="宋体" w:hAnsi="宋体"/>
                <w:color w:val="auto"/>
              </w:rPr>
            </w:pPr>
          </w:p>
        </w:tc>
        <w:tc>
          <w:tcPr>
            <w:tcW w:w="1187" w:type="dxa"/>
            <w:tcBorders>
              <w:top w:val="single" w:color="auto" w:sz="2" w:space="0"/>
            </w:tcBorders>
            <w:noWrap w:val="0"/>
            <w:vAlign w:val="center"/>
          </w:tcPr>
          <w:p>
            <w:pPr>
              <w:spacing w:line="276" w:lineRule="auto"/>
              <w:jc w:val="center"/>
              <w:rPr>
                <w:rFonts w:hint="eastAsia" w:ascii="宋体" w:hAnsi="宋体"/>
                <w:color w:val="auto"/>
              </w:rPr>
            </w:pPr>
          </w:p>
        </w:tc>
        <w:tc>
          <w:tcPr>
            <w:tcW w:w="923" w:type="dxa"/>
            <w:tcBorders>
              <w:top w:val="single" w:color="auto" w:sz="2" w:space="0"/>
            </w:tcBorders>
            <w:noWrap w:val="0"/>
            <w:vAlign w:val="top"/>
          </w:tcPr>
          <w:p>
            <w:pPr>
              <w:spacing w:line="276" w:lineRule="auto"/>
              <w:jc w:val="center"/>
              <w:rPr>
                <w:rFonts w:hint="eastAsia" w:ascii="宋体" w:hAnsi="宋体"/>
                <w:color w:val="auto"/>
              </w:rPr>
            </w:pPr>
          </w:p>
        </w:tc>
        <w:tc>
          <w:tcPr>
            <w:tcW w:w="776" w:type="dxa"/>
            <w:tcBorders>
              <w:top w:val="single" w:color="auto" w:sz="2" w:space="0"/>
            </w:tcBorders>
            <w:noWrap w:val="0"/>
            <w:vAlign w:val="top"/>
          </w:tcPr>
          <w:p>
            <w:pPr>
              <w:spacing w:line="276" w:lineRule="auto"/>
              <w:jc w:val="center"/>
              <w:rPr>
                <w:rFonts w:hint="eastAsia" w:ascii="宋体" w:hAnsi="宋体"/>
                <w:color w:val="auto"/>
              </w:rPr>
            </w:pPr>
          </w:p>
        </w:tc>
        <w:tc>
          <w:tcPr>
            <w:tcW w:w="1109" w:type="dxa"/>
            <w:tcBorders>
              <w:top w:val="single" w:color="auto" w:sz="2" w:space="0"/>
            </w:tcBorders>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2" w:hRule="atLeast"/>
          <w:jc w:val="center"/>
        </w:trPr>
        <w:tc>
          <w:tcPr>
            <w:tcW w:w="652" w:type="dxa"/>
            <w:noWrap w:val="0"/>
            <w:vAlign w:val="center"/>
          </w:tcPr>
          <w:p>
            <w:pPr>
              <w:pStyle w:val="73"/>
              <w:widowControl w:val="0"/>
              <w:numPr>
                <w:ilvl w:val="0"/>
                <w:numId w:val="66"/>
              </w:numPr>
              <w:spacing w:line="276" w:lineRule="auto"/>
              <w:ind w:firstLineChars="0"/>
              <w:jc w:val="center"/>
              <w:rPr>
                <w:rFonts w:hint="eastAsia" w:ascii="宋体" w:hAnsi="宋体"/>
                <w:color w:val="auto"/>
              </w:rPr>
            </w:pP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0" w:hRule="atLeast"/>
          <w:jc w:val="center"/>
        </w:trPr>
        <w:tc>
          <w:tcPr>
            <w:tcW w:w="652" w:type="dxa"/>
            <w:noWrap w:val="0"/>
            <w:vAlign w:val="center"/>
          </w:tcPr>
          <w:p>
            <w:pPr>
              <w:spacing w:line="276" w:lineRule="auto"/>
              <w:jc w:val="center"/>
              <w:rPr>
                <w:rFonts w:hint="eastAsia" w:ascii="宋体" w:hAnsi="宋体"/>
                <w:color w:val="auto"/>
              </w:rPr>
            </w:pPr>
            <w:r>
              <w:rPr>
                <w:rFonts w:hint="eastAsia" w:ascii="宋体" w:hAnsi="宋体"/>
                <w:color w:val="auto"/>
              </w:rPr>
              <w:t>…</w:t>
            </w:r>
          </w:p>
        </w:tc>
        <w:tc>
          <w:tcPr>
            <w:tcW w:w="4735" w:type="dxa"/>
            <w:noWrap w:val="0"/>
            <w:vAlign w:val="center"/>
          </w:tcPr>
          <w:p>
            <w:pPr>
              <w:spacing w:line="276" w:lineRule="auto"/>
              <w:rPr>
                <w:rFonts w:hint="eastAsia" w:ascii="宋体" w:hAnsi="宋体"/>
                <w:color w:val="auto"/>
              </w:rPr>
            </w:pPr>
          </w:p>
        </w:tc>
        <w:tc>
          <w:tcPr>
            <w:tcW w:w="1187" w:type="dxa"/>
            <w:noWrap w:val="0"/>
            <w:vAlign w:val="center"/>
          </w:tcPr>
          <w:p>
            <w:pPr>
              <w:spacing w:line="276" w:lineRule="auto"/>
              <w:jc w:val="center"/>
              <w:rPr>
                <w:rFonts w:hint="eastAsia" w:ascii="宋体" w:hAnsi="宋体"/>
                <w:color w:val="auto"/>
              </w:rPr>
            </w:pPr>
          </w:p>
        </w:tc>
        <w:tc>
          <w:tcPr>
            <w:tcW w:w="923" w:type="dxa"/>
            <w:noWrap w:val="0"/>
            <w:vAlign w:val="top"/>
          </w:tcPr>
          <w:p>
            <w:pPr>
              <w:spacing w:line="276" w:lineRule="auto"/>
              <w:jc w:val="center"/>
              <w:rPr>
                <w:rFonts w:hint="eastAsia" w:ascii="宋体" w:hAnsi="宋体"/>
                <w:color w:val="auto"/>
              </w:rPr>
            </w:pPr>
          </w:p>
        </w:tc>
        <w:tc>
          <w:tcPr>
            <w:tcW w:w="776" w:type="dxa"/>
            <w:noWrap w:val="0"/>
            <w:vAlign w:val="top"/>
          </w:tcPr>
          <w:p>
            <w:pPr>
              <w:spacing w:line="276" w:lineRule="auto"/>
              <w:jc w:val="center"/>
              <w:rPr>
                <w:rFonts w:hint="eastAsia" w:ascii="宋体" w:hAnsi="宋体"/>
                <w:color w:val="auto"/>
              </w:rPr>
            </w:pPr>
          </w:p>
        </w:tc>
        <w:tc>
          <w:tcPr>
            <w:tcW w:w="1109" w:type="dxa"/>
            <w:noWrap w:val="0"/>
            <w:vAlign w:val="center"/>
          </w:tcPr>
          <w:p>
            <w:pPr>
              <w:spacing w:line="276" w:lineRule="auto"/>
              <w:jc w:val="center"/>
              <w:rPr>
                <w:rFonts w:hint="eastAsia" w:ascii="宋体" w:hAnsi="宋体"/>
                <w:color w:val="auto"/>
              </w:rPr>
            </w:pPr>
          </w:p>
        </w:tc>
      </w:tr>
    </w:tbl>
    <w:p>
      <w:pPr>
        <w:spacing w:line="360" w:lineRule="auto"/>
        <w:ind w:firstLine="413" w:firstLineChars="196"/>
        <w:rPr>
          <w:rFonts w:ascii="宋体" w:hAnsi="宋体" w:cs="Arial"/>
          <w:b/>
          <w:color w:val="auto"/>
          <w:szCs w:val="21"/>
        </w:rPr>
      </w:pPr>
      <w:r>
        <w:rPr>
          <w:rFonts w:hint="eastAsia" w:ascii="宋体" w:hAnsi="宋体" w:cs="Arial"/>
          <w:b/>
          <w:color w:val="auto"/>
          <w:szCs w:val="21"/>
        </w:rPr>
        <w:t>投标人必须将对招标文件用户需求中有关</w:t>
      </w:r>
      <w:r>
        <w:rPr>
          <w:rFonts w:ascii="宋体" w:hAnsi="宋体" w:cs="Arial"/>
          <w:b/>
          <w:color w:val="auto"/>
          <w:szCs w:val="21"/>
        </w:rPr>
        <w:t>“</w:t>
      </w:r>
      <w:r>
        <w:rPr>
          <w:rFonts w:hint="eastAsia" w:ascii="宋体" w:hAnsi="宋体" w:cs="宋体"/>
          <w:b/>
          <w:color w:val="auto"/>
          <w:szCs w:val="21"/>
        </w:rPr>
        <w:t>★</w:t>
      </w:r>
      <w:r>
        <w:rPr>
          <w:rFonts w:ascii="宋体" w:hAnsi="宋体" w:cs="Arial"/>
          <w:b/>
          <w:color w:val="auto"/>
          <w:szCs w:val="21"/>
        </w:rPr>
        <w:t>”</w:t>
      </w:r>
      <w:r>
        <w:rPr>
          <w:rFonts w:hint="eastAsia" w:ascii="宋体" w:hAnsi="宋体" w:cs="Arial"/>
          <w:b/>
          <w:color w:val="auto"/>
          <w:szCs w:val="21"/>
        </w:rPr>
        <w:t>号的实质性要求进行响应，响应详细</w:t>
      </w:r>
      <w:r>
        <w:rPr>
          <w:rFonts w:hint="eastAsia" w:ascii="宋体" w:hAnsi="宋体" w:cs="Arial"/>
          <w:b/>
          <w:bCs/>
          <w:color w:val="auto"/>
          <w:szCs w:val="21"/>
        </w:rPr>
        <w:t>内容和页码</w:t>
      </w:r>
      <w:r>
        <w:rPr>
          <w:rFonts w:hint="eastAsia" w:ascii="宋体" w:hAnsi="宋体" w:cs="Arial"/>
          <w:b/>
          <w:color w:val="auto"/>
          <w:szCs w:val="21"/>
        </w:rPr>
        <w:t>填写此表。</w:t>
      </w:r>
    </w:p>
    <w:p>
      <w:pPr>
        <w:spacing w:line="360" w:lineRule="auto"/>
        <w:rPr>
          <w:rFonts w:ascii="宋体" w:hAnsi="宋体" w:cs="Arial"/>
          <w:color w:val="auto"/>
          <w:szCs w:val="21"/>
        </w:rPr>
      </w:pPr>
      <w:r>
        <w:rPr>
          <w:rFonts w:hint="eastAsia" w:ascii="宋体" w:hAnsi="宋体" w:cs="Arial"/>
          <w:color w:val="auto"/>
          <w:szCs w:val="21"/>
        </w:rPr>
        <w:t>备注：1、招标文件用户需求中标有“★”的指标均被视为实质性响应指标，投标人如有一项带“★”的指标未响应或不满足，将按无效投标处理。</w:t>
      </w:r>
    </w:p>
    <w:p>
      <w:pPr>
        <w:spacing w:line="360" w:lineRule="auto"/>
        <w:ind w:firstLine="630" w:firstLineChars="300"/>
        <w:rPr>
          <w:rFonts w:ascii="宋体" w:hAnsi="宋体" w:cs="Arial"/>
          <w:color w:val="auto"/>
          <w:szCs w:val="21"/>
        </w:rPr>
      </w:pPr>
      <w:r>
        <w:rPr>
          <w:rFonts w:hint="eastAsia" w:ascii="宋体" w:hAnsi="宋体" w:cs="Arial"/>
          <w:color w:val="auto"/>
          <w:szCs w:val="21"/>
        </w:rPr>
        <w:t>2、如招标文件用户需求书上无标有“★”实质性响应指标的，请在表格上填写“无”。</w:t>
      </w:r>
    </w:p>
    <w:p>
      <w:pPr>
        <w:spacing w:line="360" w:lineRule="auto"/>
        <w:ind w:firstLine="105" w:firstLineChars="50"/>
        <w:rPr>
          <w:rFonts w:ascii="宋体" w:hAnsi="宋体"/>
          <w:color w:val="auto"/>
          <w:u w:val="single"/>
        </w:rPr>
      </w:pP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ascii="宋体" w:hAnsi="宋体"/>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投标人基本情况表</w:t>
      </w:r>
    </w:p>
    <w:p>
      <w:pPr>
        <w:pStyle w:val="13"/>
        <w:spacing w:line="360" w:lineRule="auto"/>
        <w:jc w:val="center"/>
        <w:rPr>
          <w:rFonts w:ascii="宋体" w:hAnsi="宋体"/>
          <w:b/>
          <w:bCs/>
          <w:color w:val="auto"/>
          <w:sz w:val="30"/>
          <w:szCs w:val="30"/>
        </w:rPr>
      </w:pPr>
      <w:bookmarkStart w:id="86" w:name="_Toc385940907"/>
      <w:r>
        <w:rPr>
          <w:rFonts w:hint="eastAsia" w:ascii="宋体" w:hAnsi="宋体"/>
          <w:b/>
          <w:bCs/>
          <w:color w:val="auto"/>
          <w:sz w:val="30"/>
          <w:szCs w:val="30"/>
        </w:rPr>
        <w:t>投标人基本情况表</w:t>
      </w:r>
      <w:bookmarkEnd w:id="86"/>
    </w:p>
    <w:tbl>
      <w:tblPr>
        <w:tblStyle w:val="36"/>
        <w:tblW w:w="9639" w:type="dxa"/>
        <w:tblInd w:w="0" w:type="dxa"/>
        <w:tblLayout w:type="autofit"/>
        <w:tblCellMar>
          <w:top w:w="0" w:type="dxa"/>
          <w:left w:w="108" w:type="dxa"/>
          <w:bottom w:w="0" w:type="dxa"/>
          <w:right w:w="108" w:type="dxa"/>
        </w:tblCellMar>
      </w:tblPr>
      <w:tblGrid>
        <w:gridCol w:w="1394"/>
        <w:gridCol w:w="1142"/>
        <w:gridCol w:w="768"/>
        <w:gridCol w:w="660"/>
        <w:gridCol w:w="1020"/>
        <w:gridCol w:w="1150"/>
        <w:gridCol w:w="497"/>
        <w:gridCol w:w="884"/>
        <w:gridCol w:w="225"/>
        <w:gridCol w:w="1049"/>
        <w:gridCol w:w="850"/>
      </w:tblGrid>
      <w:tr>
        <w:tblPrEx>
          <w:tblCellMar>
            <w:top w:w="0" w:type="dxa"/>
            <w:left w:w="108" w:type="dxa"/>
            <w:bottom w:w="0" w:type="dxa"/>
            <w:right w:w="108" w:type="dxa"/>
          </w:tblCellMar>
        </w:tblPrEx>
        <w:trPr>
          <w:trHeight w:val="397" w:hRule="atLeast"/>
        </w:trPr>
        <w:tc>
          <w:tcPr>
            <w:tcW w:w="1394" w:type="dxa"/>
            <w:tcBorders>
              <w:top w:val="single" w:color="auto" w:sz="12"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单位名称</w:t>
            </w:r>
          </w:p>
        </w:tc>
        <w:tc>
          <w:tcPr>
            <w:tcW w:w="8245" w:type="dxa"/>
            <w:gridSpan w:val="10"/>
            <w:tcBorders>
              <w:top w:val="single" w:color="auto" w:sz="12"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97" w:hRule="atLeast"/>
        </w:trPr>
        <w:tc>
          <w:tcPr>
            <w:tcW w:w="1394" w:type="dxa"/>
            <w:tcBorders>
              <w:top w:val="single" w:color="auto" w:sz="4"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营业执照号</w:t>
            </w:r>
          </w:p>
        </w:tc>
        <w:tc>
          <w:tcPr>
            <w:tcW w:w="8245" w:type="dxa"/>
            <w:gridSpan w:val="10"/>
            <w:tcBorders>
              <w:top w:val="single" w:color="auto" w:sz="4"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97" w:hRule="atLeast"/>
        </w:trPr>
        <w:tc>
          <w:tcPr>
            <w:tcW w:w="1394" w:type="dxa"/>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地址</w:t>
            </w:r>
          </w:p>
        </w:tc>
        <w:tc>
          <w:tcPr>
            <w:tcW w:w="8245" w:type="dxa"/>
            <w:gridSpan w:val="10"/>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97" w:hRule="atLeast"/>
        </w:trPr>
        <w:tc>
          <w:tcPr>
            <w:tcW w:w="1394" w:type="dxa"/>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法人代表</w:t>
            </w:r>
          </w:p>
        </w:tc>
        <w:tc>
          <w:tcPr>
            <w:tcW w:w="3590"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647"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职务</w:t>
            </w:r>
          </w:p>
        </w:tc>
        <w:tc>
          <w:tcPr>
            <w:tcW w:w="3008" w:type="dxa"/>
            <w:gridSpan w:val="4"/>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97" w:hRule="atLeast"/>
        </w:trPr>
        <w:tc>
          <w:tcPr>
            <w:tcW w:w="1394" w:type="dxa"/>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授权代表</w:t>
            </w:r>
          </w:p>
        </w:tc>
        <w:tc>
          <w:tcPr>
            <w:tcW w:w="3590"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647"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职务</w:t>
            </w:r>
          </w:p>
        </w:tc>
        <w:tc>
          <w:tcPr>
            <w:tcW w:w="3008" w:type="dxa"/>
            <w:gridSpan w:val="4"/>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97" w:hRule="atLeast"/>
        </w:trPr>
        <w:tc>
          <w:tcPr>
            <w:tcW w:w="1394" w:type="dxa"/>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邮编</w:t>
            </w:r>
          </w:p>
        </w:tc>
        <w:tc>
          <w:tcPr>
            <w:tcW w:w="191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68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电话</w:t>
            </w:r>
          </w:p>
        </w:tc>
        <w:tc>
          <w:tcPr>
            <w:tcW w:w="1647"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109"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传真</w:t>
            </w:r>
          </w:p>
        </w:tc>
        <w:tc>
          <w:tcPr>
            <w:tcW w:w="1899" w:type="dxa"/>
            <w:gridSpan w:val="2"/>
            <w:tcBorders>
              <w:top w:val="single" w:color="auto" w:sz="6" w:space="0"/>
              <w:left w:val="single" w:color="auto" w:sz="6" w:space="0"/>
              <w:bottom w:val="single" w:color="auto" w:sz="6" w:space="0"/>
              <w:right w:val="single" w:color="auto" w:sz="12" w:space="0"/>
            </w:tcBorders>
            <w:noWrap w:val="0"/>
            <w:vAlign w:val="top"/>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381" w:hRule="atLeast"/>
        </w:trPr>
        <w:tc>
          <w:tcPr>
            <w:tcW w:w="1394" w:type="dxa"/>
            <w:vMerge w:val="restart"/>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单位概况</w:t>
            </w: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注册资本</w:t>
            </w: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 xml:space="preserve">  万元</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占地面积</w:t>
            </w: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4" w:leftChars="-64" w:right="-105" w:rightChars="-50" w:firstLine="3045" w:firstLineChars="1450"/>
              <w:jc w:val="center"/>
              <w:rPr>
                <w:rFonts w:ascii="宋体" w:hAnsi="宋体"/>
                <w:color w:val="auto"/>
                <w:szCs w:val="21"/>
              </w:rPr>
            </w:pPr>
            <w:r>
              <w:rPr>
                <w:rFonts w:hint="eastAsia" w:ascii="宋体" w:hAnsi="宋体"/>
                <w:color w:val="auto"/>
                <w:szCs w:val="21"/>
              </w:rPr>
              <w:t>M</w:t>
            </w:r>
            <w:r>
              <w:rPr>
                <w:rFonts w:hint="eastAsia" w:ascii="宋体" w:hAnsi="宋体"/>
                <w:color w:val="auto"/>
                <w:szCs w:val="21"/>
                <w:vertAlign w:val="superscript"/>
              </w:rPr>
              <w:t>2</w:t>
            </w:r>
          </w:p>
        </w:tc>
      </w:tr>
      <w:tr>
        <w:tblPrEx>
          <w:tblCellMar>
            <w:top w:w="0" w:type="dxa"/>
            <w:left w:w="108" w:type="dxa"/>
            <w:bottom w:w="0" w:type="dxa"/>
            <w:right w:w="108" w:type="dxa"/>
          </w:tblCellMar>
        </w:tblPrEx>
        <w:trPr>
          <w:trHeight w:val="437" w:hRule="atLeast"/>
        </w:trPr>
        <w:tc>
          <w:tcPr>
            <w:tcW w:w="1394"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职工总数</w:t>
            </w: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 xml:space="preserve">   人</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建筑面积</w:t>
            </w: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4" w:leftChars="-64" w:right="-105" w:rightChars="-50" w:firstLine="3045" w:firstLineChars="1450"/>
              <w:jc w:val="center"/>
              <w:rPr>
                <w:rFonts w:ascii="宋体" w:hAnsi="宋体"/>
                <w:color w:val="auto"/>
                <w:szCs w:val="21"/>
              </w:rPr>
            </w:pPr>
            <w:r>
              <w:rPr>
                <w:rFonts w:hint="eastAsia" w:ascii="宋体" w:hAnsi="宋体"/>
                <w:color w:val="auto"/>
                <w:szCs w:val="21"/>
              </w:rPr>
              <w:t>M</w:t>
            </w:r>
            <w:r>
              <w:rPr>
                <w:rFonts w:hint="eastAsia" w:ascii="宋体" w:hAnsi="宋体"/>
                <w:color w:val="auto"/>
                <w:szCs w:val="21"/>
                <w:vertAlign w:val="superscript"/>
              </w:rPr>
              <w:t>2</w:t>
            </w:r>
          </w:p>
        </w:tc>
      </w:tr>
      <w:tr>
        <w:tblPrEx>
          <w:tblCellMar>
            <w:top w:w="0" w:type="dxa"/>
            <w:left w:w="108" w:type="dxa"/>
            <w:bottom w:w="0" w:type="dxa"/>
            <w:right w:w="108" w:type="dxa"/>
          </w:tblCellMar>
        </w:tblPrEx>
        <w:trPr>
          <w:trHeight w:val="531" w:hRule="atLeast"/>
        </w:trPr>
        <w:tc>
          <w:tcPr>
            <w:tcW w:w="1394"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vMerge w:val="restart"/>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资产情况</w:t>
            </w: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净资产</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 xml:space="preserve">       万元</w:t>
            </w: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固定资产原值           万元</w:t>
            </w:r>
          </w:p>
        </w:tc>
      </w:tr>
      <w:tr>
        <w:tblPrEx>
          <w:tblCellMar>
            <w:top w:w="0" w:type="dxa"/>
            <w:left w:w="108" w:type="dxa"/>
            <w:bottom w:w="0" w:type="dxa"/>
            <w:right w:w="108" w:type="dxa"/>
          </w:tblCellMar>
        </w:tblPrEx>
        <w:trPr>
          <w:trHeight w:val="531" w:hRule="atLeast"/>
        </w:trPr>
        <w:tc>
          <w:tcPr>
            <w:tcW w:w="1394" w:type="dxa"/>
            <w:vMerge w:val="continue"/>
            <w:tcBorders>
              <w:top w:val="single" w:color="auto" w:sz="6" w:space="0"/>
              <w:left w:val="single" w:color="auto" w:sz="12" w:space="0"/>
              <w:bottom w:val="single" w:color="auto" w:sz="6"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00" w:lineRule="exact"/>
              <w:jc w:val="center"/>
              <w:rPr>
                <w:rFonts w:ascii="宋体" w:hAnsi="宋体"/>
                <w:color w:val="auto"/>
                <w:szCs w:val="21"/>
              </w:rPr>
            </w:pP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负债</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 xml:space="preserve">      万元</w:t>
            </w: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固定资产净值           万元</w:t>
            </w:r>
          </w:p>
        </w:tc>
      </w:tr>
      <w:tr>
        <w:tblPrEx>
          <w:tblCellMar>
            <w:top w:w="0" w:type="dxa"/>
            <w:left w:w="108" w:type="dxa"/>
            <w:bottom w:w="0" w:type="dxa"/>
            <w:right w:w="108" w:type="dxa"/>
          </w:tblCellMar>
        </w:tblPrEx>
        <w:trPr>
          <w:trHeight w:val="531" w:hRule="atLeast"/>
        </w:trPr>
        <w:tc>
          <w:tcPr>
            <w:tcW w:w="3964" w:type="dxa"/>
            <w:gridSpan w:val="4"/>
            <w:tcBorders>
              <w:top w:val="single" w:color="auto" w:sz="6" w:space="0"/>
              <w:left w:val="single" w:color="auto" w:sz="12"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公司开户银行名称及账号</w:t>
            </w:r>
          </w:p>
        </w:tc>
        <w:tc>
          <w:tcPr>
            <w:tcW w:w="5675" w:type="dxa"/>
            <w:gridSpan w:val="7"/>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590" w:hRule="atLeast"/>
        </w:trPr>
        <w:tc>
          <w:tcPr>
            <w:tcW w:w="1394" w:type="dxa"/>
            <w:vMerge w:val="restart"/>
            <w:tcBorders>
              <w:top w:val="single" w:color="auto" w:sz="6" w:space="0"/>
              <w:left w:val="single" w:color="auto" w:sz="12"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财务状况</w:t>
            </w: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年度</w:t>
            </w: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color w:val="auto"/>
              </w:rPr>
            </w:pPr>
            <w:r>
              <w:rPr>
                <w:rFonts w:hint="eastAsia"/>
                <w:color w:val="auto"/>
              </w:rPr>
              <w:t>营业收入</w:t>
            </w:r>
          </w:p>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（万元）</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color w:val="auto"/>
              </w:rPr>
              <w:t>资产总额</w:t>
            </w:r>
          </w:p>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（万元）</w:t>
            </w:r>
          </w:p>
        </w:tc>
        <w:tc>
          <w:tcPr>
            <w:tcW w:w="1381"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利润总额</w:t>
            </w:r>
          </w:p>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（万元）</w:t>
            </w:r>
          </w:p>
        </w:tc>
        <w:tc>
          <w:tcPr>
            <w:tcW w:w="1274"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净利润</w:t>
            </w:r>
          </w:p>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（万元）</w:t>
            </w:r>
          </w:p>
        </w:tc>
        <w:tc>
          <w:tcPr>
            <w:tcW w:w="850" w:type="dxa"/>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资产负债率</w:t>
            </w:r>
          </w:p>
        </w:tc>
      </w:tr>
      <w:tr>
        <w:tblPrEx>
          <w:tblCellMar>
            <w:top w:w="0" w:type="dxa"/>
            <w:left w:w="108" w:type="dxa"/>
            <w:bottom w:w="0" w:type="dxa"/>
            <w:right w:w="108" w:type="dxa"/>
          </w:tblCellMar>
        </w:tblPrEx>
        <w:trPr>
          <w:trHeight w:val="488" w:hRule="atLeast"/>
        </w:trPr>
        <w:tc>
          <w:tcPr>
            <w:tcW w:w="1394" w:type="dxa"/>
            <w:vMerge w:val="continue"/>
            <w:tcBorders>
              <w:left w:val="single" w:color="auto" w:sz="12" w:space="0"/>
              <w:bottom w:val="single" w:color="auto" w:sz="6"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381"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274"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486" w:hRule="atLeast"/>
        </w:trPr>
        <w:tc>
          <w:tcPr>
            <w:tcW w:w="1394" w:type="dxa"/>
            <w:vMerge w:val="restart"/>
            <w:tcBorders>
              <w:top w:val="single" w:color="auto" w:sz="4" w:space="0"/>
              <w:left w:val="single" w:color="auto" w:sz="12" w:space="0"/>
              <w:right w:val="single" w:color="auto" w:sz="6" w:space="0"/>
            </w:tcBorders>
            <w:noWrap w:val="0"/>
            <w:vAlign w:val="center"/>
          </w:tcPr>
          <w:p>
            <w:pPr>
              <w:widowControl/>
              <w:spacing w:line="400" w:lineRule="exact"/>
              <w:jc w:val="center"/>
              <w:rPr>
                <w:rFonts w:ascii="宋体" w:hAnsi="宋体"/>
                <w:color w:val="auto"/>
                <w:szCs w:val="21"/>
              </w:rPr>
            </w:pPr>
            <w:r>
              <w:rPr>
                <w:rFonts w:hint="eastAsia" w:ascii="宋体" w:hAnsi="宋体"/>
                <w:color w:val="auto"/>
                <w:szCs w:val="21"/>
              </w:rPr>
              <w:t>证书情况</w:t>
            </w: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证书名称</w:t>
            </w: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证书等级</w:t>
            </w: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发证单位</w:t>
            </w: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r>
              <w:rPr>
                <w:rFonts w:hint="eastAsia" w:ascii="宋体" w:hAnsi="宋体"/>
                <w:color w:val="auto"/>
                <w:szCs w:val="21"/>
              </w:rPr>
              <w:t>证书有效期</w:t>
            </w:r>
          </w:p>
        </w:tc>
      </w:tr>
      <w:tr>
        <w:tblPrEx>
          <w:tblCellMar>
            <w:top w:w="0" w:type="dxa"/>
            <w:left w:w="108" w:type="dxa"/>
            <w:bottom w:w="0" w:type="dxa"/>
            <w:right w:w="108" w:type="dxa"/>
          </w:tblCellMar>
        </w:tblPrEx>
        <w:trPr>
          <w:trHeight w:val="486" w:hRule="atLeast"/>
        </w:trPr>
        <w:tc>
          <w:tcPr>
            <w:tcW w:w="1394" w:type="dxa"/>
            <w:vMerge w:val="continue"/>
            <w:tcBorders>
              <w:left w:val="single" w:color="auto" w:sz="12"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486" w:hRule="atLeast"/>
        </w:trPr>
        <w:tc>
          <w:tcPr>
            <w:tcW w:w="1394" w:type="dxa"/>
            <w:vMerge w:val="continue"/>
            <w:tcBorders>
              <w:left w:val="single" w:color="auto" w:sz="12" w:space="0"/>
              <w:bottom w:val="single" w:color="auto" w:sz="4" w:space="0"/>
              <w:right w:val="single" w:color="auto" w:sz="6" w:space="0"/>
            </w:tcBorders>
            <w:noWrap w:val="0"/>
            <w:vAlign w:val="center"/>
          </w:tcPr>
          <w:p>
            <w:pPr>
              <w:widowControl/>
              <w:spacing w:line="400" w:lineRule="exact"/>
              <w:jc w:val="center"/>
              <w:rPr>
                <w:rFonts w:ascii="宋体" w:hAnsi="宋体"/>
                <w:color w:val="auto"/>
                <w:szCs w:val="21"/>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1428"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2170"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c>
          <w:tcPr>
            <w:tcW w:w="3505" w:type="dxa"/>
            <w:gridSpan w:val="5"/>
            <w:tcBorders>
              <w:top w:val="single" w:color="auto" w:sz="6" w:space="0"/>
              <w:left w:val="single" w:color="auto" w:sz="6" w:space="0"/>
              <w:bottom w:val="single" w:color="auto" w:sz="6"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r>
        <w:tblPrEx>
          <w:tblCellMar>
            <w:top w:w="0" w:type="dxa"/>
            <w:left w:w="108" w:type="dxa"/>
            <w:bottom w:w="0" w:type="dxa"/>
            <w:right w:w="108" w:type="dxa"/>
          </w:tblCellMar>
        </w:tblPrEx>
        <w:trPr>
          <w:trHeight w:val="1452" w:hRule="atLeast"/>
        </w:trPr>
        <w:tc>
          <w:tcPr>
            <w:tcW w:w="1394" w:type="dxa"/>
            <w:tcBorders>
              <w:top w:val="single" w:color="auto" w:sz="4" w:space="0"/>
              <w:left w:val="single" w:color="auto" w:sz="12" w:space="0"/>
              <w:bottom w:val="single" w:color="auto" w:sz="12" w:space="0"/>
              <w:right w:val="single" w:color="auto" w:sz="6" w:space="0"/>
            </w:tcBorders>
            <w:noWrap w:val="0"/>
            <w:vAlign w:val="center"/>
          </w:tcPr>
          <w:p>
            <w:pPr>
              <w:spacing w:line="400" w:lineRule="exact"/>
              <w:jc w:val="center"/>
              <w:rPr>
                <w:rFonts w:ascii="宋体" w:hAnsi="宋体"/>
                <w:color w:val="auto"/>
                <w:szCs w:val="21"/>
              </w:rPr>
            </w:pPr>
            <w:r>
              <w:rPr>
                <w:rFonts w:hint="eastAsia" w:ascii="宋体" w:hAnsi="宋体"/>
                <w:color w:val="auto"/>
                <w:szCs w:val="21"/>
              </w:rPr>
              <w:t>公司简介</w:t>
            </w:r>
          </w:p>
        </w:tc>
        <w:tc>
          <w:tcPr>
            <w:tcW w:w="8245" w:type="dxa"/>
            <w:gridSpan w:val="10"/>
            <w:tcBorders>
              <w:top w:val="single" w:color="auto" w:sz="6" w:space="0"/>
              <w:left w:val="single" w:color="auto" w:sz="6" w:space="0"/>
              <w:bottom w:val="single" w:color="auto" w:sz="12" w:space="0"/>
              <w:right w:val="single" w:color="auto" w:sz="12" w:space="0"/>
            </w:tcBorders>
            <w:noWrap w:val="0"/>
            <w:vAlign w:val="center"/>
          </w:tcPr>
          <w:p>
            <w:pPr>
              <w:tabs>
                <w:tab w:val="left" w:pos="540"/>
              </w:tabs>
              <w:spacing w:line="400" w:lineRule="exact"/>
              <w:ind w:left="-132" w:leftChars="-64" w:right="-105" w:rightChars="-50" w:hanging="2"/>
              <w:jc w:val="center"/>
              <w:rPr>
                <w:rFonts w:ascii="宋体" w:hAnsi="宋体"/>
                <w:color w:val="auto"/>
                <w:szCs w:val="21"/>
              </w:rPr>
            </w:pPr>
          </w:p>
        </w:tc>
      </w:tr>
    </w:tbl>
    <w:p>
      <w:pPr>
        <w:pStyle w:val="82"/>
        <w:spacing w:line="400" w:lineRule="exact"/>
        <w:rPr>
          <w:rFonts w:ascii="宋体" w:hAnsi="宋体"/>
          <w:bCs w:val="0"/>
          <w:color w:val="auto"/>
          <w:spacing w:val="0"/>
          <w:sz w:val="21"/>
          <w:szCs w:val="21"/>
        </w:rPr>
      </w:pPr>
      <w:r>
        <w:rPr>
          <w:rFonts w:hint="eastAsia" w:ascii="宋体" w:hAnsi="宋体"/>
          <w:bCs w:val="0"/>
          <w:color w:val="auto"/>
          <w:spacing w:val="0"/>
          <w:sz w:val="21"/>
          <w:szCs w:val="21"/>
        </w:rPr>
        <w:t>注：1．文字描述：企业性质、发展历程、经营规模及服务理念、主营产品、技术力量等；</w:t>
      </w:r>
    </w:p>
    <w:p>
      <w:pPr>
        <w:pStyle w:val="82"/>
        <w:spacing w:line="400" w:lineRule="exact"/>
        <w:rPr>
          <w:rFonts w:ascii="宋体" w:hAnsi="宋体"/>
          <w:bCs w:val="0"/>
          <w:color w:val="auto"/>
          <w:spacing w:val="0"/>
          <w:sz w:val="21"/>
          <w:szCs w:val="21"/>
        </w:rPr>
      </w:pPr>
      <w:r>
        <w:rPr>
          <w:rFonts w:hint="eastAsia" w:ascii="宋体" w:hAnsi="宋体"/>
          <w:bCs w:val="0"/>
          <w:color w:val="auto"/>
          <w:spacing w:val="0"/>
          <w:sz w:val="21"/>
          <w:szCs w:val="21"/>
        </w:rPr>
        <w:t xml:space="preserve">    2．图片描述：经营场所、主要经营项目等；</w:t>
      </w:r>
    </w:p>
    <w:p>
      <w:pPr>
        <w:pStyle w:val="82"/>
        <w:spacing w:line="400" w:lineRule="exact"/>
        <w:ind w:firstLine="420" w:firstLineChars="200"/>
        <w:rPr>
          <w:rFonts w:ascii="宋体" w:hAnsi="宋体"/>
          <w:bCs w:val="0"/>
          <w:color w:val="auto"/>
          <w:spacing w:val="0"/>
          <w:sz w:val="21"/>
          <w:szCs w:val="21"/>
        </w:rPr>
      </w:pPr>
      <w:r>
        <w:rPr>
          <w:rFonts w:hint="eastAsia" w:ascii="宋体" w:hAnsi="宋体"/>
          <w:bCs w:val="0"/>
          <w:color w:val="auto"/>
          <w:spacing w:val="0"/>
          <w:sz w:val="21"/>
          <w:szCs w:val="21"/>
        </w:rPr>
        <w:t>3．如投标此表数据有虚假，一经查实，自行承担相关责任。</w:t>
      </w:r>
    </w:p>
    <w:p>
      <w:pPr>
        <w:pStyle w:val="82"/>
        <w:spacing w:line="400" w:lineRule="exact"/>
        <w:ind w:firstLine="420" w:firstLineChars="200"/>
        <w:rPr>
          <w:rFonts w:ascii="宋体" w:hAnsi="宋体"/>
          <w:bCs w:val="0"/>
          <w:color w:val="auto"/>
          <w:spacing w:val="0"/>
          <w:sz w:val="21"/>
          <w:szCs w:val="21"/>
        </w:rPr>
      </w:pPr>
    </w:p>
    <w:bookmarkEnd w:id="58"/>
    <w:bookmarkEnd w:id="61"/>
    <w:bookmarkEnd w:id="62"/>
    <w:bookmarkEnd w:id="63"/>
    <w:bookmarkEnd w:id="64"/>
    <w:bookmarkEnd w:id="65"/>
    <w:bookmarkEnd w:id="66"/>
    <w:bookmarkEnd w:id="67"/>
    <w:bookmarkEnd w:id="68"/>
    <w:bookmarkEnd w:id="69"/>
    <w:bookmarkEnd w:id="70"/>
    <w:bookmarkEnd w:id="71"/>
    <w:bookmarkEnd w:id="72"/>
    <w:p>
      <w:pPr>
        <w:pStyle w:val="13"/>
        <w:keepNext w:val="0"/>
        <w:keepLines w:val="0"/>
        <w:pageBreakBefore w:val="0"/>
        <w:widowControl w:val="0"/>
        <w:kinsoku/>
        <w:wordWrap/>
        <w:overflowPunct/>
        <w:topLinePunct w:val="0"/>
        <w:autoSpaceDE/>
        <w:autoSpaceDN/>
        <w:bidi w:val="0"/>
        <w:adjustRightInd/>
        <w:snapToGrid/>
        <w:spacing w:line="360" w:lineRule="auto"/>
        <w:ind w:left="482"/>
        <w:textAlignment w:val="auto"/>
        <w:outlineLvl w:val="9"/>
        <w:rPr>
          <w:rFonts w:ascii="宋体" w:hAnsi="宋体"/>
          <w:b/>
          <w:bCs/>
          <w:color w:val="auto"/>
        </w:rPr>
      </w:pPr>
      <w:bookmarkStart w:id="87" w:name="_Toc50736474"/>
      <w:bookmarkStart w:id="88" w:name="_Toc50737294"/>
      <w:bookmarkStart w:id="89" w:name="_Toc52165078"/>
      <w:bookmarkStart w:id="90" w:name="_Toc50737326"/>
      <w:bookmarkStart w:id="91" w:name="_Toc50691030"/>
      <w:bookmarkStart w:id="92" w:name="_Toc76354922"/>
      <w:r>
        <w:rPr>
          <w:rFonts w:ascii="宋体" w:hAnsi="宋体"/>
          <w:b/>
          <w:bCs/>
          <w:color w:val="auto"/>
        </w:rPr>
        <w:br w:type="page"/>
      </w:r>
      <w:bookmarkEnd w:id="87"/>
      <w:bookmarkEnd w:id="88"/>
      <w:bookmarkEnd w:id="89"/>
      <w:bookmarkEnd w:id="90"/>
      <w:bookmarkEnd w:id="91"/>
      <w:bookmarkEnd w:id="92"/>
      <w:bookmarkStart w:id="93" w:name="_Toc385940909"/>
    </w:p>
    <w:p>
      <w:pPr>
        <w:pStyle w:val="13"/>
        <w:numPr>
          <w:ilvl w:val="0"/>
          <w:numId w:val="64"/>
        </w:numPr>
        <w:spacing w:line="360" w:lineRule="auto"/>
        <w:outlineLvl w:val="1"/>
        <w:rPr>
          <w:rFonts w:ascii="宋体" w:hAnsi="宋体"/>
          <w:b/>
          <w:bCs/>
          <w:color w:val="auto"/>
        </w:rPr>
      </w:pPr>
      <w:r>
        <w:rPr>
          <w:rFonts w:hint="eastAsia" w:ascii="宋体" w:hAnsi="宋体"/>
          <w:b/>
          <w:bCs/>
          <w:color w:val="auto"/>
        </w:rPr>
        <w:t>本项目管理人员及技术人员名单</w:t>
      </w:r>
    </w:p>
    <w:p>
      <w:pPr>
        <w:pStyle w:val="13"/>
        <w:spacing w:line="360" w:lineRule="auto"/>
        <w:jc w:val="center"/>
        <w:rPr>
          <w:rFonts w:ascii="宋体" w:hAnsi="宋体"/>
          <w:b/>
          <w:bCs/>
          <w:color w:val="auto"/>
          <w:sz w:val="30"/>
          <w:szCs w:val="30"/>
        </w:rPr>
      </w:pPr>
    </w:p>
    <w:p>
      <w:pPr>
        <w:pStyle w:val="13"/>
        <w:spacing w:line="360" w:lineRule="auto"/>
        <w:jc w:val="center"/>
        <w:rPr>
          <w:rFonts w:ascii="宋体" w:hAnsi="宋体"/>
          <w:b/>
          <w:bCs/>
          <w:color w:val="auto"/>
          <w:sz w:val="30"/>
          <w:szCs w:val="30"/>
        </w:rPr>
      </w:pPr>
      <w:r>
        <w:rPr>
          <w:rFonts w:hint="eastAsia" w:ascii="宋体" w:hAnsi="宋体"/>
          <w:b/>
          <w:bCs/>
          <w:color w:val="auto"/>
          <w:sz w:val="30"/>
          <w:szCs w:val="30"/>
        </w:rPr>
        <w:t>本项目管理人员及技术人员名单</w:t>
      </w:r>
      <w:bookmarkEnd w:id="93"/>
    </w:p>
    <w:tbl>
      <w:tblPr>
        <w:tblStyle w:val="3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89"/>
        <w:gridCol w:w="1433"/>
        <w:gridCol w:w="835"/>
        <w:gridCol w:w="834"/>
        <w:gridCol w:w="834"/>
        <w:gridCol w:w="1260"/>
        <w:gridCol w:w="1080"/>
        <w:gridCol w:w="261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9" w:hRule="atLeast"/>
          <w:jc w:val="center"/>
        </w:trPr>
        <w:tc>
          <w:tcPr>
            <w:tcW w:w="689"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 xml:space="preserve"> 序号</w:t>
            </w:r>
          </w:p>
        </w:tc>
        <w:tc>
          <w:tcPr>
            <w:tcW w:w="1433" w:type="dxa"/>
            <w:tcBorders>
              <w:top w:val="single" w:color="auto" w:sz="12" w:space="0"/>
              <w:bottom w:val="single" w:color="auto" w:sz="2" w:space="0"/>
            </w:tcBorders>
            <w:noWrap w:val="0"/>
            <w:vAlign w:val="center"/>
          </w:tcPr>
          <w:p>
            <w:pPr>
              <w:pStyle w:val="66"/>
              <w:keepNext w:val="0"/>
              <w:adjustRightInd/>
              <w:spacing w:before="0" w:after="0" w:line="360" w:lineRule="auto"/>
              <w:textAlignment w:val="auto"/>
              <w:rPr>
                <w:rFonts w:ascii="宋体" w:hAnsi="宋体"/>
                <w:snapToGrid/>
                <w:color w:val="auto"/>
                <w:spacing w:val="0"/>
                <w:kern w:val="2"/>
                <w:sz w:val="21"/>
                <w:szCs w:val="24"/>
              </w:rPr>
            </w:pPr>
            <w:r>
              <w:rPr>
                <w:rFonts w:hint="eastAsia" w:ascii="宋体" w:hAnsi="宋体"/>
                <w:snapToGrid/>
                <w:color w:val="auto"/>
                <w:spacing w:val="0"/>
                <w:kern w:val="2"/>
                <w:sz w:val="21"/>
                <w:szCs w:val="24"/>
              </w:rPr>
              <w:t>姓名</w:t>
            </w:r>
          </w:p>
        </w:tc>
        <w:tc>
          <w:tcPr>
            <w:tcW w:w="835"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性别</w:t>
            </w:r>
          </w:p>
        </w:tc>
        <w:tc>
          <w:tcPr>
            <w:tcW w:w="834"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年龄</w:t>
            </w:r>
          </w:p>
        </w:tc>
        <w:tc>
          <w:tcPr>
            <w:tcW w:w="834"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学历</w:t>
            </w:r>
          </w:p>
        </w:tc>
        <w:tc>
          <w:tcPr>
            <w:tcW w:w="1260"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专业</w:t>
            </w:r>
          </w:p>
        </w:tc>
        <w:tc>
          <w:tcPr>
            <w:tcW w:w="1080"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经验年限</w:t>
            </w:r>
          </w:p>
        </w:tc>
        <w:tc>
          <w:tcPr>
            <w:tcW w:w="2612" w:type="dxa"/>
            <w:tcBorders>
              <w:top w:val="single" w:color="auto" w:sz="12" w:space="0"/>
              <w:bottom w:val="single" w:color="auto" w:sz="2" w:space="0"/>
            </w:tcBorders>
            <w:noWrap w:val="0"/>
            <w:vAlign w:val="center"/>
          </w:tcPr>
          <w:p>
            <w:pPr>
              <w:spacing w:line="360" w:lineRule="auto"/>
              <w:jc w:val="center"/>
              <w:rPr>
                <w:rFonts w:ascii="宋体" w:hAnsi="宋体"/>
                <w:color w:val="auto"/>
              </w:rPr>
            </w:pPr>
            <w:r>
              <w:rPr>
                <w:rFonts w:hint="eastAsia" w:ascii="宋体" w:hAnsi="宋体"/>
                <w:color w:val="auto"/>
              </w:rPr>
              <w:t>本项目拟担任职务及职责</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tcBorders>
              <w:top w:val="single" w:color="auto" w:sz="2" w:space="0"/>
            </w:tcBorders>
            <w:noWrap w:val="0"/>
            <w:vAlign w:val="center"/>
          </w:tcPr>
          <w:p>
            <w:pPr>
              <w:spacing w:line="360" w:lineRule="auto"/>
              <w:jc w:val="center"/>
              <w:rPr>
                <w:rFonts w:ascii="宋体" w:hAnsi="宋体"/>
                <w:color w:val="auto"/>
              </w:rPr>
            </w:pPr>
          </w:p>
        </w:tc>
        <w:tc>
          <w:tcPr>
            <w:tcW w:w="1433" w:type="dxa"/>
            <w:tcBorders>
              <w:top w:val="single" w:color="auto" w:sz="2" w:space="0"/>
            </w:tcBorders>
            <w:noWrap w:val="0"/>
            <w:vAlign w:val="center"/>
          </w:tcPr>
          <w:p>
            <w:pPr>
              <w:spacing w:line="360" w:lineRule="auto"/>
              <w:jc w:val="center"/>
              <w:rPr>
                <w:rFonts w:ascii="宋体" w:hAnsi="宋体"/>
                <w:color w:val="auto"/>
              </w:rPr>
            </w:pPr>
          </w:p>
        </w:tc>
        <w:tc>
          <w:tcPr>
            <w:tcW w:w="835" w:type="dxa"/>
            <w:tcBorders>
              <w:top w:val="single" w:color="auto" w:sz="2" w:space="0"/>
            </w:tcBorders>
            <w:noWrap w:val="0"/>
            <w:vAlign w:val="center"/>
          </w:tcPr>
          <w:p>
            <w:pPr>
              <w:spacing w:line="360" w:lineRule="auto"/>
              <w:jc w:val="center"/>
              <w:rPr>
                <w:rFonts w:ascii="宋体" w:hAnsi="宋体"/>
                <w:color w:val="auto"/>
              </w:rPr>
            </w:pPr>
          </w:p>
        </w:tc>
        <w:tc>
          <w:tcPr>
            <w:tcW w:w="834" w:type="dxa"/>
            <w:tcBorders>
              <w:top w:val="single" w:color="auto" w:sz="2" w:space="0"/>
            </w:tcBorders>
            <w:noWrap w:val="0"/>
            <w:vAlign w:val="center"/>
          </w:tcPr>
          <w:p>
            <w:pPr>
              <w:spacing w:line="360" w:lineRule="auto"/>
              <w:jc w:val="center"/>
              <w:rPr>
                <w:rFonts w:ascii="宋体" w:hAnsi="宋体"/>
                <w:color w:val="auto"/>
              </w:rPr>
            </w:pPr>
          </w:p>
        </w:tc>
        <w:tc>
          <w:tcPr>
            <w:tcW w:w="834" w:type="dxa"/>
            <w:tcBorders>
              <w:top w:val="single" w:color="auto" w:sz="2" w:space="0"/>
            </w:tcBorders>
            <w:noWrap w:val="0"/>
            <w:vAlign w:val="center"/>
          </w:tcPr>
          <w:p>
            <w:pPr>
              <w:spacing w:line="360" w:lineRule="auto"/>
              <w:jc w:val="center"/>
              <w:rPr>
                <w:rFonts w:ascii="宋体" w:hAnsi="宋体"/>
                <w:color w:val="auto"/>
              </w:rPr>
            </w:pPr>
          </w:p>
        </w:tc>
        <w:tc>
          <w:tcPr>
            <w:tcW w:w="1260" w:type="dxa"/>
            <w:tcBorders>
              <w:top w:val="single" w:color="auto" w:sz="2" w:space="0"/>
            </w:tcBorders>
            <w:noWrap w:val="0"/>
            <w:vAlign w:val="center"/>
          </w:tcPr>
          <w:p>
            <w:pPr>
              <w:spacing w:line="360" w:lineRule="auto"/>
              <w:jc w:val="center"/>
              <w:rPr>
                <w:rFonts w:ascii="宋体" w:hAnsi="宋体"/>
                <w:color w:val="auto"/>
              </w:rPr>
            </w:pPr>
          </w:p>
        </w:tc>
        <w:tc>
          <w:tcPr>
            <w:tcW w:w="1080" w:type="dxa"/>
            <w:tcBorders>
              <w:top w:val="single" w:color="auto" w:sz="2" w:space="0"/>
            </w:tcBorders>
            <w:noWrap w:val="0"/>
            <w:vAlign w:val="center"/>
          </w:tcPr>
          <w:p>
            <w:pPr>
              <w:spacing w:line="360" w:lineRule="auto"/>
              <w:jc w:val="center"/>
              <w:rPr>
                <w:rFonts w:ascii="宋体" w:hAnsi="宋体"/>
                <w:color w:val="auto"/>
              </w:rPr>
            </w:pPr>
          </w:p>
        </w:tc>
        <w:tc>
          <w:tcPr>
            <w:tcW w:w="2612" w:type="dxa"/>
            <w:tcBorders>
              <w:top w:val="single" w:color="auto" w:sz="2" w:space="0"/>
            </w:tcBorders>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89" w:type="dxa"/>
            <w:noWrap w:val="0"/>
            <w:vAlign w:val="center"/>
          </w:tcPr>
          <w:p>
            <w:pPr>
              <w:spacing w:line="360" w:lineRule="auto"/>
              <w:jc w:val="center"/>
              <w:rPr>
                <w:rFonts w:ascii="宋体" w:hAnsi="宋体"/>
                <w:color w:val="auto"/>
              </w:rPr>
            </w:pPr>
          </w:p>
        </w:tc>
        <w:tc>
          <w:tcPr>
            <w:tcW w:w="1433" w:type="dxa"/>
            <w:noWrap w:val="0"/>
            <w:vAlign w:val="center"/>
          </w:tcPr>
          <w:p>
            <w:pPr>
              <w:spacing w:line="360" w:lineRule="auto"/>
              <w:jc w:val="center"/>
              <w:rPr>
                <w:rFonts w:ascii="宋体" w:hAnsi="宋体"/>
                <w:color w:val="auto"/>
              </w:rPr>
            </w:pPr>
          </w:p>
        </w:tc>
        <w:tc>
          <w:tcPr>
            <w:tcW w:w="835"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834" w:type="dxa"/>
            <w:noWrap w:val="0"/>
            <w:vAlign w:val="center"/>
          </w:tcPr>
          <w:p>
            <w:pPr>
              <w:spacing w:line="360" w:lineRule="auto"/>
              <w:jc w:val="center"/>
              <w:rPr>
                <w:rFonts w:ascii="宋体" w:hAnsi="宋体"/>
                <w:color w:val="auto"/>
              </w:rPr>
            </w:pPr>
          </w:p>
        </w:tc>
        <w:tc>
          <w:tcPr>
            <w:tcW w:w="1260" w:type="dxa"/>
            <w:noWrap w:val="0"/>
            <w:vAlign w:val="center"/>
          </w:tcPr>
          <w:p>
            <w:pPr>
              <w:spacing w:line="360" w:lineRule="auto"/>
              <w:jc w:val="center"/>
              <w:rPr>
                <w:rFonts w:ascii="宋体" w:hAnsi="宋体"/>
                <w:color w:val="auto"/>
              </w:rPr>
            </w:pPr>
          </w:p>
        </w:tc>
        <w:tc>
          <w:tcPr>
            <w:tcW w:w="1080" w:type="dxa"/>
            <w:noWrap w:val="0"/>
            <w:vAlign w:val="center"/>
          </w:tcPr>
          <w:p>
            <w:pPr>
              <w:spacing w:line="360" w:lineRule="auto"/>
              <w:jc w:val="center"/>
              <w:rPr>
                <w:rFonts w:ascii="宋体" w:hAnsi="宋体"/>
                <w:color w:val="auto"/>
              </w:rPr>
            </w:pPr>
          </w:p>
        </w:tc>
        <w:tc>
          <w:tcPr>
            <w:tcW w:w="2612" w:type="dxa"/>
            <w:noWrap w:val="0"/>
            <w:vAlign w:val="center"/>
          </w:tcPr>
          <w:p>
            <w:pPr>
              <w:spacing w:line="360" w:lineRule="auto"/>
              <w:jc w:val="center"/>
              <w:rPr>
                <w:rFonts w:ascii="宋体" w:hAnsi="宋体"/>
                <w:color w:val="auto"/>
              </w:rPr>
            </w:pPr>
          </w:p>
        </w:tc>
      </w:tr>
    </w:tbl>
    <w:p>
      <w:pPr>
        <w:spacing w:line="360" w:lineRule="auto"/>
        <w:ind w:firstLine="105" w:firstLineChars="50"/>
        <w:rPr>
          <w:rFonts w:ascii="宋体" w:hAnsi="宋体"/>
          <w:i/>
          <w:color w:val="auto"/>
        </w:rPr>
      </w:pPr>
    </w:p>
    <w:p>
      <w:pPr>
        <w:pStyle w:val="13"/>
        <w:spacing w:line="360" w:lineRule="auto"/>
        <w:rPr>
          <w:rFonts w:ascii="宋体" w:hAnsi="宋体"/>
          <w:b/>
          <w:bCs/>
          <w:color w:val="auto"/>
        </w:rPr>
      </w:pPr>
    </w:p>
    <w:p>
      <w:pPr>
        <w:pStyle w:val="13"/>
        <w:spacing w:line="360" w:lineRule="auto"/>
        <w:rPr>
          <w:rFonts w:ascii="宋体" w:hAnsi="宋体"/>
          <w:b/>
          <w:bCs/>
          <w:color w:val="auto"/>
        </w:rPr>
      </w:pPr>
    </w:p>
    <w:p>
      <w:pPr>
        <w:pStyle w:val="13"/>
        <w:numPr>
          <w:ilvl w:val="0"/>
          <w:numId w:val="64"/>
        </w:numPr>
        <w:spacing w:line="360" w:lineRule="auto"/>
        <w:outlineLvl w:val="1"/>
        <w:rPr>
          <w:rFonts w:ascii="宋体" w:hAnsi="宋体"/>
          <w:b/>
          <w:bCs/>
          <w:color w:val="auto"/>
        </w:rPr>
      </w:pPr>
      <w:r>
        <w:rPr>
          <w:rFonts w:ascii="宋体" w:hAnsi="宋体"/>
          <w:b/>
          <w:bCs/>
          <w:color w:val="auto"/>
        </w:rPr>
        <w:br w:type="page"/>
      </w:r>
      <w:r>
        <w:rPr>
          <w:rFonts w:hint="eastAsia" w:ascii="宋体" w:hAnsi="宋体"/>
          <w:b/>
          <w:bCs/>
          <w:color w:val="auto"/>
        </w:rPr>
        <w:t>用户需求响应表</w:t>
      </w:r>
    </w:p>
    <w:p>
      <w:pPr>
        <w:pStyle w:val="13"/>
        <w:spacing w:line="360" w:lineRule="auto"/>
        <w:jc w:val="center"/>
        <w:rPr>
          <w:rFonts w:ascii="宋体" w:hAnsi="宋体"/>
          <w:b/>
          <w:bCs/>
          <w:color w:val="auto"/>
          <w:sz w:val="30"/>
          <w:szCs w:val="30"/>
        </w:rPr>
      </w:pPr>
      <w:bookmarkStart w:id="94" w:name="_Toc385940913"/>
    </w:p>
    <w:p>
      <w:pPr>
        <w:pStyle w:val="13"/>
        <w:spacing w:line="360" w:lineRule="auto"/>
        <w:jc w:val="center"/>
        <w:rPr>
          <w:rFonts w:ascii="宋体" w:hAnsi="宋体"/>
          <w:b/>
          <w:bCs/>
          <w:color w:val="auto"/>
          <w:sz w:val="30"/>
          <w:szCs w:val="30"/>
        </w:rPr>
      </w:pPr>
      <w:r>
        <w:rPr>
          <w:rFonts w:hint="eastAsia" w:ascii="宋体" w:hAnsi="宋体"/>
          <w:b/>
          <w:bCs/>
          <w:color w:val="auto"/>
          <w:sz w:val="30"/>
          <w:szCs w:val="30"/>
          <w:lang w:eastAsia="zh-CN"/>
        </w:rPr>
        <w:t>用户需求</w:t>
      </w:r>
      <w:r>
        <w:rPr>
          <w:rFonts w:hint="eastAsia" w:ascii="宋体" w:hAnsi="宋体"/>
          <w:b/>
          <w:bCs/>
          <w:color w:val="auto"/>
          <w:sz w:val="30"/>
          <w:szCs w:val="30"/>
        </w:rPr>
        <w:t>响应表</w:t>
      </w:r>
      <w:bookmarkEnd w:id="94"/>
    </w:p>
    <w:tbl>
      <w:tblPr>
        <w:tblStyle w:val="36"/>
        <w:tblW w:w="9969"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30" w:type="dxa"/>
          <w:bottom w:w="0" w:type="dxa"/>
          <w:right w:w="30" w:type="dxa"/>
        </w:tblCellMar>
      </w:tblPr>
      <w:tblGrid>
        <w:gridCol w:w="834"/>
        <w:gridCol w:w="2556"/>
        <w:gridCol w:w="2214"/>
        <w:gridCol w:w="1833"/>
        <w:gridCol w:w="1452"/>
        <w:gridCol w:w="1080"/>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732" w:hRule="exact"/>
          <w:jc w:val="center"/>
        </w:trPr>
        <w:tc>
          <w:tcPr>
            <w:tcW w:w="834" w:type="dxa"/>
            <w:tcBorders>
              <w:top w:val="single" w:color="auto" w:sz="12" w:space="0"/>
              <w:bottom w:val="single" w:color="auto" w:sz="2" w:space="0"/>
            </w:tcBorders>
            <w:noWrap w:val="0"/>
            <w:vAlign w:val="center"/>
          </w:tcPr>
          <w:p>
            <w:pPr>
              <w:autoSpaceDE w:val="0"/>
              <w:autoSpaceDN w:val="0"/>
              <w:adjustRightInd w:val="0"/>
              <w:ind w:right="84" w:rightChars="40"/>
              <w:jc w:val="center"/>
              <w:rPr>
                <w:rFonts w:ascii="宋体" w:hAnsi="宋体" w:cs="Arial"/>
                <w:color w:val="auto"/>
                <w:szCs w:val="21"/>
              </w:rPr>
            </w:pPr>
            <w:r>
              <w:rPr>
                <w:rFonts w:hint="eastAsia" w:ascii="宋体" w:hAnsi="宋体" w:cs="Arial"/>
                <w:color w:val="auto"/>
                <w:szCs w:val="21"/>
              </w:rPr>
              <w:t>序号</w:t>
            </w:r>
          </w:p>
        </w:tc>
        <w:tc>
          <w:tcPr>
            <w:tcW w:w="2556" w:type="dxa"/>
            <w:tcBorders>
              <w:top w:val="single" w:color="auto" w:sz="12" w:space="0"/>
              <w:bottom w:val="single" w:color="auto" w:sz="2" w:space="0"/>
            </w:tcBorders>
            <w:noWrap w:val="0"/>
            <w:vAlign w:val="center"/>
          </w:tcPr>
          <w:p>
            <w:pPr>
              <w:autoSpaceDE w:val="0"/>
              <w:autoSpaceDN w:val="0"/>
              <w:adjustRightInd w:val="0"/>
              <w:ind w:right="84" w:rightChars="40"/>
              <w:jc w:val="center"/>
              <w:rPr>
                <w:rFonts w:ascii="宋体" w:hAnsi="宋体" w:cs="Arial"/>
                <w:color w:val="auto"/>
                <w:szCs w:val="21"/>
              </w:rPr>
            </w:pPr>
            <w:r>
              <w:rPr>
                <w:rFonts w:hint="eastAsia" w:ascii="宋体" w:hAnsi="宋体" w:cs="Arial"/>
                <w:color w:val="auto"/>
                <w:szCs w:val="21"/>
              </w:rPr>
              <w:t>用户需求书内容</w:t>
            </w:r>
          </w:p>
        </w:tc>
        <w:tc>
          <w:tcPr>
            <w:tcW w:w="2214" w:type="dxa"/>
            <w:tcBorders>
              <w:top w:val="single" w:color="auto" w:sz="12" w:space="0"/>
              <w:bottom w:val="single" w:color="auto" w:sz="2" w:space="0"/>
            </w:tcBorders>
            <w:noWrap w:val="0"/>
            <w:vAlign w:val="center"/>
          </w:tcPr>
          <w:p>
            <w:pPr>
              <w:autoSpaceDE w:val="0"/>
              <w:autoSpaceDN w:val="0"/>
              <w:adjustRightInd w:val="0"/>
              <w:ind w:right="84" w:rightChars="40"/>
              <w:jc w:val="center"/>
              <w:rPr>
                <w:rFonts w:ascii="宋体" w:hAnsi="宋体" w:cs="Arial"/>
                <w:color w:val="auto"/>
                <w:szCs w:val="21"/>
              </w:rPr>
            </w:pPr>
            <w:r>
              <w:rPr>
                <w:rFonts w:hint="eastAsia" w:ascii="宋体" w:hAnsi="宋体" w:cs="Arial"/>
                <w:color w:val="auto"/>
                <w:szCs w:val="21"/>
              </w:rPr>
              <w:t>投标人响应详细内容</w:t>
            </w:r>
          </w:p>
        </w:tc>
        <w:tc>
          <w:tcPr>
            <w:tcW w:w="1833" w:type="dxa"/>
            <w:tcBorders>
              <w:top w:val="single" w:color="auto" w:sz="12" w:space="0"/>
              <w:bottom w:val="single" w:color="auto" w:sz="2" w:space="0"/>
            </w:tcBorders>
            <w:noWrap w:val="0"/>
            <w:vAlign w:val="center"/>
          </w:tcPr>
          <w:p>
            <w:pPr>
              <w:autoSpaceDE w:val="0"/>
              <w:autoSpaceDN w:val="0"/>
              <w:adjustRightInd w:val="0"/>
              <w:ind w:right="84" w:rightChars="40"/>
              <w:jc w:val="center"/>
              <w:rPr>
                <w:rFonts w:ascii="宋体" w:hAnsi="宋体" w:cs="Arial"/>
                <w:color w:val="auto"/>
                <w:szCs w:val="21"/>
              </w:rPr>
            </w:pPr>
            <w:r>
              <w:rPr>
                <w:rFonts w:hint="eastAsia" w:ascii="宋体" w:hAnsi="宋体"/>
                <w:color w:val="auto"/>
                <w:spacing w:val="4"/>
              </w:rPr>
              <w:t>正/负/</w:t>
            </w:r>
            <w:r>
              <w:rPr>
                <w:rFonts w:hint="eastAsia" w:ascii="宋体" w:hAnsi="宋体"/>
                <w:color w:val="auto"/>
              </w:rPr>
              <w:t>无偏离</w:t>
            </w:r>
          </w:p>
        </w:tc>
        <w:tc>
          <w:tcPr>
            <w:tcW w:w="1452" w:type="dxa"/>
            <w:tcBorders>
              <w:top w:val="single" w:color="auto" w:sz="12" w:space="0"/>
              <w:bottom w:val="single" w:color="auto" w:sz="2" w:space="0"/>
            </w:tcBorders>
            <w:noWrap w:val="0"/>
            <w:vAlign w:val="center"/>
          </w:tcPr>
          <w:p>
            <w:pPr>
              <w:spacing w:line="360" w:lineRule="auto"/>
              <w:jc w:val="center"/>
              <w:rPr>
                <w:rFonts w:ascii="宋体" w:hAnsi="宋体" w:cs="Arial"/>
                <w:color w:val="auto"/>
                <w:szCs w:val="21"/>
              </w:rPr>
            </w:pPr>
            <w:r>
              <w:rPr>
                <w:rFonts w:hint="eastAsia" w:ascii="宋体" w:hAnsi="宋体" w:cs="Arial"/>
                <w:color w:val="auto"/>
                <w:szCs w:val="21"/>
              </w:rPr>
              <w:t>偏离说明</w:t>
            </w:r>
          </w:p>
        </w:tc>
        <w:tc>
          <w:tcPr>
            <w:tcW w:w="1080" w:type="dxa"/>
            <w:tcBorders>
              <w:top w:val="single" w:color="auto" w:sz="12" w:space="0"/>
              <w:bottom w:val="single" w:color="auto" w:sz="2" w:space="0"/>
            </w:tcBorders>
            <w:noWrap w:val="0"/>
            <w:vAlign w:val="center"/>
          </w:tcPr>
          <w:p>
            <w:pPr>
              <w:jc w:val="center"/>
              <w:rPr>
                <w:rFonts w:ascii="宋体" w:hAnsi="宋体" w:cs="Arial"/>
                <w:color w:val="auto"/>
                <w:szCs w:val="21"/>
              </w:rPr>
            </w:pPr>
            <w:r>
              <w:rPr>
                <w:rFonts w:hint="eastAsia" w:ascii="宋体" w:hAnsi="宋体" w:cs="Arial"/>
                <w:color w:val="auto"/>
                <w:szCs w:val="21"/>
              </w:rPr>
              <w:t>投标文件</w:t>
            </w:r>
          </w:p>
          <w:p>
            <w:pPr>
              <w:jc w:val="center"/>
              <w:rPr>
                <w:rFonts w:ascii="宋体" w:hAnsi="宋体" w:cs="Arial"/>
                <w:color w:val="auto"/>
                <w:szCs w:val="21"/>
              </w:rPr>
            </w:pPr>
            <w:r>
              <w:rPr>
                <w:rFonts w:hint="eastAsia" w:ascii="宋体" w:hAnsi="宋体" w:cs="Arial"/>
                <w:color w:val="auto"/>
                <w:szCs w:val="21"/>
              </w:rPr>
              <w:t>响应页码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tcBorders>
              <w:top w:val="single" w:color="auto" w:sz="2" w:space="0"/>
            </w:tcBorders>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1</w:t>
            </w:r>
          </w:p>
        </w:tc>
        <w:tc>
          <w:tcPr>
            <w:tcW w:w="2556" w:type="dxa"/>
            <w:tcBorders>
              <w:top w:val="single" w:color="auto" w:sz="2" w:space="0"/>
            </w:tcBorders>
            <w:noWrap w:val="0"/>
            <w:vAlign w:val="center"/>
          </w:tcPr>
          <w:p>
            <w:pPr>
              <w:spacing w:line="360" w:lineRule="auto"/>
              <w:jc w:val="center"/>
              <w:rPr>
                <w:rFonts w:ascii="宋体" w:hAnsi="宋体"/>
                <w:color w:val="auto"/>
              </w:rPr>
            </w:pPr>
          </w:p>
        </w:tc>
        <w:tc>
          <w:tcPr>
            <w:tcW w:w="2214" w:type="dxa"/>
            <w:tcBorders>
              <w:top w:val="single" w:color="auto" w:sz="2" w:space="0"/>
            </w:tcBorders>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tcBorders>
              <w:top w:val="single" w:color="auto" w:sz="2" w:space="0"/>
            </w:tcBorders>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tcBorders>
              <w:top w:val="single" w:color="auto" w:sz="2" w:space="0"/>
            </w:tcBorders>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tcBorders>
              <w:top w:val="single" w:color="auto" w:sz="2" w:space="0"/>
            </w:tcBorders>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2</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3</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4</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5</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6</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7</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8</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9</w:t>
            </w:r>
          </w:p>
        </w:tc>
        <w:tc>
          <w:tcPr>
            <w:tcW w:w="2556" w:type="dxa"/>
            <w:noWrap w:val="0"/>
            <w:vAlign w:val="center"/>
          </w:tcPr>
          <w:p>
            <w:pPr>
              <w:spacing w:line="360" w:lineRule="auto"/>
              <w:jc w:val="center"/>
              <w:rPr>
                <w:rFonts w:ascii="宋体" w:hAnsi="宋体"/>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s="Arial"/>
                <w:color w:val="auto"/>
              </w:rPr>
              <w:t>10</w:t>
            </w:r>
          </w:p>
        </w:tc>
        <w:tc>
          <w:tcPr>
            <w:tcW w:w="2556" w:type="dxa"/>
            <w:noWrap w:val="0"/>
            <w:vAlign w:val="center"/>
          </w:tcPr>
          <w:p>
            <w:pPr>
              <w:tabs>
                <w:tab w:val="left" w:pos="985"/>
              </w:tabs>
              <w:spacing w:line="360" w:lineRule="auto"/>
              <w:ind w:right="84" w:rightChars="40"/>
              <w:jc w:val="center"/>
              <w:rPr>
                <w:rFonts w:ascii="宋体" w:hAnsi="宋体" w:cs="Arial"/>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30" w:type="dxa"/>
            <w:bottom w:w="0" w:type="dxa"/>
            <w:right w:w="30" w:type="dxa"/>
          </w:tblCellMar>
        </w:tblPrEx>
        <w:trPr>
          <w:trHeight w:val="567" w:hRule="exact"/>
          <w:jc w:val="center"/>
        </w:trPr>
        <w:tc>
          <w:tcPr>
            <w:tcW w:w="834" w:type="dxa"/>
            <w:noWrap w:val="0"/>
            <w:vAlign w:val="center"/>
          </w:tcPr>
          <w:p>
            <w:pPr>
              <w:autoSpaceDE w:val="0"/>
              <w:autoSpaceDN w:val="0"/>
              <w:adjustRightInd w:val="0"/>
              <w:spacing w:line="360" w:lineRule="auto"/>
              <w:ind w:right="84" w:rightChars="40"/>
              <w:jc w:val="center"/>
              <w:rPr>
                <w:rFonts w:ascii="宋体" w:hAnsi="宋体" w:cs="Arial"/>
                <w:color w:val="auto"/>
              </w:rPr>
            </w:pPr>
            <w:r>
              <w:rPr>
                <w:rFonts w:hint="eastAsia" w:ascii="宋体" w:hAnsi="宋体"/>
                <w:color w:val="auto"/>
              </w:rPr>
              <w:t>…</w:t>
            </w:r>
          </w:p>
        </w:tc>
        <w:tc>
          <w:tcPr>
            <w:tcW w:w="2556" w:type="dxa"/>
            <w:noWrap w:val="0"/>
            <w:vAlign w:val="center"/>
          </w:tcPr>
          <w:p>
            <w:pPr>
              <w:tabs>
                <w:tab w:val="left" w:pos="985"/>
              </w:tabs>
              <w:spacing w:line="360" w:lineRule="auto"/>
              <w:ind w:right="84" w:rightChars="40"/>
              <w:jc w:val="center"/>
              <w:rPr>
                <w:rFonts w:ascii="宋体" w:hAnsi="宋体" w:cs="Arial"/>
                <w:color w:val="auto"/>
              </w:rPr>
            </w:pPr>
          </w:p>
        </w:tc>
        <w:tc>
          <w:tcPr>
            <w:tcW w:w="2214" w:type="dxa"/>
            <w:noWrap w:val="0"/>
            <w:vAlign w:val="center"/>
          </w:tcPr>
          <w:p>
            <w:pPr>
              <w:autoSpaceDE w:val="0"/>
              <w:autoSpaceDN w:val="0"/>
              <w:adjustRightInd w:val="0"/>
              <w:spacing w:line="360" w:lineRule="auto"/>
              <w:ind w:right="84" w:rightChars="40"/>
              <w:rPr>
                <w:rFonts w:ascii="宋体" w:hAnsi="宋体" w:cs="Arial"/>
                <w:color w:val="auto"/>
              </w:rPr>
            </w:pPr>
          </w:p>
        </w:tc>
        <w:tc>
          <w:tcPr>
            <w:tcW w:w="1833"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452" w:type="dxa"/>
            <w:noWrap w:val="0"/>
            <w:vAlign w:val="top"/>
          </w:tcPr>
          <w:p>
            <w:pPr>
              <w:autoSpaceDE w:val="0"/>
              <w:autoSpaceDN w:val="0"/>
              <w:adjustRightInd w:val="0"/>
              <w:spacing w:line="360" w:lineRule="auto"/>
              <w:ind w:right="84" w:rightChars="40"/>
              <w:jc w:val="center"/>
              <w:rPr>
                <w:rFonts w:ascii="宋体" w:hAnsi="宋体" w:cs="Arial"/>
                <w:color w:val="auto"/>
              </w:rPr>
            </w:pPr>
          </w:p>
        </w:tc>
        <w:tc>
          <w:tcPr>
            <w:tcW w:w="1080" w:type="dxa"/>
            <w:noWrap w:val="0"/>
            <w:vAlign w:val="center"/>
          </w:tcPr>
          <w:p>
            <w:pPr>
              <w:autoSpaceDE w:val="0"/>
              <w:autoSpaceDN w:val="0"/>
              <w:adjustRightInd w:val="0"/>
              <w:spacing w:line="360" w:lineRule="auto"/>
              <w:ind w:right="84" w:rightChars="40"/>
              <w:jc w:val="center"/>
              <w:rPr>
                <w:rFonts w:ascii="宋体" w:hAnsi="宋体" w:cs="Arial"/>
                <w:color w:val="auto"/>
              </w:rPr>
            </w:pPr>
          </w:p>
        </w:tc>
      </w:tr>
    </w:tbl>
    <w:p>
      <w:pPr>
        <w:spacing w:line="360" w:lineRule="auto"/>
        <w:rPr>
          <w:rFonts w:ascii="宋体" w:hAnsi="宋体"/>
          <w:color w:val="auto"/>
          <w:szCs w:val="21"/>
        </w:rPr>
      </w:pPr>
      <w:r>
        <w:rPr>
          <w:rFonts w:hint="eastAsia" w:ascii="宋体" w:hAnsi="宋体"/>
          <w:color w:val="auto"/>
          <w:szCs w:val="21"/>
        </w:rPr>
        <w:t>备注：本表根据招标文件用户需求书的内容，除带“</w:t>
      </w:r>
      <w:r>
        <w:rPr>
          <w:rFonts w:hint="eastAsia" w:ascii="宋体" w:hAnsi="宋体" w:cs="宋体"/>
          <w:b/>
          <w:color w:val="auto"/>
          <w:szCs w:val="21"/>
        </w:rPr>
        <w:t>★</w:t>
      </w:r>
      <w:r>
        <w:rPr>
          <w:rFonts w:hint="eastAsia" w:ascii="宋体" w:hAnsi="宋体"/>
          <w:color w:val="auto"/>
          <w:szCs w:val="21"/>
        </w:rPr>
        <w:t>”指标之外，投标人须逐条详细响应并作出标注</w:t>
      </w:r>
      <w:r>
        <w:rPr>
          <w:rFonts w:hint="eastAsia" w:ascii="宋体" w:hAnsi="宋体"/>
          <w:b/>
          <w:color w:val="auto"/>
          <w:szCs w:val="21"/>
        </w:rPr>
        <w:t>“正偏离/负偏离/无偏离”</w:t>
      </w:r>
      <w:r>
        <w:rPr>
          <w:rFonts w:hint="eastAsia" w:ascii="宋体" w:hAnsi="宋体"/>
          <w:color w:val="auto"/>
          <w:szCs w:val="21"/>
        </w:rPr>
        <w:t>，“</w:t>
      </w:r>
      <w:r>
        <w:rPr>
          <w:rFonts w:hint="eastAsia" w:ascii="宋体" w:hAnsi="宋体"/>
          <w:b/>
          <w:color w:val="auto"/>
          <w:szCs w:val="21"/>
        </w:rPr>
        <w:t>正/负偏离</w:t>
      </w:r>
      <w:r>
        <w:rPr>
          <w:rFonts w:hint="eastAsia" w:ascii="宋体" w:hAnsi="宋体"/>
          <w:color w:val="auto"/>
          <w:szCs w:val="21"/>
        </w:rPr>
        <w:t>”的请在</w:t>
      </w:r>
      <w:r>
        <w:rPr>
          <w:rFonts w:hint="eastAsia" w:ascii="宋体" w:hAnsi="宋体" w:cs="Arial"/>
          <w:color w:val="auto"/>
          <w:szCs w:val="21"/>
        </w:rPr>
        <w:t>偏离</w:t>
      </w:r>
      <w:r>
        <w:rPr>
          <w:rFonts w:hint="eastAsia" w:ascii="宋体" w:hAnsi="宋体"/>
          <w:color w:val="auto"/>
          <w:szCs w:val="21"/>
        </w:rPr>
        <w:t>说明栏目中具体说明及填写页码。</w:t>
      </w:r>
    </w:p>
    <w:p>
      <w:pPr>
        <w:spacing w:line="360" w:lineRule="auto"/>
        <w:rPr>
          <w:rFonts w:ascii="宋体" w:hAnsi="宋体"/>
          <w:color w:val="auto"/>
          <w:szCs w:val="21"/>
        </w:rPr>
      </w:pPr>
    </w:p>
    <w:p>
      <w:pPr>
        <w:spacing w:line="360" w:lineRule="auto"/>
        <w:ind w:firstLine="4935" w:firstLineChars="2350"/>
        <w:rPr>
          <w:rFonts w:ascii="宋体" w:hAnsi="宋体"/>
          <w:color w:val="auto"/>
        </w:rPr>
      </w:pPr>
    </w:p>
    <w:p>
      <w:pPr>
        <w:pStyle w:val="13"/>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b/>
          <w:bCs/>
          <w:color w:val="auto"/>
        </w:rPr>
      </w:pPr>
      <w:r>
        <w:rPr>
          <w:rFonts w:ascii="宋体" w:hAnsi="宋体"/>
          <w:b/>
          <w:bCs/>
          <w:color w:val="auto"/>
        </w:rPr>
        <w:br w:type="page"/>
      </w:r>
      <w:bookmarkStart w:id="95" w:name="_Toc43264518"/>
    </w:p>
    <w:p>
      <w:pPr>
        <w:pStyle w:val="13"/>
        <w:numPr>
          <w:ilvl w:val="0"/>
          <w:numId w:val="64"/>
        </w:numPr>
        <w:spacing w:line="360" w:lineRule="auto"/>
        <w:outlineLvl w:val="1"/>
        <w:rPr>
          <w:rFonts w:ascii="宋体" w:hAnsi="宋体"/>
          <w:b/>
          <w:bCs/>
          <w:color w:val="auto"/>
        </w:rPr>
      </w:pPr>
      <w:r>
        <w:rPr>
          <w:rFonts w:ascii="宋体" w:hAnsi="宋体"/>
          <w:b/>
          <w:bCs/>
          <w:color w:val="auto"/>
        </w:rPr>
        <w:t>招标代理服务费承诺书</w:t>
      </w:r>
    </w:p>
    <w:p>
      <w:pPr>
        <w:spacing w:line="360" w:lineRule="auto"/>
        <w:rPr>
          <w:rFonts w:ascii="宋体" w:hAnsi="宋体"/>
          <w:b/>
          <w:bCs/>
          <w:color w:val="auto"/>
          <w:szCs w:val="21"/>
        </w:rPr>
      </w:pPr>
    </w:p>
    <w:p>
      <w:pPr>
        <w:pStyle w:val="13"/>
        <w:spacing w:line="360" w:lineRule="auto"/>
        <w:jc w:val="center"/>
        <w:rPr>
          <w:rFonts w:ascii="宋体" w:hAnsi="宋体"/>
          <w:b/>
          <w:bCs/>
          <w:color w:val="auto"/>
          <w:sz w:val="30"/>
          <w:szCs w:val="30"/>
        </w:rPr>
      </w:pPr>
      <w:bookmarkStart w:id="96" w:name="_Toc385940918"/>
      <w:r>
        <w:rPr>
          <w:rFonts w:ascii="宋体" w:hAnsi="宋体"/>
          <w:b/>
          <w:bCs/>
          <w:color w:val="auto"/>
          <w:sz w:val="30"/>
          <w:szCs w:val="30"/>
        </w:rPr>
        <w:t>招标代理服务费承诺书</w:t>
      </w:r>
      <w:bookmarkEnd w:id="96"/>
    </w:p>
    <w:p>
      <w:pPr>
        <w:spacing w:before="240" w:line="360" w:lineRule="auto"/>
        <w:ind w:firstLine="540"/>
        <w:jc w:val="right"/>
        <w:rPr>
          <w:rFonts w:ascii="宋体" w:hAnsi="宋体"/>
          <w:i/>
          <w:color w:val="auto"/>
          <w:kern w:val="28"/>
          <w:u w:val="single"/>
        </w:rPr>
      </w:pPr>
    </w:p>
    <w:p>
      <w:pPr>
        <w:spacing w:line="360" w:lineRule="auto"/>
        <w:rPr>
          <w:rFonts w:ascii="宋体" w:hAnsi="宋体"/>
          <w:b/>
          <w:color w:val="auto"/>
        </w:rPr>
      </w:pPr>
      <w:r>
        <w:rPr>
          <w:rFonts w:hint="eastAsia" w:ascii="宋体" w:hAnsi="宋体"/>
          <w:b/>
          <w:color w:val="auto"/>
        </w:rPr>
        <w:t>致：广东中程招标代理有限公司</w:t>
      </w:r>
    </w:p>
    <w:p>
      <w:pPr>
        <w:spacing w:before="240" w:line="360" w:lineRule="auto"/>
        <w:ind w:firstLine="540"/>
        <w:rPr>
          <w:rFonts w:ascii="宋体" w:hAnsi="宋体"/>
          <w:color w:val="auto"/>
        </w:rPr>
      </w:pPr>
      <w:r>
        <w:rPr>
          <w:rFonts w:hint="eastAsia" w:ascii="宋体" w:hAnsi="宋体"/>
          <w:color w:val="auto"/>
        </w:rPr>
        <w:t>如果我公司在贵公司组织的：广东省外语艺术职业学院校园网出口带宽服务项目定点议价供应商资格遴选（项目编号：GDZC24DB1010Z）的货物及服务招标中获中标，我公司保证按照招标文件规定缴纳的“招标代理服务费”后，凭领取人身份证原件及招标代理服务费缴费凭证并加盖公章领取《中标通知书》。</w:t>
      </w:r>
    </w:p>
    <w:p>
      <w:pPr>
        <w:spacing w:line="360" w:lineRule="auto"/>
        <w:ind w:firstLine="420" w:firstLineChars="200"/>
        <w:rPr>
          <w:rFonts w:ascii="宋体" w:hAnsi="宋体"/>
          <w:color w:val="auto"/>
        </w:rPr>
      </w:pPr>
      <w:r>
        <w:rPr>
          <w:rFonts w:hint="eastAsia" w:ascii="宋体" w:hAnsi="宋体"/>
          <w:color w:val="auto"/>
        </w:rPr>
        <w:t>我公司如违反上款承诺，愿凭贵公司开出的相关通知，按上述承诺金额的200％在我公司</w:t>
      </w:r>
      <w:r>
        <w:rPr>
          <w:rFonts w:hint="eastAsia" w:ascii="宋体" w:hAnsi="宋体"/>
          <w:color w:val="auto"/>
          <w:lang w:val="en-US" w:eastAsia="zh-CN"/>
        </w:rPr>
        <w:t>与</w:t>
      </w:r>
      <w:r>
        <w:rPr>
          <w:rFonts w:hint="eastAsia" w:ascii="宋体" w:hAnsi="宋体"/>
          <w:color w:val="auto"/>
        </w:rPr>
        <w:t>招标人根据中标合同约定支付给我公司的合同款中扣付，并在此同意和要求</w:t>
      </w:r>
      <w:r>
        <w:rPr>
          <w:rFonts w:hint="eastAsia" w:ascii="宋体" w:hAnsi="宋体"/>
          <w:bCs/>
          <w:color w:val="auto"/>
        </w:rPr>
        <w:t>广东中程招标代理有限公司</w:t>
      </w:r>
      <w:r>
        <w:rPr>
          <w:rFonts w:hint="eastAsia" w:ascii="宋体" w:hAnsi="宋体"/>
          <w:color w:val="auto"/>
        </w:rPr>
        <w:t>的要求办理支付手续，并愿承担全部由此引起的法律责任。</w:t>
      </w:r>
    </w:p>
    <w:p>
      <w:pPr>
        <w:spacing w:line="360" w:lineRule="auto"/>
        <w:ind w:firstLine="540"/>
        <w:rPr>
          <w:rFonts w:ascii="宋体" w:hAnsi="宋体"/>
          <w:color w:val="auto"/>
        </w:rPr>
      </w:pPr>
    </w:p>
    <w:p>
      <w:pPr>
        <w:spacing w:line="360" w:lineRule="auto"/>
        <w:ind w:firstLine="540"/>
        <w:rPr>
          <w:rFonts w:ascii="宋体" w:hAnsi="宋体"/>
          <w:color w:val="auto"/>
        </w:rPr>
      </w:pPr>
      <w:r>
        <w:rPr>
          <w:rFonts w:hint="eastAsia" w:ascii="宋体" w:hAnsi="宋体"/>
          <w:color w:val="auto"/>
        </w:rPr>
        <w:t>特此承诺！</w:t>
      </w:r>
    </w:p>
    <w:p>
      <w:pPr>
        <w:spacing w:line="360" w:lineRule="auto"/>
        <w:ind w:firstLine="540"/>
        <w:rPr>
          <w:rFonts w:ascii="宋体" w:hAnsi="宋体"/>
          <w:color w:val="auto"/>
        </w:rPr>
      </w:pPr>
    </w:p>
    <w:p>
      <w:pPr>
        <w:spacing w:line="360" w:lineRule="auto"/>
        <w:ind w:firstLine="540"/>
        <w:rPr>
          <w:rFonts w:ascii="宋体" w:hAnsi="宋体"/>
          <w:color w:val="auto"/>
        </w:rPr>
      </w:pPr>
    </w:p>
    <w:p>
      <w:pPr>
        <w:spacing w:line="360" w:lineRule="auto"/>
        <w:ind w:firstLine="105" w:firstLineChars="50"/>
        <w:rPr>
          <w:rFonts w:ascii="宋体" w:hAnsi="宋体"/>
          <w:color w:val="auto"/>
          <w:u w:val="single"/>
        </w:rPr>
      </w:pPr>
      <w:r>
        <w:rPr>
          <w:rFonts w:hint="eastAsia" w:ascii="宋体" w:hAnsi="宋体"/>
          <w:color w:val="auto"/>
        </w:rPr>
        <w:t xml:space="preserve">                                              投标人名称（盖公章）：</w:t>
      </w:r>
      <w:r>
        <w:rPr>
          <w:rFonts w:hint="eastAsia" w:ascii="宋体" w:hAnsi="宋体"/>
          <w:color w:val="auto"/>
          <w:u w:val="single"/>
        </w:rPr>
        <w:t xml:space="preserve">                      </w:t>
      </w:r>
    </w:p>
    <w:p>
      <w:pPr>
        <w:spacing w:line="360" w:lineRule="auto"/>
        <w:ind w:firstLine="4935" w:firstLineChars="2350"/>
        <w:rPr>
          <w:rFonts w:ascii="宋体" w:hAnsi="宋体"/>
          <w:color w:val="auto"/>
          <w:u w:val="single"/>
        </w:rPr>
      </w:pPr>
      <w:r>
        <w:rPr>
          <w:rFonts w:hint="eastAsia" w:ascii="宋体" w:hAnsi="宋体"/>
          <w:color w:val="auto"/>
        </w:rPr>
        <w:t>投标人授权代表（签字或盖章）：</w:t>
      </w:r>
      <w:r>
        <w:rPr>
          <w:rFonts w:hint="eastAsia" w:ascii="宋体" w:hAnsi="宋体"/>
          <w:color w:val="auto"/>
          <w:u w:val="single"/>
        </w:rPr>
        <w:t xml:space="preserve">              </w:t>
      </w:r>
    </w:p>
    <w:p>
      <w:pPr>
        <w:spacing w:line="360" w:lineRule="auto"/>
        <w:ind w:firstLine="4935" w:firstLineChars="2350"/>
        <w:rPr>
          <w:rFonts w:ascii="宋体" w:hAnsi="宋体"/>
          <w:color w:val="auto"/>
        </w:rPr>
      </w:pPr>
      <w:r>
        <w:rPr>
          <w:rFonts w:hint="eastAsia" w:ascii="宋体" w:hAnsi="宋体"/>
          <w:color w:val="auto"/>
        </w:rPr>
        <w:t>日    期：</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rPr>
        <w:t>日</w:t>
      </w:r>
    </w:p>
    <w:p>
      <w:pPr>
        <w:spacing w:line="360" w:lineRule="auto"/>
        <w:ind w:left="1438" w:leftChars="685"/>
        <w:rPr>
          <w:rFonts w:ascii="宋体" w:hAnsi="宋体"/>
          <w:color w:val="auto"/>
        </w:rPr>
      </w:pPr>
    </w:p>
    <w:bookmarkEnd w:id="95"/>
    <w:p>
      <w:pPr>
        <w:pStyle w:val="13"/>
        <w:numPr>
          <w:ilvl w:val="0"/>
          <w:numId w:val="64"/>
        </w:numPr>
        <w:spacing w:line="360" w:lineRule="auto"/>
        <w:outlineLvl w:val="1"/>
        <w:rPr>
          <w:rFonts w:hint="eastAsia" w:ascii="宋体" w:hAnsi="宋体"/>
          <w:b/>
          <w:bCs/>
          <w:color w:val="auto"/>
        </w:rPr>
      </w:pPr>
      <w:r>
        <w:rPr>
          <w:rFonts w:ascii="宋体" w:hAnsi="宋体"/>
          <w:b/>
          <w:bCs/>
          <w:color w:val="auto"/>
          <w:lang w:eastAsia="zh-CN"/>
        </w:rPr>
        <w:br w:type="page"/>
      </w:r>
      <w:r>
        <w:rPr>
          <w:rFonts w:hint="eastAsia" w:ascii="宋体" w:hAnsi="宋体"/>
          <w:b/>
          <w:bCs/>
          <w:color w:val="auto"/>
        </w:rPr>
        <w:t>质疑函范本</w:t>
      </w:r>
    </w:p>
    <w:p>
      <w:pPr>
        <w:pStyle w:val="13"/>
        <w:spacing w:line="360" w:lineRule="auto"/>
        <w:jc w:val="center"/>
        <w:rPr>
          <w:rFonts w:ascii="宋体" w:hAnsi="宋体"/>
          <w:b/>
          <w:bCs/>
          <w:color w:val="auto"/>
          <w:sz w:val="30"/>
          <w:szCs w:val="30"/>
        </w:rPr>
      </w:pPr>
      <w:r>
        <w:rPr>
          <w:rFonts w:hint="eastAsia" w:ascii="宋体" w:hAnsi="宋体"/>
          <w:b/>
          <w:bCs/>
          <w:color w:val="auto"/>
          <w:sz w:val="30"/>
          <w:szCs w:val="30"/>
        </w:rPr>
        <w:t>质疑函范本</w:t>
      </w:r>
    </w:p>
    <w:p>
      <w:pPr>
        <w:adjustRightInd w:val="0"/>
        <w:snapToGrid w:val="0"/>
        <w:spacing w:before="312" w:beforeLines="100" w:line="360" w:lineRule="auto"/>
        <w:rPr>
          <w:rFonts w:ascii="宋体" w:hAnsi="宋体" w:cs="仿宋"/>
          <w:bCs/>
          <w:color w:val="auto"/>
          <w:szCs w:val="21"/>
        </w:rPr>
      </w:pPr>
      <w:r>
        <w:rPr>
          <w:rFonts w:hint="eastAsia" w:ascii="宋体" w:hAnsi="宋体" w:cs="仿宋"/>
          <w:bCs/>
          <w:color w:val="auto"/>
          <w:szCs w:val="21"/>
        </w:rPr>
        <w:t>一、质疑供应商基本信息</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质疑供应商：</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地址：</w:t>
      </w:r>
      <w:r>
        <w:rPr>
          <w:rFonts w:hint="eastAsia" w:ascii="宋体" w:hAnsi="宋体" w:cs="仿宋"/>
          <w:color w:val="auto"/>
          <w:szCs w:val="21"/>
          <w:u w:val="dotted"/>
        </w:rPr>
        <w:t xml:space="preserve">                          </w:t>
      </w:r>
      <w:r>
        <w:rPr>
          <w:rFonts w:hint="eastAsia" w:ascii="宋体" w:hAnsi="宋体" w:cs="仿宋"/>
          <w:color w:val="auto"/>
          <w:szCs w:val="21"/>
        </w:rPr>
        <w:t>邮编：</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联系人：</w:t>
      </w:r>
      <w:r>
        <w:rPr>
          <w:rFonts w:hint="eastAsia" w:ascii="宋体" w:hAnsi="宋体" w:cs="仿宋"/>
          <w:color w:val="auto"/>
          <w:szCs w:val="21"/>
          <w:u w:val="dotted"/>
        </w:rPr>
        <w:t xml:space="preserve">                      </w:t>
      </w:r>
      <w:r>
        <w:rPr>
          <w:rFonts w:hint="eastAsia" w:ascii="宋体" w:hAnsi="宋体" w:cs="仿宋"/>
          <w:color w:val="auto"/>
          <w:szCs w:val="21"/>
        </w:rPr>
        <w:t>联系电话：</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授权代表：</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联系电话：</w:t>
      </w:r>
      <w:r>
        <w:rPr>
          <w:rFonts w:hint="eastAsia" w:ascii="宋体" w:hAnsi="宋体" w:cs="仿宋"/>
          <w:color w:val="auto"/>
          <w:szCs w:val="21"/>
          <w:u w:val="dotted"/>
        </w:rPr>
        <w:t xml:space="preserve">                                           </w:t>
      </w:r>
      <w:r>
        <w:rPr>
          <w:rFonts w:ascii="宋体" w:hAnsi="宋体" w:cs="仿宋"/>
          <w:color w:val="auto"/>
          <w:szCs w:val="21"/>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地址：</w:t>
      </w:r>
      <w:r>
        <w:rPr>
          <w:rFonts w:ascii="宋体" w:hAnsi="宋体" w:cs="仿宋"/>
          <w:color w:val="auto"/>
          <w:szCs w:val="21"/>
        </w:rPr>
        <w:t xml:space="preserve"> </w:t>
      </w:r>
      <w:r>
        <w:rPr>
          <w:rFonts w:hint="eastAsia" w:ascii="宋体" w:hAnsi="宋体" w:cs="仿宋"/>
          <w:color w:val="auto"/>
          <w:szCs w:val="21"/>
          <w:u w:val="dotted"/>
        </w:rPr>
        <w:t xml:space="preserve">                        </w:t>
      </w:r>
      <w:r>
        <w:rPr>
          <w:rFonts w:hint="eastAsia" w:ascii="宋体" w:hAnsi="宋体" w:cs="仿宋"/>
          <w:color w:val="auto"/>
          <w:szCs w:val="21"/>
        </w:rPr>
        <w:t>邮编：</w:t>
      </w:r>
      <w:r>
        <w:rPr>
          <w:rFonts w:hint="eastAsia" w:ascii="宋体" w:hAnsi="宋体" w:cs="仿宋"/>
          <w:color w:val="auto"/>
          <w:szCs w:val="21"/>
          <w:u w:val="dotted"/>
        </w:rPr>
        <w:t xml:space="preserve">                                                </w:t>
      </w:r>
    </w:p>
    <w:p>
      <w:pPr>
        <w:adjustRightInd w:val="0"/>
        <w:snapToGrid w:val="0"/>
        <w:spacing w:line="360" w:lineRule="auto"/>
        <w:rPr>
          <w:rFonts w:ascii="宋体" w:hAnsi="宋体" w:cs="仿宋"/>
          <w:bCs/>
          <w:color w:val="auto"/>
          <w:szCs w:val="21"/>
        </w:rPr>
      </w:pPr>
      <w:r>
        <w:rPr>
          <w:rFonts w:hint="eastAsia" w:ascii="宋体" w:hAnsi="宋体" w:cs="仿宋"/>
          <w:bCs/>
          <w:color w:val="auto"/>
          <w:szCs w:val="21"/>
        </w:rPr>
        <w:t>二、质疑项目基本情况</w:t>
      </w:r>
    </w:p>
    <w:p>
      <w:pPr>
        <w:adjustRightInd w:val="0"/>
        <w:snapToGrid w:val="0"/>
        <w:spacing w:line="360" w:lineRule="auto"/>
        <w:rPr>
          <w:rFonts w:ascii="宋体" w:hAnsi="宋体" w:cs="仿宋"/>
          <w:color w:val="auto"/>
          <w:szCs w:val="21"/>
        </w:rPr>
      </w:pPr>
      <w:r>
        <w:rPr>
          <w:rFonts w:hint="eastAsia" w:ascii="宋体" w:hAnsi="宋体" w:cs="仿宋"/>
          <w:color w:val="auto"/>
          <w:szCs w:val="21"/>
        </w:rPr>
        <w:t>质疑项目的名称：</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质疑项目的编号：</w:t>
      </w:r>
      <w:r>
        <w:rPr>
          <w:rFonts w:hint="eastAsia" w:ascii="宋体" w:hAnsi="宋体" w:cs="仿宋"/>
          <w:color w:val="auto"/>
          <w:szCs w:val="21"/>
          <w:u w:val="dotted"/>
        </w:rPr>
        <w:t xml:space="preserve">               </w:t>
      </w:r>
      <w:r>
        <w:rPr>
          <w:rFonts w:hint="eastAsia" w:ascii="宋体" w:hAnsi="宋体" w:cs="仿宋"/>
          <w:color w:val="auto"/>
          <w:szCs w:val="21"/>
        </w:rPr>
        <w:t>包号：</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采购人名称：</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rPr>
        <w:t>采购文件获取日期：</w:t>
      </w:r>
      <w:r>
        <w:rPr>
          <w:rFonts w:hint="eastAsia" w:ascii="宋体" w:hAnsi="宋体" w:cs="仿宋"/>
          <w:color w:val="auto"/>
          <w:szCs w:val="21"/>
          <w:u w:val="dotted"/>
        </w:rPr>
        <w:t xml:space="preserve">                                           </w:t>
      </w:r>
    </w:p>
    <w:p>
      <w:pPr>
        <w:adjustRightInd w:val="0"/>
        <w:snapToGrid w:val="0"/>
        <w:spacing w:line="360" w:lineRule="auto"/>
        <w:rPr>
          <w:rFonts w:ascii="宋体" w:hAnsi="宋体" w:cs="仿宋"/>
          <w:bCs/>
          <w:color w:val="auto"/>
          <w:szCs w:val="21"/>
        </w:rPr>
      </w:pPr>
      <w:r>
        <w:rPr>
          <w:rFonts w:hint="eastAsia" w:ascii="宋体" w:hAnsi="宋体" w:cs="仿宋"/>
          <w:bCs/>
          <w:color w:val="auto"/>
          <w:szCs w:val="21"/>
        </w:rPr>
        <w:t>三、质疑事项具体内容</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质疑事项1：</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事实依据：</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rPr>
      </w:pP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法律依据：</w:t>
      </w: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u w:val="dotted"/>
        </w:rPr>
        <w:t xml:space="preserve">                                                     </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质疑事项2</w:t>
      </w:r>
    </w:p>
    <w:p>
      <w:pPr>
        <w:adjustRightInd w:val="0"/>
        <w:snapToGrid w:val="0"/>
        <w:spacing w:line="360" w:lineRule="auto"/>
        <w:rPr>
          <w:rFonts w:ascii="宋体" w:hAnsi="宋体" w:cs="仿宋"/>
          <w:color w:val="auto"/>
          <w:szCs w:val="21"/>
        </w:rPr>
      </w:pPr>
      <w:r>
        <w:rPr>
          <w:rFonts w:hint="eastAsia" w:ascii="宋体" w:hAnsi="宋体" w:cs="仿宋"/>
          <w:color w:val="auto"/>
          <w:szCs w:val="21"/>
        </w:rPr>
        <w:t>……</w:t>
      </w:r>
    </w:p>
    <w:p>
      <w:pPr>
        <w:adjustRightInd w:val="0"/>
        <w:snapToGrid w:val="0"/>
        <w:spacing w:line="360" w:lineRule="auto"/>
        <w:rPr>
          <w:rFonts w:ascii="宋体" w:hAnsi="宋体" w:cs="仿宋"/>
          <w:bCs/>
          <w:color w:val="auto"/>
          <w:szCs w:val="21"/>
        </w:rPr>
      </w:pPr>
      <w:r>
        <w:rPr>
          <w:rFonts w:hint="eastAsia" w:ascii="宋体" w:hAnsi="宋体" w:cs="仿宋"/>
          <w:bCs/>
          <w:color w:val="auto"/>
          <w:szCs w:val="21"/>
        </w:rPr>
        <w:t>四、与质疑事项相关的质疑请求</w:t>
      </w:r>
    </w:p>
    <w:p>
      <w:pPr>
        <w:adjustRightInd w:val="0"/>
        <w:snapToGrid w:val="0"/>
        <w:spacing w:line="360" w:lineRule="auto"/>
        <w:rPr>
          <w:rFonts w:ascii="宋体" w:hAnsi="宋体" w:cs="仿宋"/>
          <w:color w:val="auto"/>
          <w:szCs w:val="21"/>
          <w:u w:val="dotted"/>
        </w:rPr>
      </w:pPr>
      <w:r>
        <w:rPr>
          <w:rFonts w:hint="eastAsia" w:ascii="宋体" w:hAnsi="宋体" w:cs="仿宋"/>
          <w:color w:val="auto"/>
          <w:szCs w:val="21"/>
        </w:rPr>
        <w:t>请求：</w:t>
      </w:r>
      <w:r>
        <w:rPr>
          <w:rFonts w:hint="eastAsia" w:ascii="宋体" w:hAnsi="宋体" w:cs="仿宋"/>
          <w:color w:val="auto"/>
          <w:szCs w:val="21"/>
          <w:u w:val="dotted"/>
        </w:rPr>
        <w:t xml:space="preserve">                                               </w:t>
      </w:r>
    </w:p>
    <w:p>
      <w:pPr>
        <w:rPr>
          <w:rFonts w:ascii="宋体" w:hAnsi="宋体"/>
          <w:color w:val="auto"/>
          <w:szCs w:val="21"/>
        </w:rPr>
      </w:pPr>
      <w:r>
        <w:rPr>
          <w:rFonts w:hint="eastAsia" w:ascii="宋体" w:hAnsi="宋体"/>
          <w:color w:val="auto"/>
          <w:szCs w:val="21"/>
        </w:rPr>
        <w:t xml:space="preserve">签字(签章)：                   公章：                      </w:t>
      </w:r>
    </w:p>
    <w:p>
      <w:pPr>
        <w:rPr>
          <w:rFonts w:ascii="宋体" w:hAnsi="宋体"/>
          <w:color w:val="auto"/>
          <w:szCs w:val="21"/>
        </w:rPr>
      </w:pPr>
      <w:r>
        <w:rPr>
          <w:rFonts w:hint="eastAsia" w:ascii="宋体" w:hAnsi="宋体"/>
          <w:color w:val="auto"/>
          <w:szCs w:val="21"/>
        </w:rPr>
        <w:t xml:space="preserve">日期：    </w:t>
      </w:r>
    </w:p>
    <w:p>
      <w:pPr>
        <w:rPr>
          <w:rFonts w:ascii="宋体" w:hAnsi="宋体"/>
          <w:b/>
          <w:color w:val="auto"/>
          <w:szCs w:val="21"/>
        </w:rPr>
      </w:pPr>
    </w:p>
    <w:p>
      <w:pPr>
        <w:rPr>
          <w:rFonts w:ascii="宋体" w:hAnsi="宋体"/>
          <w:b/>
          <w:color w:val="auto"/>
          <w:szCs w:val="21"/>
        </w:rPr>
      </w:pPr>
      <w:r>
        <w:rPr>
          <w:rFonts w:hint="eastAsia" w:ascii="宋体" w:hAnsi="宋体"/>
          <w:b/>
          <w:color w:val="auto"/>
          <w:szCs w:val="21"/>
        </w:rPr>
        <w:t>质疑函制作说明：</w:t>
      </w:r>
    </w:p>
    <w:p>
      <w:pPr>
        <w:widowControl/>
        <w:ind w:firstLine="420" w:firstLineChars="200"/>
        <w:jc w:val="left"/>
        <w:rPr>
          <w:rFonts w:ascii="宋体" w:hAnsi="宋体"/>
          <w:color w:val="auto"/>
          <w:szCs w:val="21"/>
        </w:rPr>
      </w:pPr>
      <w:r>
        <w:rPr>
          <w:rFonts w:hint="eastAsia" w:ascii="宋体" w:hAnsi="宋体"/>
          <w:color w:val="auto"/>
          <w:szCs w:val="21"/>
        </w:rPr>
        <w:t>1.供应商提出质疑时，应提交质疑函和必要的证明材料。</w:t>
      </w:r>
    </w:p>
    <w:p>
      <w:pPr>
        <w:widowControl/>
        <w:ind w:firstLine="420" w:firstLineChars="200"/>
        <w:jc w:val="left"/>
        <w:rPr>
          <w:rFonts w:ascii="宋体" w:hAnsi="宋体"/>
          <w:color w:val="auto"/>
          <w:szCs w:val="21"/>
        </w:rPr>
      </w:pPr>
      <w:r>
        <w:rPr>
          <w:rFonts w:hint="eastAsia" w:ascii="宋体" w:hAnsi="宋体"/>
          <w:color w:val="auto"/>
          <w:szCs w:val="21"/>
        </w:rPr>
        <w:t>2.质疑供应商若委托代理人进行质疑的，质疑函应按要求列明“授权代表”的有关内容，并在附件中提交由质疑</w:t>
      </w:r>
      <w:r>
        <w:rPr>
          <w:rFonts w:hint="eastAsia" w:ascii="宋体" w:hAnsi="宋体" w:cs="宋体"/>
          <w:color w:val="auto"/>
          <w:kern w:val="0"/>
          <w:szCs w:val="21"/>
        </w:rPr>
        <w:t>供应商签署的授权委托书。授权委托书应载明代理人的姓名或者名称、代理事项、具体权限、期限和相关事项。</w:t>
      </w:r>
    </w:p>
    <w:p>
      <w:pPr>
        <w:widowControl/>
        <w:ind w:firstLine="420" w:firstLineChars="200"/>
        <w:jc w:val="left"/>
        <w:rPr>
          <w:rFonts w:ascii="宋体" w:hAnsi="宋体"/>
          <w:color w:val="auto"/>
          <w:szCs w:val="21"/>
        </w:rPr>
      </w:pPr>
      <w:r>
        <w:rPr>
          <w:rFonts w:hint="eastAsia" w:ascii="宋体" w:hAnsi="宋体"/>
          <w:color w:val="auto"/>
          <w:szCs w:val="21"/>
        </w:rPr>
        <w:t>3.质疑供应商若对项目的某一分包进行质疑，质疑函中应列明具体分包号。</w:t>
      </w:r>
    </w:p>
    <w:p>
      <w:pPr>
        <w:widowControl/>
        <w:ind w:firstLine="420" w:firstLineChars="200"/>
        <w:jc w:val="left"/>
        <w:rPr>
          <w:rFonts w:ascii="宋体" w:hAnsi="宋体"/>
          <w:color w:val="auto"/>
          <w:szCs w:val="21"/>
        </w:rPr>
      </w:pPr>
      <w:r>
        <w:rPr>
          <w:rFonts w:hint="eastAsia" w:ascii="宋体" w:hAnsi="宋体"/>
          <w:color w:val="auto"/>
          <w:szCs w:val="21"/>
        </w:rPr>
        <w:t>4.质疑函的质疑事项应具体、明确，并有必要的事实依据和法律依据。</w:t>
      </w:r>
    </w:p>
    <w:p>
      <w:pPr>
        <w:widowControl/>
        <w:ind w:firstLine="420" w:firstLineChars="200"/>
        <w:jc w:val="left"/>
        <w:rPr>
          <w:rFonts w:ascii="宋体" w:hAnsi="宋体"/>
          <w:color w:val="auto"/>
          <w:szCs w:val="21"/>
        </w:rPr>
      </w:pPr>
      <w:r>
        <w:rPr>
          <w:rFonts w:hint="eastAsia" w:ascii="宋体" w:hAnsi="宋体"/>
          <w:color w:val="auto"/>
          <w:szCs w:val="21"/>
        </w:rPr>
        <w:t>5.质疑函的质疑请求应与质疑事项相关。</w:t>
      </w:r>
    </w:p>
    <w:p>
      <w:pPr>
        <w:widowControl/>
        <w:spacing w:before="120" w:line="360" w:lineRule="auto"/>
        <w:rPr>
          <w:rFonts w:ascii="宋体" w:hAnsi="宋体"/>
          <w:color w:val="auto"/>
          <w:szCs w:val="21"/>
        </w:rPr>
      </w:pPr>
      <w:r>
        <w:rPr>
          <w:rFonts w:hint="eastAsia" w:ascii="宋体" w:hAnsi="宋体"/>
          <w:color w:val="auto"/>
          <w:szCs w:val="21"/>
        </w:rPr>
        <w:t>6.质疑供应商为自然人的，质疑函应由本人签字；质疑供应商为法人或者其他组织的，质疑函应由法定代表人、主要负责人，或者其授权代表签字或者盖章，并加盖公章。</w:t>
      </w:r>
    </w:p>
    <w:p>
      <w:pPr>
        <w:pStyle w:val="13"/>
        <w:numPr>
          <w:ilvl w:val="0"/>
          <w:numId w:val="64"/>
        </w:numPr>
        <w:spacing w:line="360" w:lineRule="auto"/>
        <w:outlineLvl w:val="1"/>
        <w:rPr>
          <w:rFonts w:hint="eastAsia" w:ascii="宋体" w:hAnsi="宋体"/>
          <w:b/>
          <w:bCs/>
          <w:color w:val="auto"/>
        </w:rPr>
      </w:pPr>
      <w:r>
        <w:rPr>
          <w:rFonts w:ascii="宋体" w:hAnsi="宋体"/>
          <w:color w:val="auto"/>
          <w:szCs w:val="21"/>
        </w:rPr>
        <w:br w:type="page"/>
      </w:r>
      <w:r>
        <w:rPr>
          <w:rFonts w:ascii="宋体" w:hAnsi="宋体"/>
          <w:b/>
          <w:bCs/>
          <w:color w:val="auto"/>
        </w:rPr>
        <w:t>中小企业声明函（工程、服务）</w:t>
      </w:r>
    </w:p>
    <w:p>
      <w:pPr>
        <w:pStyle w:val="13"/>
        <w:spacing w:line="360" w:lineRule="auto"/>
        <w:ind w:left="454" w:firstLine="482" w:firstLineChars="200"/>
        <w:jc w:val="center"/>
        <w:rPr>
          <w:rFonts w:ascii="宋体" w:hAnsi="宋体"/>
          <w:b/>
          <w:bCs/>
          <w:color w:val="auto"/>
        </w:rPr>
      </w:pPr>
      <w:r>
        <w:rPr>
          <w:rFonts w:ascii="宋体" w:hAnsi="宋体"/>
          <w:b/>
          <w:bCs/>
          <w:color w:val="auto"/>
        </w:rPr>
        <w:t>中小企业声明函（工程、服务）</w:t>
      </w:r>
    </w:p>
    <w:p>
      <w:pPr>
        <w:pStyle w:val="13"/>
        <w:spacing w:before="18" w:line="360" w:lineRule="auto"/>
        <w:rPr>
          <w:rFonts w:ascii="宋体" w:hAnsi="宋体"/>
          <w:color w:val="auto"/>
        </w:rPr>
      </w:pPr>
      <w:r>
        <w:rPr>
          <w:rFonts w:ascii="宋体" w:hAnsi="宋体"/>
          <w:color w:val="auto"/>
          <w:spacing w:val="-1"/>
        </w:rPr>
        <w:t>本公司（联合体）郑重声明，根据《政府采购促进中小企业发展管理办法》</w:t>
      </w:r>
      <w:r>
        <w:rPr>
          <w:rFonts w:ascii="宋体" w:hAnsi="宋体"/>
          <w:color w:val="auto"/>
        </w:rPr>
        <w:t>（财库﹝2020﹞46号）的规定，本公司（联合体）参加</w:t>
      </w:r>
      <w:r>
        <w:rPr>
          <w:rFonts w:ascii="宋体" w:hAnsi="宋体"/>
          <w:color w:val="auto"/>
          <w:u w:val="single"/>
        </w:rPr>
        <w:t>（单位名称）</w:t>
      </w:r>
      <w:r>
        <w:rPr>
          <w:rFonts w:ascii="宋体" w:hAnsi="宋体"/>
          <w:color w:val="auto"/>
        </w:rPr>
        <w:t>的</w:t>
      </w:r>
      <w:r>
        <w:rPr>
          <w:rFonts w:ascii="宋体" w:hAnsi="宋体"/>
          <w:color w:val="auto"/>
          <w:u w:val="single"/>
        </w:rPr>
        <w:t>（项目名称）</w:t>
      </w:r>
      <w:r>
        <w:rPr>
          <w:rFonts w:ascii="宋体" w:hAnsi="宋体"/>
          <w:color w:val="auto"/>
        </w:rPr>
        <w:t>采购活动，工程的施工单位全部为符合政策要求的中小企业（</w:t>
      </w:r>
      <w:r>
        <w:rPr>
          <w:rFonts w:ascii="宋体" w:hAnsi="宋体"/>
          <w:color w:val="auto"/>
          <w:spacing w:val="-3"/>
        </w:rPr>
        <w:t>或者：服务全部由</w:t>
      </w:r>
      <w:r>
        <w:rPr>
          <w:rFonts w:ascii="宋体" w:hAnsi="宋体"/>
          <w:color w:val="auto"/>
        </w:rPr>
        <w:t>符合政策要求的中小企业承接）。相关企业（含联合体中的中小企业、签订分包意向协议的中小企业）的具体情况如下：</w:t>
      </w:r>
    </w:p>
    <w:p>
      <w:pPr>
        <w:pStyle w:val="13"/>
        <w:spacing w:line="360" w:lineRule="auto"/>
        <w:rPr>
          <w:rFonts w:ascii="宋体" w:hAnsi="宋体"/>
          <w:color w:val="auto"/>
        </w:rPr>
      </w:pPr>
      <w:r>
        <w:rPr>
          <w:rFonts w:ascii="宋体" w:hAnsi="宋体"/>
          <w:color w:val="auto"/>
        </w:rPr>
        <w:t>1.</w:t>
      </w:r>
      <w:r>
        <w:rPr>
          <w:rFonts w:ascii="宋体" w:hAnsi="宋体"/>
          <w:color w:val="auto"/>
          <w:u w:val="single"/>
        </w:rPr>
        <w:t>（标的名称）</w:t>
      </w:r>
      <w:r>
        <w:rPr>
          <w:rFonts w:ascii="宋体" w:hAnsi="宋体"/>
          <w:color w:val="auto"/>
        </w:rPr>
        <w:t>，属于</w:t>
      </w:r>
      <w:r>
        <w:rPr>
          <w:rFonts w:ascii="宋体" w:hAnsi="宋体"/>
          <w:color w:val="auto"/>
          <w:u w:val="single"/>
        </w:rPr>
        <w:t>（磋商文件中明确的所属行业）</w:t>
      </w:r>
      <w:r>
        <w:rPr>
          <w:rFonts w:ascii="宋体" w:hAnsi="宋体"/>
          <w:color w:val="auto"/>
        </w:rPr>
        <w:t>行业；承建（承接）企业为</w:t>
      </w:r>
      <w:r>
        <w:rPr>
          <w:rFonts w:ascii="宋体" w:hAnsi="宋体"/>
          <w:color w:val="auto"/>
          <w:u w:val="single"/>
        </w:rPr>
        <w:t>（企业名称）</w:t>
      </w:r>
      <w:r>
        <w:rPr>
          <w:rFonts w:ascii="宋体" w:hAnsi="宋体"/>
          <w:color w:val="auto"/>
        </w:rPr>
        <w:t>，从业人员</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人，营业收入为</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万元，资产总额为</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万元</w:t>
      </w:r>
      <w:r>
        <w:rPr>
          <w:rFonts w:ascii="宋体" w:hAnsi="宋体"/>
          <w:color w:val="auto"/>
          <w:spacing w:val="-3"/>
          <w:position w:val="4"/>
          <w:sz w:val="6"/>
        </w:rPr>
        <w:t>1</w:t>
      </w:r>
      <w:r>
        <w:rPr>
          <w:rFonts w:ascii="宋体" w:hAnsi="宋体"/>
          <w:color w:val="auto"/>
          <w:w w:val="101"/>
        </w:rPr>
        <w:t>，属于</w:t>
      </w:r>
      <w:r>
        <w:rPr>
          <w:rFonts w:ascii="宋体" w:hAnsi="宋体"/>
          <w:color w:val="auto"/>
          <w:w w:val="101"/>
          <w:u w:val="single"/>
        </w:rPr>
        <w:t>（中型企业、</w:t>
      </w:r>
      <w:r>
        <w:rPr>
          <w:rFonts w:ascii="宋体" w:hAnsi="宋体"/>
          <w:color w:val="auto"/>
          <w:spacing w:val="-17"/>
          <w:w w:val="101"/>
          <w:u w:val="single"/>
        </w:rPr>
        <w:t>小</w:t>
      </w:r>
      <w:r>
        <w:rPr>
          <w:rFonts w:ascii="宋体" w:hAnsi="宋体"/>
          <w:color w:val="auto"/>
          <w:u w:val="single"/>
        </w:rPr>
        <w:t>型企业、微型企业）</w:t>
      </w:r>
      <w:r>
        <w:rPr>
          <w:rFonts w:ascii="宋体" w:hAnsi="宋体"/>
          <w:color w:val="auto"/>
        </w:rPr>
        <w:t>；</w:t>
      </w:r>
    </w:p>
    <w:p>
      <w:pPr>
        <w:pStyle w:val="13"/>
        <w:spacing w:line="360" w:lineRule="auto"/>
        <w:rPr>
          <w:rFonts w:ascii="宋体" w:hAnsi="宋体"/>
          <w:color w:val="auto"/>
        </w:rPr>
      </w:pPr>
      <w:r>
        <w:rPr>
          <w:rFonts w:ascii="宋体" w:hAnsi="宋体"/>
          <w:color w:val="auto"/>
        </w:rPr>
        <w:t>2.</w:t>
      </w:r>
      <w:r>
        <w:rPr>
          <w:rFonts w:ascii="宋体" w:hAnsi="宋体"/>
          <w:color w:val="auto"/>
          <w:u w:val="single"/>
        </w:rPr>
        <w:t xml:space="preserve"> （标的名称）</w:t>
      </w:r>
      <w:r>
        <w:rPr>
          <w:rFonts w:ascii="宋体" w:hAnsi="宋体"/>
          <w:color w:val="auto"/>
        </w:rPr>
        <w:t>，属于</w:t>
      </w:r>
      <w:r>
        <w:rPr>
          <w:rFonts w:ascii="宋体" w:hAnsi="宋体"/>
          <w:color w:val="auto"/>
          <w:u w:val="single"/>
        </w:rPr>
        <w:t>（磋商文件中明确的所属行业）</w:t>
      </w:r>
      <w:r>
        <w:rPr>
          <w:rFonts w:ascii="宋体" w:hAnsi="宋体"/>
          <w:color w:val="auto"/>
        </w:rPr>
        <w:t>行业；承建（承接）企业为</w:t>
      </w:r>
      <w:r>
        <w:rPr>
          <w:rFonts w:ascii="宋体" w:hAnsi="宋体"/>
          <w:color w:val="auto"/>
          <w:u w:val="single"/>
        </w:rPr>
        <w:t>（企业名称）</w:t>
      </w:r>
      <w:r>
        <w:rPr>
          <w:rFonts w:ascii="宋体" w:hAnsi="宋体"/>
          <w:color w:val="auto"/>
        </w:rPr>
        <w:t>，从业人员</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人，营业收入为</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万元，资产总额为</w:t>
      </w:r>
      <w:r>
        <w:rPr>
          <w:rFonts w:ascii="宋体" w:hAnsi="宋体"/>
          <w:color w:val="auto"/>
          <w:w w:val="101"/>
          <w:u w:val="single"/>
        </w:rPr>
        <w:t xml:space="preserve"> </w:t>
      </w:r>
      <w:r>
        <w:rPr>
          <w:rFonts w:ascii="宋体" w:hAnsi="宋体"/>
          <w:color w:val="auto"/>
          <w:u w:val="single"/>
        </w:rPr>
        <w:tab/>
      </w:r>
      <w:r>
        <w:rPr>
          <w:rFonts w:ascii="宋体" w:hAnsi="宋体"/>
          <w:color w:val="auto"/>
          <w:w w:val="101"/>
        </w:rPr>
        <w:t>万元</w:t>
      </w:r>
      <w:r>
        <w:rPr>
          <w:rFonts w:ascii="宋体" w:hAnsi="宋体"/>
          <w:color w:val="auto"/>
          <w:spacing w:val="-3"/>
          <w:position w:val="4"/>
          <w:sz w:val="6"/>
        </w:rPr>
        <w:t>1</w:t>
      </w:r>
      <w:r>
        <w:rPr>
          <w:rFonts w:ascii="宋体" w:hAnsi="宋体"/>
          <w:color w:val="auto"/>
          <w:w w:val="101"/>
        </w:rPr>
        <w:t>，属于</w:t>
      </w:r>
      <w:r>
        <w:rPr>
          <w:rFonts w:ascii="宋体" w:hAnsi="宋体"/>
          <w:color w:val="auto"/>
          <w:w w:val="101"/>
          <w:u w:val="single"/>
        </w:rPr>
        <w:t>（中型企业、</w:t>
      </w:r>
      <w:r>
        <w:rPr>
          <w:rFonts w:ascii="宋体" w:hAnsi="宋体"/>
          <w:color w:val="auto"/>
          <w:spacing w:val="-17"/>
          <w:w w:val="101"/>
          <w:u w:val="single"/>
        </w:rPr>
        <w:t>小</w:t>
      </w:r>
      <w:r>
        <w:rPr>
          <w:rFonts w:ascii="宋体" w:hAnsi="宋体"/>
          <w:color w:val="auto"/>
          <w:u w:val="single"/>
        </w:rPr>
        <w:t>型企业、微型企业）</w:t>
      </w:r>
      <w:r>
        <w:rPr>
          <w:rFonts w:ascii="宋体" w:hAnsi="宋体"/>
          <w:color w:val="auto"/>
        </w:rPr>
        <w:t>；</w:t>
      </w:r>
    </w:p>
    <w:p>
      <w:pPr>
        <w:pStyle w:val="13"/>
        <w:spacing w:before="72" w:line="360" w:lineRule="auto"/>
        <w:rPr>
          <w:rFonts w:ascii="宋体" w:hAnsi="宋体"/>
          <w:color w:val="auto"/>
        </w:rPr>
      </w:pPr>
      <w:r>
        <w:rPr>
          <w:rFonts w:ascii="宋体" w:hAnsi="宋体"/>
          <w:color w:val="auto"/>
        </w:rPr>
        <w:t>……</w:t>
      </w:r>
    </w:p>
    <w:p>
      <w:pPr>
        <w:pStyle w:val="13"/>
        <w:spacing w:before="90" w:line="360" w:lineRule="auto"/>
        <w:ind w:right="341"/>
        <w:rPr>
          <w:rFonts w:ascii="宋体" w:hAnsi="宋体"/>
          <w:color w:val="auto"/>
        </w:rPr>
      </w:pPr>
      <w:r>
        <w:rPr>
          <w:rFonts w:ascii="宋体" w:hAnsi="宋体"/>
          <w:color w:val="auto"/>
        </w:rPr>
        <w:t>以上企业，不属于大企业的分支机构，不存在控股股东为大企业的情形，也不存在与大企业的负责人为同一人的情形。本企业对上述声明内容的真实性负责。如有虚假，将依法承担相应责任。</w:t>
      </w:r>
    </w:p>
    <w:p>
      <w:pPr>
        <w:pStyle w:val="13"/>
        <w:tabs>
          <w:tab w:val="left" w:pos="3501"/>
        </w:tabs>
        <w:spacing w:line="360" w:lineRule="auto"/>
        <w:ind w:right="104"/>
        <w:jc w:val="right"/>
        <w:rPr>
          <w:rFonts w:ascii="宋体" w:hAnsi="宋体"/>
          <w:color w:val="auto"/>
        </w:rPr>
      </w:pPr>
      <w:r>
        <w:rPr>
          <w:rFonts w:ascii="宋体" w:hAnsi="宋体"/>
          <w:color w:val="auto"/>
        </w:rPr>
        <w:t>企业名称（盖章）：</w:t>
      </w:r>
      <w:r>
        <w:rPr>
          <w:rFonts w:ascii="宋体" w:hAnsi="宋体"/>
          <w:color w:val="auto"/>
          <w:u w:val="single"/>
        </w:rPr>
        <w:t xml:space="preserve"> </w:t>
      </w:r>
      <w:r>
        <w:rPr>
          <w:rFonts w:ascii="宋体" w:hAnsi="宋体"/>
          <w:color w:val="auto"/>
          <w:u w:val="single"/>
        </w:rPr>
        <w:tab/>
      </w:r>
    </w:p>
    <w:p>
      <w:pPr>
        <w:pStyle w:val="13"/>
        <w:tabs>
          <w:tab w:val="left" w:pos="2409"/>
        </w:tabs>
        <w:spacing w:before="34" w:line="360" w:lineRule="auto"/>
        <w:ind w:right="104"/>
        <w:jc w:val="right"/>
        <w:rPr>
          <w:rFonts w:ascii="宋体" w:hAnsi="宋体"/>
          <w:color w:val="auto"/>
        </w:rPr>
      </w:pPr>
      <w:r>
        <w:rPr>
          <w:rFonts w:ascii="宋体" w:hAnsi="宋体"/>
          <w:color w:val="auto"/>
        </w:rPr>
        <w:t>日</w:t>
      </w:r>
      <w:r>
        <w:rPr>
          <w:rFonts w:ascii="宋体" w:hAnsi="宋体"/>
          <w:color w:val="auto"/>
          <w:spacing w:val="16"/>
        </w:rPr>
        <w:t xml:space="preserve"> </w:t>
      </w:r>
      <w:r>
        <w:rPr>
          <w:rFonts w:ascii="宋体" w:hAnsi="宋体"/>
          <w:color w:val="auto"/>
        </w:rPr>
        <w:t>期：</w:t>
      </w:r>
      <w:r>
        <w:rPr>
          <w:rFonts w:ascii="宋体" w:hAnsi="宋体"/>
          <w:color w:val="auto"/>
          <w:u w:val="single"/>
        </w:rPr>
        <w:t xml:space="preserve"> </w:t>
      </w:r>
      <w:r>
        <w:rPr>
          <w:rFonts w:ascii="宋体" w:hAnsi="宋体"/>
          <w:color w:val="auto"/>
          <w:u w:val="single"/>
        </w:rPr>
        <w:tab/>
      </w:r>
    </w:p>
    <w:p>
      <w:pPr>
        <w:pStyle w:val="13"/>
        <w:spacing w:before="35" w:line="360" w:lineRule="auto"/>
        <w:rPr>
          <w:rFonts w:ascii="宋体" w:hAnsi="宋体"/>
          <w:color w:val="auto"/>
        </w:rPr>
      </w:pPr>
      <w:r>
        <w:rPr>
          <w:rFonts w:ascii="宋体" w:hAnsi="宋体"/>
          <w:color w:val="auto"/>
        </w:rPr>
        <w:t>1：从业人员、营业收入、资产总额填报上一年度数据，无上一年度数据的新成立企业可不填报。</w:t>
      </w:r>
    </w:p>
    <w:p>
      <w:pPr>
        <w:widowControl/>
        <w:spacing w:before="120" w:line="360" w:lineRule="auto"/>
        <w:rPr>
          <w:rFonts w:ascii="宋体" w:hAnsi="宋体"/>
          <w:color w:val="auto"/>
        </w:rPr>
      </w:pPr>
      <w:r>
        <w:rPr>
          <w:rFonts w:ascii="宋体" w:hAnsi="宋体"/>
          <w:color w:val="auto"/>
        </w:rPr>
        <w:t>2：供应商应当自行核实是否属于小微企业，并认真填写声明函，若有虚假将追究其责任。</w:t>
      </w:r>
    </w:p>
    <w:p>
      <w:pPr>
        <w:pStyle w:val="13"/>
        <w:numPr>
          <w:ilvl w:val="0"/>
          <w:numId w:val="64"/>
        </w:numPr>
        <w:spacing w:line="360" w:lineRule="auto"/>
        <w:outlineLvl w:val="1"/>
        <w:rPr>
          <w:rFonts w:ascii="宋体" w:hAnsi="宋体"/>
          <w:b/>
          <w:bCs/>
          <w:color w:val="auto"/>
        </w:rPr>
      </w:pPr>
      <w:r>
        <w:rPr>
          <w:rFonts w:ascii="宋体" w:hAnsi="宋体"/>
          <w:color w:val="auto"/>
        </w:rPr>
        <w:br w:type="page"/>
      </w:r>
      <w:r>
        <w:rPr>
          <w:rFonts w:ascii="宋体" w:hAnsi="宋体"/>
          <w:b/>
          <w:bCs/>
          <w:color w:val="auto"/>
        </w:rPr>
        <w:t>监狱企业</w:t>
      </w:r>
    </w:p>
    <w:p>
      <w:pPr>
        <w:widowControl/>
        <w:spacing w:before="120" w:line="360" w:lineRule="auto"/>
        <w:rPr>
          <w:rFonts w:hint="eastAsia" w:ascii="宋体" w:hAnsi="宋体"/>
          <w:color w:val="auto"/>
        </w:rPr>
      </w:pPr>
      <w:r>
        <w:rPr>
          <w:rFonts w:ascii="宋体" w:hAnsi="宋体"/>
          <w:color w:val="auto"/>
        </w:rPr>
        <w:t>提供由监狱管理局、戒毒管理局（含新疆生产建设兵团）出具的属于监狱企业的证明文件。</w:t>
      </w:r>
    </w:p>
    <w:p>
      <w:pPr>
        <w:widowControl/>
        <w:spacing w:before="120" w:line="360" w:lineRule="auto"/>
        <w:rPr>
          <w:rFonts w:hint="eastAsia" w:ascii="宋体" w:hAnsi="宋体"/>
          <w:color w:val="auto"/>
        </w:rPr>
      </w:pPr>
    </w:p>
    <w:p>
      <w:pPr>
        <w:widowControl/>
        <w:spacing w:before="120" w:line="360" w:lineRule="auto"/>
        <w:rPr>
          <w:rFonts w:hint="eastAsia" w:ascii="宋体" w:hAnsi="宋体"/>
          <w:color w:val="auto"/>
        </w:rPr>
      </w:pPr>
    </w:p>
    <w:p>
      <w:pPr>
        <w:pStyle w:val="13"/>
        <w:numPr>
          <w:ilvl w:val="0"/>
          <w:numId w:val="64"/>
        </w:numPr>
        <w:spacing w:line="360" w:lineRule="auto"/>
        <w:outlineLvl w:val="1"/>
        <w:rPr>
          <w:rFonts w:hint="eastAsia" w:ascii="宋体" w:hAnsi="宋体"/>
          <w:b/>
          <w:bCs/>
          <w:color w:val="auto"/>
        </w:rPr>
      </w:pPr>
      <w:r>
        <w:rPr>
          <w:rFonts w:hint="eastAsia" w:ascii="宋体" w:hAnsi="宋体"/>
          <w:b/>
          <w:bCs/>
          <w:color w:val="auto"/>
        </w:rPr>
        <w:t>残疾人福利性单位声明函</w:t>
      </w:r>
    </w:p>
    <w:p>
      <w:pPr>
        <w:widowControl/>
        <w:spacing w:before="120" w:line="360" w:lineRule="auto"/>
        <w:ind w:firstLine="630" w:firstLineChars="300"/>
        <w:rPr>
          <w:rFonts w:hint="eastAsia" w:ascii="宋体" w:hAnsi="宋体"/>
          <w:color w:val="auto"/>
        </w:rPr>
      </w:pPr>
      <w:r>
        <w:rPr>
          <w:rFonts w:hint="eastAsia" w:ascii="宋体" w:hAnsi="宋体"/>
          <w:color w:val="auto"/>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olor w:val="auto"/>
          <w:u w:val="single"/>
        </w:rPr>
        <w:tab/>
      </w:r>
      <w:r>
        <w:rPr>
          <w:rFonts w:hint="eastAsia" w:ascii="宋体" w:hAnsi="宋体"/>
          <w:color w:val="auto"/>
        </w:rPr>
        <w:t>单位的</w:t>
      </w:r>
      <w:r>
        <w:rPr>
          <w:rFonts w:hint="eastAsia" w:ascii="宋体" w:hAnsi="宋体"/>
          <w:color w:val="auto"/>
          <w:u w:val="single"/>
        </w:rPr>
        <w:t xml:space="preserve">              </w:t>
      </w:r>
      <w:r>
        <w:rPr>
          <w:rFonts w:hint="eastAsia" w:ascii="宋体" w:hAnsi="宋体"/>
          <w:color w:val="auto"/>
        </w:rPr>
        <w:t>项目采购活动提供本单位制造的货物（由本单位承担工程/提供服务），或者提供其他残疾人福利性单位制造的货物（不包括使用非残疾人福利性单位注册商 标的货物）。</w:t>
      </w:r>
    </w:p>
    <w:p>
      <w:pPr>
        <w:widowControl/>
        <w:spacing w:before="120" w:line="360" w:lineRule="auto"/>
        <w:ind w:firstLine="630" w:firstLineChars="300"/>
        <w:rPr>
          <w:rFonts w:hint="eastAsia" w:ascii="宋体" w:hAnsi="宋体"/>
          <w:color w:val="auto"/>
        </w:rPr>
      </w:pPr>
      <w:r>
        <w:rPr>
          <w:rFonts w:hint="eastAsia" w:ascii="宋体" w:hAnsi="宋体"/>
          <w:color w:val="auto"/>
        </w:rPr>
        <w:t>本单位对上述声明的真实性负责。如有虚假，将依法承担相应责任。</w:t>
      </w:r>
    </w:p>
    <w:p>
      <w:pPr>
        <w:widowControl/>
        <w:spacing w:before="120" w:line="360" w:lineRule="auto"/>
        <w:rPr>
          <w:rFonts w:ascii="宋体" w:hAnsi="宋体"/>
          <w:color w:val="auto"/>
        </w:rPr>
      </w:pPr>
      <w:r>
        <w:rPr>
          <w:rFonts w:ascii="宋体" w:hAnsi="宋体"/>
          <w:color w:val="auto"/>
        </w:rPr>
        <w:t xml:space="preserve"> </w:t>
      </w:r>
    </w:p>
    <w:p>
      <w:pPr>
        <w:pStyle w:val="13"/>
        <w:tabs>
          <w:tab w:val="left" w:pos="3501"/>
        </w:tabs>
        <w:spacing w:before="34" w:line="360" w:lineRule="auto"/>
        <w:ind w:right="104"/>
        <w:jc w:val="right"/>
        <w:rPr>
          <w:rFonts w:ascii="宋体" w:hAnsi="宋体"/>
          <w:color w:val="auto"/>
          <w:sz w:val="21"/>
          <w:szCs w:val="21"/>
        </w:rPr>
      </w:pPr>
      <w:r>
        <w:rPr>
          <w:rFonts w:ascii="宋体" w:hAnsi="宋体"/>
          <w:color w:val="auto"/>
          <w:sz w:val="21"/>
          <w:szCs w:val="21"/>
        </w:rPr>
        <w:t>单位名称（盖章）：</w:t>
      </w:r>
      <w:r>
        <w:rPr>
          <w:rFonts w:ascii="宋体" w:hAnsi="宋体"/>
          <w:color w:val="auto"/>
          <w:sz w:val="21"/>
          <w:szCs w:val="21"/>
          <w:u w:val="single"/>
        </w:rPr>
        <w:t xml:space="preserve"> </w:t>
      </w:r>
      <w:r>
        <w:rPr>
          <w:rFonts w:ascii="宋体" w:hAnsi="宋体"/>
          <w:color w:val="auto"/>
          <w:sz w:val="21"/>
          <w:szCs w:val="21"/>
          <w:u w:val="single"/>
        </w:rPr>
        <w:tab/>
      </w:r>
    </w:p>
    <w:p>
      <w:pPr>
        <w:widowControl/>
        <w:spacing w:before="120" w:line="360" w:lineRule="auto"/>
        <w:ind w:firstLine="5670" w:firstLineChars="2700"/>
        <w:rPr>
          <w:rFonts w:ascii="宋体" w:hAnsi="宋体"/>
          <w:color w:val="auto"/>
          <w:szCs w:val="21"/>
        </w:rPr>
      </w:pPr>
      <w:r>
        <w:rPr>
          <w:rFonts w:ascii="宋体" w:hAnsi="宋体"/>
          <w:color w:val="auto"/>
          <w:szCs w:val="21"/>
        </w:rPr>
        <w:t>日</w:t>
      </w:r>
      <w:r>
        <w:rPr>
          <w:rFonts w:ascii="宋体" w:hAnsi="宋体"/>
          <w:color w:val="auto"/>
          <w:spacing w:val="16"/>
          <w:szCs w:val="21"/>
        </w:rPr>
        <w:t xml:space="preserve"> </w:t>
      </w:r>
      <w:r>
        <w:rPr>
          <w:rFonts w:ascii="宋体" w:hAnsi="宋体"/>
          <w:color w:val="auto"/>
          <w:szCs w:val="21"/>
        </w:rPr>
        <w:t>期：</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ab/>
      </w:r>
    </w:p>
    <w:p>
      <w:pPr>
        <w:widowControl/>
        <w:spacing w:before="120" w:line="360" w:lineRule="auto"/>
        <w:rPr>
          <w:rFonts w:ascii="宋体" w:hAnsi="宋体"/>
          <w:color w:val="auto"/>
        </w:rPr>
      </w:pPr>
    </w:p>
    <w:p>
      <w:pPr>
        <w:widowControl/>
        <w:spacing w:before="120" w:line="360" w:lineRule="auto"/>
        <w:rPr>
          <w:rFonts w:hint="eastAsia" w:ascii="宋体" w:hAnsi="宋体"/>
          <w:color w:val="auto"/>
        </w:rPr>
      </w:pPr>
      <w:r>
        <w:rPr>
          <w:rFonts w:hint="eastAsia" w:ascii="宋体" w:hAnsi="宋体"/>
          <w:color w:val="auto"/>
        </w:rPr>
        <w:t>注：本函未填写或未勾选视作未做声明。</w:t>
      </w:r>
    </w:p>
    <w:p>
      <w:pPr>
        <w:widowControl/>
        <w:spacing w:before="120" w:line="360" w:lineRule="auto"/>
        <w:rPr>
          <w:rFonts w:ascii="宋体" w:hAnsi="宋体"/>
          <w:b/>
          <w:bCs/>
          <w:color w:val="auto"/>
        </w:rPr>
      </w:pPr>
    </w:p>
    <w:p>
      <w:pPr>
        <w:widowControl/>
        <w:spacing w:before="120" w:line="360" w:lineRule="auto"/>
        <w:rPr>
          <w:rFonts w:ascii="宋体" w:hAnsi="宋体"/>
          <w:b/>
          <w:bCs/>
          <w:color w:val="auto"/>
        </w:rPr>
      </w:pPr>
    </w:p>
    <w:p>
      <w:pPr>
        <w:pStyle w:val="32"/>
        <w:spacing w:line="360" w:lineRule="auto"/>
        <w:rPr>
          <w:color w:val="auto"/>
          <w:sz w:val="21"/>
          <w:szCs w:val="18"/>
        </w:rPr>
      </w:pPr>
      <w:r>
        <w:rPr>
          <w:color w:val="auto"/>
          <w:sz w:val="21"/>
          <w:szCs w:val="18"/>
        </w:rPr>
        <w:br w:type="page"/>
      </w:r>
    </w:p>
    <w:p>
      <w:pPr>
        <w:pStyle w:val="32"/>
        <w:spacing w:line="360" w:lineRule="auto"/>
        <w:rPr>
          <w:rFonts w:hint="eastAsia"/>
          <w:color w:val="auto"/>
          <w:sz w:val="21"/>
          <w:szCs w:val="18"/>
        </w:rPr>
      </w:pPr>
    </w:p>
    <w:p>
      <w:pPr>
        <w:pStyle w:val="32"/>
        <w:spacing w:line="360" w:lineRule="auto"/>
        <w:rPr>
          <w:rFonts w:hint="eastAsia"/>
          <w:color w:val="auto"/>
          <w:sz w:val="21"/>
          <w:szCs w:val="18"/>
        </w:rPr>
      </w:pPr>
    </w:p>
    <w:p>
      <w:pPr>
        <w:pStyle w:val="32"/>
        <w:spacing w:line="360" w:lineRule="auto"/>
        <w:rPr>
          <w:color w:val="auto"/>
          <w:sz w:val="21"/>
          <w:szCs w:val="18"/>
        </w:rPr>
      </w:pPr>
    </w:p>
    <w:p>
      <w:pPr>
        <w:pStyle w:val="13"/>
        <w:spacing w:line="360" w:lineRule="auto"/>
        <w:jc w:val="center"/>
        <w:rPr>
          <w:rFonts w:ascii="宋体" w:hAnsi="宋体"/>
          <w:b/>
          <w:bCs/>
          <w:color w:val="auto"/>
          <w:sz w:val="36"/>
          <w:szCs w:val="36"/>
        </w:rPr>
      </w:pPr>
      <w:bookmarkStart w:id="97" w:name="_Toc385940922"/>
    </w:p>
    <w:p>
      <w:pPr>
        <w:pStyle w:val="13"/>
        <w:spacing w:line="360" w:lineRule="auto"/>
        <w:jc w:val="center"/>
        <w:rPr>
          <w:rFonts w:ascii="宋体" w:hAnsi="宋体"/>
          <w:b/>
          <w:bCs/>
          <w:color w:val="auto"/>
          <w:sz w:val="36"/>
          <w:szCs w:val="36"/>
        </w:rPr>
      </w:pPr>
    </w:p>
    <w:p>
      <w:pPr>
        <w:pStyle w:val="13"/>
        <w:spacing w:line="360" w:lineRule="auto"/>
        <w:jc w:val="center"/>
        <w:rPr>
          <w:rFonts w:ascii="宋体" w:hAnsi="宋体"/>
          <w:b/>
          <w:bCs/>
          <w:color w:val="auto"/>
          <w:sz w:val="52"/>
          <w:szCs w:val="52"/>
        </w:rPr>
      </w:pPr>
      <w:r>
        <w:rPr>
          <w:rFonts w:hint="eastAsia" w:ascii="宋体" w:hAnsi="宋体"/>
          <w:b/>
          <w:bCs/>
          <w:color w:val="auto"/>
          <w:sz w:val="52"/>
          <w:szCs w:val="52"/>
        </w:rPr>
        <w:t>声     明</w:t>
      </w:r>
      <w:bookmarkEnd w:id="97"/>
    </w:p>
    <w:p>
      <w:pPr>
        <w:spacing w:line="360" w:lineRule="auto"/>
        <w:jc w:val="center"/>
        <w:rPr>
          <w:rFonts w:ascii="宋体" w:hAnsi="宋体"/>
          <w:b/>
          <w:bCs/>
          <w:color w:val="auto"/>
          <w:sz w:val="52"/>
          <w:szCs w:val="52"/>
        </w:rPr>
      </w:pPr>
    </w:p>
    <w:p>
      <w:pPr>
        <w:spacing w:line="360" w:lineRule="auto"/>
        <w:jc w:val="center"/>
        <w:rPr>
          <w:rFonts w:ascii="宋体" w:hAnsi="宋体"/>
          <w:b/>
          <w:bCs/>
          <w:color w:val="auto"/>
        </w:rPr>
      </w:pPr>
    </w:p>
    <w:p>
      <w:pPr>
        <w:pStyle w:val="14"/>
        <w:spacing w:line="360" w:lineRule="auto"/>
        <w:ind w:firstLine="803" w:firstLineChars="250"/>
        <w:rPr>
          <w:b/>
          <w:color w:val="auto"/>
          <w:sz w:val="32"/>
          <w:szCs w:val="32"/>
        </w:rPr>
      </w:pPr>
      <w:r>
        <w:rPr>
          <w:rFonts w:hint="eastAsia"/>
          <w:b/>
          <w:color w:val="auto"/>
          <w:sz w:val="32"/>
          <w:szCs w:val="32"/>
        </w:rPr>
        <w:t>本文件任何部分之文字、图片及电子文档，如未经本公司同意，不得用任何方式抄袭、刻录或翻印。凡未经本公司同意擅自违反此规定者，将予以追究。</w:t>
      </w:r>
    </w:p>
    <w:sectPr>
      <w:headerReference r:id="rId3" w:type="default"/>
      <w:footerReference r:id="rId4" w:type="default"/>
      <w:footerReference r:id="rId5" w:type="even"/>
      <w:pgSz w:w="11906" w:h="16838"/>
      <w:pgMar w:top="1418" w:right="1134" w:bottom="1134" w:left="1365" w:header="851" w:footer="567"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roman"/>
    <w:pitch w:val="default"/>
    <w:sig w:usb0="00000000" w:usb1="00000000" w:usb2="00000010" w:usb3="00000000" w:csb0="00020000" w:csb1="00000000"/>
  </w:font>
  <w:font w:name="&amp;quot">
    <w:altName w:val="Times New Roman"/>
    <w:panose1 w:val="00000000000000000000"/>
    <w:charset w:val="00"/>
    <w:family w:val="roman"/>
    <w:pitch w:val="default"/>
    <w:sig w:usb0="00000000" w:usb1="00000000" w:usb2="00000000" w:usb3="00000000" w:csb0="00040001" w:csb1="00000000"/>
  </w:font>
  <w:font w:name="ËÎÌå">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SimSun,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6</w:t>
    </w:r>
    <w:r>
      <w:rPr>
        <w:rStyle w:val="40"/>
      </w:rPr>
      <w:fldChar w:fldCharType="end"/>
    </w:r>
  </w:p>
  <w:p>
    <w:pPr>
      <w:pStyle w:val="22"/>
      <w:pBdr>
        <w:top w:val="single" w:color="auto" w:sz="2" w:space="1"/>
      </w:pBdr>
    </w:pPr>
    <w:r>
      <w:rPr>
        <w:rFonts w:hint="eastAsia" w:ascii="Arial" w:hAnsi="Arial"/>
      </w:rPr>
      <w:t>www.gdzcbidding.com</w:t>
    </w:r>
    <w:r>
      <w:rPr>
        <w:rFonts w:hint="eastAsia"/>
      </w:rPr>
      <w:t xml:space="preserve">                                                    广东中程招标代理有限公司  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rPr>
        <w:rStyle w:val="40"/>
      </w:rPr>
    </w:pPr>
    <w:r>
      <w:rPr>
        <w:rStyle w:val="40"/>
      </w:rPr>
      <w:fldChar w:fldCharType="begin"/>
    </w:r>
    <w:r>
      <w:rPr>
        <w:rStyle w:val="40"/>
      </w:rPr>
      <w:instrText xml:space="preserve">PAGE  </w:instrText>
    </w:r>
    <w:r>
      <w:rPr>
        <w:rStyle w:val="40"/>
      </w:rPr>
      <w:fldChar w:fldCharType="end"/>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90" w:firstLineChars="50"/>
      <w:jc w:val="both"/>
    </w:pPr>
    <w:r>
      <w:rPr>
        <w:rFonts w:hint="eastAsia"/>
        <w:color w:val="000000"/>
      </w:rPr>
      <w:t xml:space="preserve">                                                </w:t>
    </w:r>
    <w:r>
      <w:rPr>
        <w:rFonts w:hint="eastAsia"/>
        <w:color w:val="000000"/>
        <w:lang w:eastAsia="zh-CN"/>
      </w:rPr>
      <w:t xml:space="preserve">  </w:t>
    </w:r>
    <w:r>
      <w:rPr>
        <w:rFonts w:hint="eastAsia"/>
        <w:color w:val="000000"/>
      </w:rPr>
      <w:t xml:space="preserve">     </w:t>
    </w:r>
    <w:r>
      <w:rPr>
        <w:rFonts w:hint="eastAsia"/>
        <w:color w:val="000000"/>
        <w:lang w:eastAsia="zh-CN"/>
      </w:rPr>
      <w:t xml:space="preserve">     </w:t>
    </w:r>
    <w:r>
      <w:rPr>
        <w:rFonts w:hint="eastAsia"/>
        <w:color w:val="000000"/>
      </w:rPr>
      <w:t xml:space="preserve">    </w:t>
    </w:r>
    <w:r>
      <w:rPr>
        <w:rFonts w:hint="eastAsia"/>
      </w:rPr>
      <w:t xml:space="preserve"> </w:t>
    </w:r>
    <w:r>
      <w:rPr>
        <w:rFonts w:hint="eastAsia" w:ascii="宋体" w:hAnsi="宋体"/>
        <w:bCs/>
        <w:szCs w:val="21"/>
      </w:rPr>
      <w:t>项目编号：GDZC24DB1010Z</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564F2"/>
    <w:multiLevelType w:val="singleLevel"/>
    <w:tmpl w:val="909564F2"/>
    <w:lvl w:ilvl="0" w:tentative="0">
      <w:start w:val="1"/>
      <w:numFmt w:val="decimal"/>
      <w:lvlText w:val="%1."/>
      <w:lvlJc w:val="left"/>
      <w:pPr>
        <w:ind w:left="425" w:hanging="425"/>
      </w:pPr>
      <w:rPr>
        <w:rFonts w:hint="default"/>
      </w:rPr>
    </w:lvl>
  </w:abstractNum>
  <w:abstractNum w:abstractNumId="1">
    <w:nsid w:val="95BF7F44"/>
    <w:multiLevelType w:val="singleLevel"/>
    <w:tmpl w:val="95BF7F44"/>
    <w:lvl w:ilvl="0" w:tentative="0">
      <w:start w:val="1"/>
      <w:numFmt w:val="decimalEnclosedCircleChinese"/>
      <w:suff w:val="nothing"/>
      <w:lvlText w:val="%1　"/>
      <w:lvlJc w:val="left"/>
      <w:pPr>
        <w:ind w:left="0" w:firstLine="400"/>
      </w:pPr>
      <w:rPr>
        <w:rFonts w:hint="eastAsia"/>
      </w:rPr>
    </w:lvl>
  </w:abstractNum>
  <w:abstractNum w:abstractNumId="2">
    <w:nsid w:val="CF4A77A6"/>
    <w:multiLevelType w:val="singleLevel"/>
    <w:tmpl w:val="CF4A77A6"/>
    <w:lvl w:ilvl="0" w:tentative="0">
      <w:start w:val="1"/>
      <w:numFmt w:val="decimalEnclosedCircleChinese"/>
      <w:suff w:val="nothing"/>
      <w:lvlText w:val="%1　"/>
      <w:lvlJc w:val="left"/>
      <w:pPr>
        <w:ind w:left="0" w:firstLine="400"/>
      </w:pPr>
      <w:rPr>
        <w:rFonts w:hint="eastAsia"/>
      </w:rPr>
    </w:lvl>
  </w:abstractNum>
  <w:abstractNum w:abstractNumId="3">
    <w:nsid w:val="D858B1BB"/>
    <w:multiLevelType w:val="singleLevel"/>
    <w:tmpl w:val="D858B1BB"/>
    <w:lvl w:ilvl="0" w:tentative="0">
      <w:start w:val="1"/>
      <w:numFmt w:val="decimal"/>
      <w:lvlText w:val="(%1)"/>
      <w:lvlJc w:val="left"/>
      <w:pPr>
        <w:ind w:left="425" w:hanging="425"/>
      </w:pPr>
      <w:rPr>
        <w:rFonts w:hint="default"/>
      </w:rPr>
    </w:lvl>
  </w:abstractNum>
  <w:abstractNum w:abstractNumId="4">
    <w:nsid w:val="00000008"/>
    <w:multiLevelType w:val="multilevel"/>
    <w:tmpl w:val="00000008"/>
    <w:lvl w:ilvl="0" w:tentative="0">
      <w:start w:val="1"/>
      <w:numFmt w:val="decimal"/>
      <w:lvlText w:val="%1"/>
      <w:lvlJc w:val="left"/>
      <w:pPr>
        <w:ind w:left="703"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127559E"/>
    <w:multiLevelType w:val="multilevel"/>
    <w:tmpl w:val="0127559E"/>
    <w:lvl w:ilvl="0" w:tentative="0">
      <w:start w:val="1"/>
      <w:numFmt w:val="decimal"/>
      <w:lvlText w:val="12.%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18E6373"/>
    <w:multiLevelType w:val="multilevel"/>
    <w:tmpl w:val="018E6373"/>
    <w:lvl w:ilvl="0" w:tentative="0">
      <w:start w:val="1"/>
      <w:numFmt w:val="decimal"/>
      <w:lvlText w:val="34.%1"/>
      <w:lvlJc w:val="left"/>
      <w:pPr>
        <w:tabs>
          <w:tab w:val="left" w:pos="171"/>
        </w:tabs>
        <w:ind w:left="738"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3921837"/>
    <w:multiLevelType w:val="multilevel"/>
    <w:tmpl w:val="03921837"/>
    <w:lvl w:ilvl="0" w:tentative="0">
      <w:start w:val="1"/>
      <w:numFmt w:val="decimal"/>
      <w:lvlText w:val="15.%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4D04A43"/>
    <w:multiLevelType w:val="multilevel"/>
    <w:tmpl w:val="04D04A43"/>
    <w:lvl w:ilvl="0" w:tentative="0">
      <w:start w:val="1"/>
      <w:numFmt w:val="decimal"/>
      <w:lvlText w:val="32.3.%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6535FCF"/>
    <w:multiLevelType w:val="multilevel"/>
    <w:tmpl w:val="06535FCF"/>
    <w:lvl w:ilvl="0" w:tentative="0">
      <w:start w:val="1"/>
      <w:numFmt w:val="decimal"/>
      <w:lvlText w:val="33.%1"/>
      <w:lvlJc w:val="left"/>
      <w:pPr>
        <w:tabs>
          <w:tab w:val="left" w:pos="0"/>
        </w:tabs>
        <w:ind w:left="567" w:hanging="454"/>
      </w:pPr>
      <w:rPr>
        <w:rFonts w:hint="eastAsia" w:ascii="宋体" w:hAnsi="宋体" w:eastAsia="宋体"/>
      </w:rPr>
    </w:lvl>
    <w:lvl w:ilvl="1" w:tentative="0">
      <w:start w:val="1"/>
      <w:numFmt w:val="decimalEnclosedCircle"/>
      <w:lvlText w:val="%2"/>
      <w:lvlJc w:val="left"/>
      <w:pPr>
        <w:ind w:left="780" w:hanging="360"/>
      </w:pPr>
      <w:rPr>
        <w:rFonts w:hint="default" w:ascii="宋体" w:hAnsi="宋体" w:cs="Times New Roman"/>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7FC72E6"/>
    <w:multiLevelType w:val="multilevel"/>
    <w:tmpl w:val="07FC72E6"/>
    <w:lvl w:ilvl="0" w:tentative="0">
      <w:start w:val="1"/>
      <w:numFmt w:val="decimal"/>
      <w:lvlText w:val="27.%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63B09D7"/>
    <w:multiLevelType w:val="multilevel"/>
    <w:tmpl w:val="163B09D7"/>
    <w:lvl w:ilvl="0" w:tentative="0">
      <w:start w:val="1"/>
      <w:numFmt w:val="decimal"/>
      <w:lvlText w:val="32.2.%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AE61FE7"/>
    <w:multiLevelType w:val="multilevel"/>
    <w:tmpl w:val="1AE61FE7"/>
    <w:lvl w:ilvl="0" w:tentative="0">
      <w:start w:val="1"/>
      <w:numFmt w:val="decimal"/>
      <w:lvlText w:val="（%1）"/>
      <w:lvlJc w:val="left"/>
    </w:lvl>
    <w:lvl w:ilvl="1" w:tentative="0">
      <w:start w:val="2"/>
      <w:numFmt w:val="decimal"/>
      <w:lvlText w:val="%2、"/>
      <w:lvlJc w:val="left"/>
      <w:rPr>
        <w:b w:val="0"/>
      </w:rPr>
    </w:lvl>
    <w:lvl w:ilvl="2" w:tentative="0">
      <w:start w:val="1"/>
      <w:numFmt w:val="japaneseCounting"/>
      <w:lvlText w:val="%3、"/>
      <w:lvlJc w:val="left"/>
      <w:rPr>
        <w:b w:val="0"/>
      </w:rPr>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13">
    <w:nsid w:val="1B89047A"/>
    <w:multiLevelType w:val="multilevel"/>
    <w:tmpl w:val="1B89047A"/>
    <w:lvl w:ilvl="0" w:tentative="0">
      <w:start w:val="1"/>
      <w:numFmt w:val="decimal"/>
      <w:lvlText w:val="22.%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1BE01413"/>
    <w:multiLevelType w:val="multilevel"/>
    <w:tmpl w:val="1BE01413"/>
    <w:lvl w:ilvl="0" w:tentative="0">
      <w:start w:val="1"/>
      <w:numFmt w:val="decimal"/>
      <w:lvlText w:val="13.%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21392CFC"/>
    <w:multiLevelType w:val="multilevel"/>
    <w:tmpl w:val="21392CFC"/>
    <w:lvl w:ilvl="0" w:tentative="0">
      <w:start w:val="1"/>
      <w:numFmt w:val="decimal"/>
      <w:lvlText w:val="32.1.%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22486DBB"/>
    <w:multiLevelType w:val="multilevel"/>
    <w:tmpl w:val="22486DBB"/>
    <w:lvl w:ilvl="0" w:tentative="0">
      <w:start w:val="1"/>
      <w:numFmt w:val="decimal"/>
      <w:lvlText w:val="16.%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22FD704B"/>
    <w:multiLevelType w:val="multilevel"/>
    <w:tmpl w:val="22FD704B"/>
    <w:lvl w:ilvl="0" w:tentative="0">
      <w:start w:val="1"/>
      <w:numFmt w:val="decimal"/>
      <w:lvlText w:val="34.2.%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232D1B7B"/>
    <w:multiLevelType w:val="multilevel"/>
    <w:tmpl w:val="232D1B7B"/>
    <w:lvl w:ilvl="0" w:tentative="0">
      <w:start w:val="1"/>
      <w:numFmt w:val="decimal"/>
      <w:lvlText w:val="37.%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23AC494A"/>
    <w:multiLevelType w:val="multilevel"/>
    <w:tmpl w:val="23AC494A"/>
    <w:lvl w:ilvl="0" w:tentative="0">
      <w:start w:val="1"/>
      <w:numFmt w:val="decimal"/>
      <w:lvlText w:val="24.%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28463F36"/>
    <w:multiLevelType w:val="multilevel"/>
    <w:tmpl w:val="28463F36"/>
    <w:lvl w:ilvl="0" w:tentative="0">
      <w:start w:val="1"/>
      <w:numFmt w:val="decimal"/>
      <w:lvlText w:val="28.%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28DA5BC2"/>
    <w:multiLevelType w:val="multilevel"/>
    <w:tmpl w:val="28DA5BC2"/>
    <w:lvl w:ilvl="0" w:tentative="0">
      <w:start w:val="1"/>
      <w:numFmt w:val="decimal"/>
      <w:lvlText w:val="41.%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29107BCE"/>
    <w:multiLevelType w:val="multilevel"/>
    <w:tmpl w:val="29107BCE"/>
    <w:lvl w:ilvl="0" w:tentative="0">
      <w:start w:val="1"/>
      <w:numFmt w:val="decimal"/>
      <w:lvlText w:val="17.3.%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2CCD5F9D"/>
    <w:multiLevelType w:val="multilevel"/>
    <w:tmpl w:val="2CCD5F9D"/>
    <w:lvl w:ilvl="0" w:tentative="0">
      <w:start w:val="1"/>
      <w:numFmt w:val="decimal"/>
      <w:lvlText w:val="格式%1 "/>
      <w:lvlJc w:val="left"/>
      <w:pPr>
        <w:tabs>
          <w:tab w:val="left" w:pos="142"/>
        </w:tabs>
        <w:ind w:left="483" w:hanging="34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2D2813E7"/>
    <w:multiLevelType w:val="multilevel"/>
    <w:tmpl w:val="2D2813E7"/>
    <w:lvl w:ilvl="0" w:tentative="0">
      <w:start w:val="1"/>
      <w:numFmt w:val="decimal"/>
      <w:lvlText w:val="6.%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2F081134"/>
    <w:multiLevelType w:val="multilevel"/>
    <w:tmpl w:val="2F081134"/>
    <w:lvl w:ilvl="0" w:tentative="0">
      <w:start w:val="1"/>
      <w:numFmt w:val="decimal"/>
      <w:lvlText w:val="%1"/>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F52089E"/>
    <w:multiLevelType w:val="multilevel"/>
    <w:tmpl w:val="2F52089E"/>
    <w:lvl w:ilvl="0" w:tentative="0">
      <w:start w:val="1"/>
      <w:numFmt w:val="decimal"/>
      <w:lvlText w:val="36.%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3436379E"/>
    <w:multiLevelType w:val="multilevel"/>
    <w:tmpl w:val="3436379E"/>
    <w:lvl w:ilvl="0" w:tentative="0">
      <w:start w:val="1"/>
      <w:numFmt w:val="decimal"/>
      <w:lvlText w:val="29.%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35801E90"/>
    <w:multiLevelType w:val="multilevel"/>
    <w:tmpl w:val="35801E90"/>
    <w:lvl w:ilvl="0" w:tentative="0">
      <w:start w:val="1"/>
      <w:numFmt w:val="decimal"/>
      <w:lvlText w:val="10.%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37305D9C"/>
    <w:multiLevelType w:val="multilevel"/>
    <w:tmpl w:val="37305D9C"/>
    <w:lvl w:ilvl="0" w:tentative="0">
      <w:start w:val="1"/>
      <w:numFmt w:val="decimal"/>
      <w:lvlText w:val="%1."/>
      <w:lvlJc w:val="left"/>
      <w:pPr>
        <w:tabs>
          <w:tab w:val="left" w:pos="420"/>
        </w:tabs>
        <w:ind w:left="420" w:hanging="420"/>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37CA0AB0"/>
    <w:multiLevelType w:val="multilevel"/>
    <w:tmpl w:val="37CA0AB0"/>
    <w:lvl w:ilvl="0" w:tentative="0">
      <w:start w:val="1"/>
      <w:numFmt w:val="decimal"/>
      <w:lvlText w:val="25.%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3A785F3A"/>
    <w:multiLevelType w:val="multilevel"/>
    <w:tmpl w:val="3A785F3A"/>
    <w:lvl w:ilvl="0" w:tentative="0">
      <w:start w:val="1"/>
      <w:numFmt w:val="decimal"/>
      <w:lvlText w:val="38.%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3B3E7E9B"/>
    <w:multiLevelType w:val="multilevel"/>
    <w:tmpl w:val="3B3E7E9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05651E8"/>
    <w:multiLevelType w:val="multilevel"/>
    <w:tmpl w:val="405651E8"/>
    <w:lvl w:ilvl="0" w:tentative="0">
      <w:start w:val="1"/>
      <w:numFmt w:val="decimal"/>
      <w:lvlText w:val="5.2.%1"/>
      <w:lvlJc w:val="left"/>
      <w:pPr>
        <w:tabs>
          <w:tab w:val="left" w:pos="0"/>
        </w:tabs>
        <w:ind w:left="964" w:hanging="85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4">
    <w:nsid w:val="414702D0"/>
    <w:multiLevelType w:val="multilevel"/>
    <w:tmpl w:val="414702D0"/>
    <w:lvl w:ilvl="0" w:tentative="0">
      <w:start w:val="1"/>
      <w:numFmt w:val="decimal"/>
      <w:lvlText w:val="20.%1"/>
      <w:lvlJc w:val="left"/>
      <w:pPr>
        <w:tabs>
          <w:tab w:val="left" w:pos="0"/>
        </w:tabs>
        <w:ind w:left="567" w:hanging="454"/>
      </w:pPr>
      <w:rPr>
        <w:rFonts w:hint="eastAsia" w:ascii="宋体" w:hAnsi="宋体" w:eastAsia="宋体"/>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5">
    <w:nsid w:val="41DD0C41"/>
    <w:multiLevelType w:val="multilevel"/>
    <w:tmpl w:val="41DD0C41"/>
    <w:lvl w:ilvl="0" w:tentative="0">
      <w:start w:val="1"/>
      <w:numFmt w:val="decimal"/>
      <w:lvlText w:val="3.%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42895256"/>
    <w:multiLevelType w:val="multilevel"/>
    <w:tmpl w:val="42895256"/>
    <w:lvl w:ilvl="0" w:tentative="0">
      <w:start w:val="1"/>
      <w:numFmt w:val="decimal"/>
      <w:lvlText w:val="17.%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7">
    <w:nsid w:val="49854429"/>
    <w:multiLevelType w:val="multilevel"/>
    <w:tmpl w:val="49854429"/>
    <w:lvl w:ilvl="0" w:tentative="0">
      <w:start w:val="1"/>
      <w:numFmt w:val="decimal"/>
      <w:lvlText w:val="%1"/>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49A510D4"/>
    <w:multiLevelType w:val="multilevel"/>
    <w:tmpl w:val="49A510D4"/>
    <w:lvl w:ilvl="0" w:tentative="0">
      <w:start w:val="1"/>
      <w:numFmt w:val="decimal"/>
      <w:lvlText w:val="%1."/>
      <w:lvlJc w:val="left"/>
      <w:pPr>
        <w:tabs>
          <w:tab w:val="left" w:pos="414"/>
        </w:tabs>
        <w:ind w:left="717" w:hanging="283"/>
      </w:pPr>
      <w:rPr>
        <w:rFonts w:hint="default"/>
        <w:b w:val="0"/>
        <w:i w:val="0"/>
      </w:rPr>
    </w:lvl>
    <w:lvl w:ilvl="1" w:tentative="0">
      <w:start w:val="2"/>
      <w:numFmt w:val="decimalEnclosedCircle"/>
      <w:lvlText w:val="%2"/>
      <w:lvlJc w:val="left"/>
      <w:pPr>
        <w:ind w:left="987" w:hanging="360"/>
      </w:pPr>
      <w:rPr>
        <w:rFonts w:hint="default" w:hAnsi="宋体"/>
      </w:rPr>
    </w:lvl>
    <w:lvl w:ilvl="2" w:tentative="0">
      <w:start w:val="1"/>
      <w:numFmt w:val="lowerRoman"/>
      <w:lvlText w:val="%3."/>
      <w:lvlJc w:val="right"/>
      <w:pPr>
        <w:tabs>
          <w:tab w:val="left" w:pos="1467"/>
        </w:tabs>
        <w:ind w:left="1467" w:hanging="420"/>
      </w:pPr>
    </w:lvl>
    <w:lvl w:ilvl="3" w:tentative="0">
      <w:start w:val="1"/>
      <w:numFmt w:val="decimal"/>
      <w:lvlText w:val="%4. "/>
      <w:lvlJc w:val="left"/>
      <w:pPr>
        <w:tabs>
          <w:tab w:val="left" w:pos="0"/>
        </w:tabs>
        <w:ind w:left="624" w:hanging="511"/>
      </w:pPr>
      <w:rPr>
        <w:rFonts w:hint="eastAsia"/>
        <w:b/>
        <w:i w:val="0"/>
      </w:rPr>
    </w:lvl>
    <w:lvl w:ilvl="4" w:tentative="0">
      <w:start w:val="1"/>
      <w:numFmt w:val="lowerLetter"/>
      <w:lvlText w:val="%5)"/>
      <w:lvlJc w:val="left"/>
      <w:pPr>
        <w:tabs>
          <w:tab w:val="left" w:pos="2307"/>
        </w:tabs>
        <w:ind w:left="2307" w:hanging="420"/>
      </w:pPr>
    </w:lvl>
    <w:lvl w:ilvl="5" w:tentative="0">
      <w:start w:val="1"/>
      <w:numFmt w:val="lowerRoman"/>
      <w:lvlText w:val="%6."/>
      <w:lvlJc w:val="right"/>
      <w:pPr>
        <w:tabs>
          <w:tab w:val="left" w:pos="2727"/>
        </w:tabs>
        <w:ind w:left="2727" w:hanging="420"/>
      </w:pPr>
    </w:lvl>
    <w:lvl w:ilvl="6" w:tentative="0">
      <w:start w:val="1"/>
      <w:numFmt w:val="decimal"/>
      <w:lvlText w:val="%7."/>
      <w:lvlJc w:val="left"/>
      <w:pPr>
        <w:tabs>
          <w:tab w:val="left" w:pos="3147"/>
        </w:tabs>
        <w:ind w:left="3147" w:hanging="420"/>
      </w:pPr>
    </w:lvl>
    <w:lvl w:ilvl="7" w:tentative="0">
      <w:start w:val="1"/>
      <w:numFmt w:val="lowerLetter"/>
      <w:lvlText w:val="%8)"/>
      <w:lvlJc w:val="left"/>
      <w:pPr>
        <w:tabs>
          <w:tab w:val="left" w:pos="3567"/>
        </w:tabs>
        <w:ind w:left="3567" w:hanging="420"/>
      </w:pPr>
    </w:lvl>
    <w:lvl w:ilvl="8" w:tentative="0">
      <w:start w:val="1"/>
      <w:numFmt w:val="lowerRoman"/>
      <w:lvlText w:val="%9."/>
      <w:lvlJc w:val="right"/>
      <w:pPr>
        <w:tabs>
          <w:tab w:val="left" w:pos="3987"/>
        </w:tabs>
        <w:ind w:left="3987" w:hanging="420"/>
      </w:pPr>
    </w:lvl>
  </w:abstractNum>
  <w:abstractNum w:abstractNumId="39">
    <w:nsid w:val="512E1CBA"/>
    <w:multiLevelType w:val="multilevel"/>
    <w:tmpl w:val="512E1CBA"/>
    <w:lvl w:ilvl="0" w:tentative="0">
      <w:start w:val="1"/>
      <w:numFmt w:val="decimal"/>
      <w:lvlText w:val="（%1）"/>
      <w:lvlJc w:val="left"/>
      <w:pPr>
        <w:tabs>
          <w:tab w:val="left" w:pos="1455"/>
        </w:tabs>
        <w:ind w:left="1455" w:hanging="720"/>
      </w:pPr>
      <w:rPr>
        <w:rFonts w:hint="default"/>
      </w:rPr>
    </w:lvl>
    <w:lvl w:ilvl="1" w:tentative="0">
      <w:start w:val="2"/>
      <w:numFmt w:val="decimal"/>
      <w:lvlText w:val="%2、"/>
      <w:lvlJc w:val="left"/>
      <w:pPr>
        <w:tabs>
          <w:tab w:val="left" w:pos="1095"/>
        </w:tabs>
        <w:ind w:left="1095" w:hanging="360"/>
      </w:pPr>
      <w:rPr>
        <w:rFonts w:hint="default"/>
        <w:b w:val="0"/>
      </w:r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40">
    <w:nsid w:val="524152D3"/>
    <w:multiLevelType w:val="multilevel"/>
    <w:tmpl w:val="524152D3"/>
    <w:lvl w:ilvl="0" w:tentative="0">
      <w:start w:val="1"/>
      <w:numFmt w:val="decimal"/>
      <w:lvlText w:val="%1．"/>
      <w:lvlJc w:val="left"/>
      <w:pPr>
        <w:tabs>
          <w:tab w:val="left" w:pos="113"/>
        </w:tabs>
        <w:ind w:left="544"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528D26C3"/>
    <w:multiLevelType w:val="multilevel"/>
    <w:tmpl w:val="528D26C3"/>
    <w:lvl w:ilvl="0" w:tentative="0">
      <w:start w:val="1"/>
      <w:numFmt w:val="chineseCountingThousand"/>
      <w:lvlText w:val="%1、"/>
      <w:lvlJc w:val="left"/>
      <w:pPr>
        <w:tabs>
          <w:tab w:val="left" w:pos="720"/>
        </w:tabs>
        <w:ind w:left="720" w:hanging="720"/>
      </w:pPr>
      <w:rPr>
        <w:rFonts w:hint="eastAsia"/>
      </w:rPr>
    </w:lvl>
    <w:lvl w:ilvl="1" w:tentative="0">
      <w:start w:val="1"/>
      <w:numFmt w:val="decimal"/>
      <w:lvlText w:val="1.%2"/>
      <w:lvlJc w:val="left"/>
      <w:pPr>
        <w:tabs>
          <w:tab w:val="left" w:pos="0"/>
        </w:tabs>
        <w:ind w:left="567" w:hanging="454"/>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543E217F"/>
    <w:multiLevelType w:val="multilevel"/>
    <w:tmpl w:val="543E217F"/>
    <w:lvl w:ilvl="0" w:tentative="0">
      <w:start w:val="1"/>
      <w:numFmt w:val="decimal"/>
      <w:lvlText w:val="9.%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3">
    <w:nsid w:val="54D06506"/>
    <w:multiLevelType w:val="multilevel"/>
    <w:tmpl w:val="54D06506"/>
    <w:lvl w:ilvl="0" w:tentative="0">
      <w:start w:val="1"/>
      <w:numFmt w:val="decimal"/>
      <w:lvlText w:val="40.%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5706487D"/>
    <w:multiLevelType w:val="multilevel"/>
    <w:tmpl w:val="5706487D"/>
    <w:lvl w:ilvl="0" w:tentative="0">
      <w:start w:val="1"/>
      <w:numFmt w:val="decimal"/>
      <w:lvlText w:val="5.%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57104C74"/>
    <w:multiLevelType w:val="multilevel"/>
    <w:tmpl w:val="57104C74"/>
    <w:lvl w:ilvl="0" w:tentative="0">
      <w:start w:val="1"/>
      <w:numFmt w:val="decimal"/>
      <w:lvlText w:val="7.6.%1"/>
      <w:lvlJc w:val="left"/>
      <w:pPr>
        <w:ind w:left="525"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9696569"/>
    <w:multiLevelType w:val="multilevel"/>
    <w:tmpl w:val="59696569"/>
    <w:lvl w:ilvl="0" w:tentative="0">
      <w:start w:val="1"/>
      <w:numFmt w:val="decimal"/>
      <w:lvlText w:val="32.%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5ABA67F2"/>
    <w:multiLevelType w:val="multilevel"/>
    <w:tmpl w:val="5ABA67F2"/>
    <w:lvl w:ilvl="0" w:tentative="0">
      <w:start w:val="1"/>
      <w:numFmt w:val="decimal"/>
      <w:lvlText w:val="%1"/>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0722FF4"/>
    <w:multiLevelType w:val="multilevel"/>
    <w:tmpl w:val="60722FF4"/>
    <w:lvl w:ilvl="0" w:tentative="0">
      <w:start w:val="1"/>
      <w:numFmt w:val="decimal"/>
      <w:lvlText w:val="%1"/>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D704008"/>
    <w:multiLevelType w:val="multilevel"/>
    <w:tmpl w:val="6D704008"/>
    <w:lvl w:ilvl="0" w:tentative="0">
      <w:start w:val="1"/>
      <w:numFmt w:val="decimal"/>
      <w:lvlText w:val="19.%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0">
    <w:nsid w:val="6D826187"/>
    <w:multiLevelType w:val="multilevel"/>
    <w:tmpl w:val="6D826187"/>
    <w:lvl w:ilvl="0" w:tentative="0">
      <w:start w:val="1"/>
      <w:numFmt w:val="decimal"/>
      <w:lvlText w:val="%1"/>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DE37DDB"/>
    <w:multiLevelType w:val="multilevel"/>
    <w:tmpl w:val="6DE37DDB"/>
    <w:lvl w:ilvl="0" w:tentative="0">
      <w:start w:val="1"/>
      <w:numFmt w:val="decimal"/>
      <w:lvlText w:val="18.%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715468C2"/>
    <w:multiLevelType w:val="multilevel"/>
    <w:tmpl w:val="715468C2"/>
    <w:lvl w:ilvl="0" w:tentative="0">
      <w:start w:val="1"/>
      <w:numFmt w:val="decimal"/>
      <w:lvlText w:val="26.%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71A4745A"/>
    <w:multiLevelType w:val="multilevel"/>
    <w:tmpl w:val="71A4745A"/>
    <w:lvl w:ilvl="0" w:tentative="0">
      <w:start w:val="1"/>
      <w:numFmt w:val="decimal"/>
      <w:lvlText w:val="30.%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4">
    <w:nsid w:val="72377AED"/>
    <w:multiLevelType w:val="multilevel"/>
    <w:tmpl w:val="72377AED"/>
    <w:lvl w:ilvl="0" w:tentative="0">
      <w:start w:val="1"/>
      <w:numFmt w:val="decimal"/>
      <w:lvlText w:val="4.%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5">
    <w:nsid w:val="73A43E39"/>
    <w:multiLevelType w:val="multilevel"/>
    <w:tmpl w:val="73A43E39"/>
    <w:lvl w:ilvl="0" w:tentative="0">
      <w:start w:val="22"/>
      <w:numFmt w:val="decimal"/>
      <w:lvlText w:val="%1. "/>
      <w:lvlJc w:val="left"/>
      <w:pPr>
        <w:tabs>
          <w:tab w:val="left" w:pos="0"/>
        </w:tabs>
        <w:ind w:left="624" w:hanging="511"/>
      </w:pPr>
      <w:rPr>
        <w:rFonts w:hint="eastAsia"/>
        <w:b/>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3F378A2"/>
    <w:multiLevelType w:val="multilevel"/>
    <w:tmpl w:val="73F378A2"/>
    <w:lvl w:ilvl="0" w:tentative="0">
      <w:start w:val="1"/>
      <w:numFmt w:val="decimal"/>
      <w:lvlText w:val="35.%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7">
    <w:nsid w:val="747D2F81"/>
    <w:multiLevelType w:val="multilevel"/>
    <w:tmpl w:val="747D2F81"/>
    <w:lvl w:ilvl="0" w:tentative="0">
      <w:start w:val="1"/>
      <w:numFmt w:val="decimal"/>
      <w:lvlText w:val="31.%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8">
    <w:nsid w:val="750D4FFF"/>
    <w:multiLevelType w:val="multilevel"/>
    <w:tmpl w:val="750D4FFF"/>
    <w:lvl w:ilvl="0" w:tentative="0">
      <w:start w:val="1"/>
      <w:numFmt w:val="decimal"/>
      <w:lvlText w:val="14.%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9">
    <w:nsid w:val="774F6964"/>
    <w:multiLevelType w:val="multilevel"/>
    <w:tmpl w:val="774F6964"/>
    <w:lvl w:ilvl="0" w:tentative="0">
      <w:start w:val="1"/>
      <w:numFmt w:val="decimal"/>
      <w:lvlText w:val="23.%1"/>
      <w:lvlJc w:val="left"/>
      <w:pPr>
        <w:tabs>
          <w:tab w:val="left" w:pos="0"/>
        </w:tabs>
        <w:ind w:left="567" w:hanging="454"/>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0">
    <w:nsid w:val="77DC07C5"/>
    <w:multiLevelType w:val="multilevel"/>
    <w:tmpl w:val="77DC07C5"/>
    <w:lvl w:ilvl="0" w:tentative="0">
      <w:start w:val="1"/>
      <w:numFmt w:val="decimal"/>
      <w:lvlText w:val="8.%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7CBC1D06"/>
    <w:multiLevelType w:val="multilevel"/>
    <w:tmpl w:val="7CBC1D06"/>
    <w:lvl w:ilvl="0" w:tentative="0">
      <w:start w:val="1"/>
      <w:numFmt w:val="decimal"/>
      <w:lvlText w:val="2.%1"/>
      <w:lvlJc w:val="left"/>
      <w:pPr>
        <w:tabs>
          <w:tab w:val="left" w:pos="0"/>
        </w:tabs>
        <w:ind w:left="567" w:hanging="454"/>
      </w:pPr>
      <w:rPr>
        <w:rFonts w:hint="eastAsia"/>
      </w:rPr>
    </w:lvl>
    <w:lvl w:ilvl="1" w:tentative="0">
      <w:start w:val="1"/>
      <w:numFmt w:val="decimal"/>
      <w:lvlText w:val="2.4.%2"/>
      <w:lvlJc w:val="left"/>
      <w:pPr>
        <w:tabs>
          <w:tab w:val="left" w:pos="0"/>
        </w:tabs>
        <w:ind w:left="1021" w:hanging="908"/>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2">
    <w:nsid w:val="7D644044"/>
    <w:multiLevelType w:val="multilevel"/>
    <w:tmpl w:val="7D644044"/>
    <w:lvl w:ilvl="0" w:tentative="0">
      <w:start w:val="1"/>
      <w:numFmt w:val="decimal"/>
      <w:lvlText w:val="%1．"/>
      <w:lvlJc w:val="left"/>
      <w:pPr>
        <w:tabs>
          <w:tab w:val="left" w:pos="0"/>
        </w:tabs>
        <w:ind w:left="431" w:hanging="431"/>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3">
    <w:nsid w:val="7EA728F9"/>
    <w:multiLevelType w:val="multilevel"/>
    <w:tmpl w:val="7EA728F9"/>
    <w:lvl w:ilvl="0" w:tentative="0">
      <w:start w:val="1"/>
      <w:numFmt w:val="decimal"/>
      <w:lvlText w:val="11.%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4">
    <w:nsid w:val="7FA66705"/>
    <w:multiLevelType w:val="multilevel"/>
    <w:tmpl w:val="7FA66705"/>
    <w:lvl w:ilvl="0" w:tentative="0">
      <w:start w:val="1"/>
      <w:numFmt w:val="decimal"/>
      <w:lvlText w:val="7.%1"/>
      <w:lvlJc w:val="left"/>
      <w:pPr>
        <w:tabs>
          <w:tab w:val="left" w:pos="0"/>
        </w:tabs>
        <w:ind w:left="567" w:hanging="45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0"/>
  </w:num>
  <w:num w:numId="2">
    <w:abstractNumId w:val="62"/>
  </w:num>
  <w:num w:numId="3">
    <w:abstractNumId w:val="39"/>
  </w:num>
  <w:num w:numId="4">
    <w:abstractNumId w:val="12"/>
  </w:num>
  <w:num w:numId="5">
    <w:abstractNumId w:val="4"/>
  </w:num>
  <w:num w:numId="6">
    <w:abstractNumId w:val="3"/>
  </w:num>
  <w:num w:numId="7">
    <w:abstractNumId w:val="0"/>
  </w:num>
  <w:num w:numId="8">
    <w:abstractNumId w:val="2"/>
  </w:num>
  <w:num w:numId="9">
    <w:abstractNumId w:val="1"/>
  </w:num>
  <w:num w:numId="10">
    <w:abstractNumId w:val="41"/>
  </w:num>
  <w:num w:numId="11">
    <w:abstractNumId w:val="38"/>
  </w:num>
  <w:num w:numId="12">
    <w:abstractNumId w:val="61"/>
  </w:num>
  <w:num w:numId="13">
    <w:abstractNumId w:val="35"/>
  </w:num>
  <w:num w:numId="14">
    <w:abstractNumId w:val="54"/>
  </w:num>
  <w:num w:numId="15">
    <w:abstractNumId w:val="44"/>
  </w:num>
  <w:num w:numId="16">
    <w:abstractNumId w:val="33"/>
  </w:num>
  <w:num w:numId="17">
    <w:abstractNumId w:val="24"/>
  </w:num>
  <w:num w:numId="1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4"/>
  </w:num>
  <w:num w:numId="21">
    <w:abstractNumId w:val="60"/>
  </w:num>
  <w:num w:numId="22">
    <w:abstractNumId w:val="42"/>
  </w:num>
  <w:num w:numId="23">
    <w:abstractNumId w:val="28"/>
  </w:num>
  <w:num w:numId="24">
    <w:abstractNumId w:val="63"/>
  </w:num>
  <w:num w:numId="25">
    <w:abstractNumId w:val="5"/>
  </w:num>
  <w:num w:numId="26">
    <w:abstractNumId w:val="14"/>
  </w:num>
  <w:num w:numId="27">
    <w:abstractNumId w:val="58"/>
  </w:num>
  <w:num w:numId="28">
    <w:abstractNumId w:val="7"/>
  </w:num>
  <w:num w:numId="29">
    <w:abstractNumId w:val="16"/>
  </w:num>
  <w:num w:numId="30">
    <w:abstractNumId w:val="36"/>
  </w:num>
  <w:num w:numId="31">
    <w:abstractNumId w:val="22"/>
  </w:num>
  <w:num w:numId="32">
    <w:abstractNumId w:val="51"/>
  </w:num>
  <w:num w:numId="33">
    <w:abstractNumId w:val="49"/>
  </w:num>
  <w:num w:numId="34">
    <w:abstractNumId w:val="34"/>
  </w:num>
  <w:num w:numId="35">
    <w:abstractNumId w:val="55"/>
  </w:num>
  <w:num w:numId="36">
    <w:abstractNumId w:val="13"/>
  </w:num>
  <w:num w:numId="37">
    <w:abstractNumId w:val="59"/>
  </w:num>
  <w:num w:numId="38">
    <w:abstractNumId w:val="19"/>
  </w:num>
  <w:num w:numId="39">
    <w:abstractNumId w:val="30"/>
  </w:num>
  <w:num w:numId="40">
    <w:abstractNumId w:val="52"/>
  </w:num>
  <w:num w:numId="41">
    <w:abstractNumId w:val="10"/>
  </w:num>
  <w:num w:numId="42">
    <w:abstractNumId w:val="20"/>
  </w:num>
  <w:num w:numId="43">
    <w:abstractNumId w:val="27"/>
  </w:num>
  <w:num w:numId="44">
    <w:abstractNumId w:val="53"/>
  </w:num>
  <w:num w:numId="45">
    <w:abstractNumId w:val="57"/>
  </w:num>
  <w:num w:numId="46">
    <w:abstractNumId w:val="46"/>
  </w:num>
  <w:num w:numId="47">
    <w:abstractNumId w:val="15"/>
  </w:num>
  <w:num w:numId="48">
    <w:abstractNumId w:val="11"/>
  </w:num>
  <w:num w:numId="49">
    <w:abstractNumId w:val="8"/>
  </w:num>
  <w:num w:numId="50">
    <w:abstractNumId w:val="9"/>
  </w:num>
  <w:num w:numId="51">
    <w:abstractNumId w:val="6"/>
  </w:num>
  <w:num w:numId="52">
    <w:abstractNumId w:val="17"/>
  </w:num>
  <w:num w:numId="53">
    <w:abstractNumId w:val="56"/>
  </w:num>
  <w:num w:numId="54">
    <w:abstractNumId w:val="26"/>
  </w:num>
  <w:num w:numId="55">
    <w:abstractNumId w:val="18"/>
  </w:num>
  <w:num w:numId="56">
    <w:abstractNumId w:val="31"/>
  </w:num>
  <w:num w:numId="57">
    <w:abstractNumId w:val="43"/>
  </w:num>
  <w:num w:numId="58">
    <w:abstractNumId w:val="21"/>
  </w:num>
  <w:num w:numId="59">
    <w:abstractNumId w:val="47"/>
  </w:num>
  <w:num w:numId="60">
    <w:abstractNumId w:val="37"/>
  </w:num>
  <w:num w:numId="61">
    <w:abstractNumId w:val="48"/>
  </w:num>
  <w:num w:numId="62">
    <w:abstractNumId w:val="50"/>
  </w:num>
  <w:num w:numId="63">
    <w:abstractNumId w:val="25"/>
  </w:num>
  <w:num w:numId="64">
    <w:abstractNumId w:val="23"/>
  </w:num>
  <w:num w:numId="65">
    <w:abstractNumId w:val="29"/>
  </w:num>
  <w:num w:numId="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0"/>
  <w:hyphenationZone w:val="36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kODFjZTRhN2I0ZjlkMjJkOGUwYmVlNDcxNTFiNDAifQ=="/>
  </w:docVars>
  <w:rsids>
    <w:rsidRoot w:val="002E2EB8"/>
    <w:rsid w:val="00000376"/>
    <w:rsid w:val="00000878"/>
    <w:rsid w:val="000012AD"/>
    <w:rsid w:val="000015CB"/>
    <w:rsid w:val="0000208F"/>
    <w:rsid w:val="00002357"/>
    <w:rsid w:val="00002BB7"/>
    <w:rsid w:val="00002C63"/>
    <w:rsid w:val="00002E55"/>
    <w:rsid w:val="00003242"/>
    <w:rsid w:val="000034BB"/>
    <w:rsid w:val="00003D86"/>
    <w:rsid w:val="00004195"/>
    <w:rsid w:val="000042DB"/>
    <w:rsid w:val="00004690"/>
    <w:rsid w:val="0000483E"/>
    <w:rsid w:val="00004F5A"/>
    <w:rsid w:val="000050A0"/>
    <w:rsid w:val="000057B7"/>
    <w:rsid w:val="000058E1"/>
    <w:rsid w:val="00005E68"/>
    <w:rsid w:val="00005F98"/>
    <w:rsid w:val="00005FCA"/>
    <w:rsid w:val="00007479"/>
    <w:rsid w:val="000077AD"/>
    <w:rsid w:val="000079F2"/>
    <w:rsid w:val="00007E98"/>
    <w:rsid w:val="00010009"/>
    <w:rsid w:val="0001024B"/>
    <w:rsid w:val="000105A7"/>
    <w:rsid w:val="000117A6"/>
    <w:rsid w:val="00011CDB"/>
    <w:rsid w:val="00012B9C"/>
    <w:rsid w:val="00012C95"/>
    <w:rsid w:val="0001388A"/>
    <w:rsid w:val="00013E6E"/>
    <w:rsid w:val="0001400C"/>
    <w:rsid w:val="000145C8"/>
    <w:rsid w:val="00014D1F"/>
    <w:rsid w:val="00014DC9"/>
    <w:rsid w:val="0001516C"/>
    <w:rsid w:val="00015392"/>
    <w:rsid w:val="0001624F"/>
    <w:rsid w:val="00016685"/>
    <w:rsid w:val="000168EB"/>
    <w:rsid w:val="000168F7"/>
    <w:rsid w:val="00016E57"/>
    <w:rsid w:val="00017575"/>
    <w:rsid w:val="000179DE"/>
    <w:rsid w:val="00017CD4"/>
    <w:rsid w:val="00017FD4"/>
    <w:rsid w:val="0002029D"/>
    <w:rsid w:val="00020958"/>
    <w:rsid w:val="000209B8"/>
    <w:rsid w:val="00020BDD"/>
    <w:rsid w:val="00021566"/>
    <w:rsid w:val="00021613"/>
    <w:rsid w:val="00022615"/>
    <w:rsid w:val="00022DED"/>
    <w:rsid w:val="00023BE3"/>
    <w:rsid w:val="00023C36"/>
    <w:rsid w:val="00024C91"/>
    <w:rsid w:val="000254AF"/>
    <w:rsid w:val="000256A5"/>
    <w:rsid w:val="0002579D"/>
    <w:rsid w:val="00025895"/>
    <w:rsid w:val="00025A5F"/>
    <w:rsid w:val="00025C5B"/>
    <w:rsid w:val="00025D0A"/>
    <w:rsid w:val="00025FB5"/>
    <w:rsid w:val="0002602D"/>
    <w:rsid w:val="000261ED"/>
    <w:rsid w:val="00026505"/>
    <w:rsid w:val="00026B5F"/>
    <w:rsid w:val="00026FC1"/>
    <w:rsid w:val="00027503"/>
    <w:rsid w:val="00027760"/>
    <w:rsid w:val="0003043F"/>
    <w:rsid w:val="00030986"/>
    <w:rsid w:val="000309E3"/>
    <w:rsid w:val="00031FB0"/>
    <w:rsid w:val="00032017"/>
    <w:rsid w:val="00032BE1"/>
    <w:rsid w:val="00032E3F"/>
    <w:rsid w:val="00032F82"/>
    <w:rsid w:val="000333AF"/>
    <w:rsid w:val="00033526"/>
    <w:rsid w:val="000338DF"/>
    <w:rsid w:val="00033F01"/>
    <w:rsid w:val="00034198"/>
    <w:rsid w:val="0003430E"/>
    <w:rsid w:val="000345C0"/>
    <w:rsid w:val="00034BA7"/>
    <w:rsid w:val="000358FA"/>
    <w:rsid w:val="00035E05"/>
    <w:rsid w:val="00035E2F"/>
    <w:rsid w:val="0003624D"/>
    <w:rsid w:val="00037225"/>
    <w:rsid w:val="0003739C"/>
    <w:rsid w:val="00037CB9"/>
    <w:rsid w:val="00040183"/>
    <w:rsid w:val="000405F2"/>
    <w:rsid w:val="000406CD"/>
    <w:rsid w:val="000408B5"/>
    <w:rsid w:val="00040A02"/>
    <w:rsid w:val="00040B4D"/>
    <w:rsid w:val="00042175"/>
    <w:rsid w:val="00042466"/>
    <w:rsid w:val="0004292F"/>
    <w:rsid w:val="00042C15"/>
    <w:rsid w:val="00042FE6"/>
    <w:rsid w:val="0004314C"/>
    <w:rsid w:val="00043A1B"/>
    <w:rsid w:val="00043AC2"/>
    <w:rsid w:val="00043BE6"/>
    <w:rsid w:val="000443D3"/>
    <w:rsid w:val="000444AA"/>
    <w:rsid w:val="00044B31"/>
    <w:rsid w:val="00044F36"/>
    <w:rsid w:val="00045B41"/>
    <w:rsid w:val="00045DEA"/>
    <w:rsid w:val="00045E00"/>
    <w:rsid w:val="00045E18"/>
    <w:rsid w:val="00046E2D"/>
    <w:rsid w:val="00047CB7"/>
    <w:rsid w:val="00047CD8"/>
    <w:rsid w:val="0005049C"/>
    <w:rsid w:val="00050BC8"/>
    <w:rsid w:val="00050F3B"/>
    <w:rsid w:val="000524C1"/>
    <w:rsid w:val="00052D9E"/>
    <w:rsid w:val="00053227"/>
    <w:rsid w:val="000535F7"/>
    <w:rsid w:val="00053AD7"/>
    <w:rsid w:val="00053E72"/>
    <w:rsid w:val="00054454"/>
    <w:rsid w:val="000544FF"/>
    <w:rsid w:val="00054727"/>
    <w:rsid w:val="00054B6B"/>
    <w:rsid w:val="00055615"/>
    <w:rsid w:val="000558F9"/>
    <w:rsid w:val="0005603E"/>
    <w:rsid w:val="00056324"/>
    <w:rsid w:val="0005633C"/>
    <w:rsid w:val="000569D1"/>
    <w:rsid w:val="00056AE0"/>
    <w:rsid w:val="00056CE5"/>
    <w:rsid w:val="00057451"/>
    <w:rsid w:val="000574A5"/>
    <w:rsid w:val="0005756D"/>
    <w:rsid w:val="0005762F"/>
    <w:rsid w:val="000576F3"/>
    <w:rsid w:val="00057729"/>
    <w:rsid w:val="000577A4"/>
    <w:rsid w:val="0005799B"/>
    <w:rsid w:val="000602A2"/>
    <w:rsid w:val="000606EF"/>
    <w:rsid w:val="00060924"/>
    <w:rsid w:val="0006129F"/>
    <w:rsid w:val="00061513"/>
    <w:rsid w:val="000617C6"/>
    <w:rsid w:val="000619D2"/>
    <w:rsid w:val="00061A4C"/>
    <w:rsid w:val="00061B7E"/>
    <w:rsid w:val="000626E0"/>
    <w:rsid w:val="000627AE"/>
    <w:rsid w:val="00062A8B"/>
    <w:rsid w:val="00062B51"/>
    <w:rsid w:val="00062E9F"/>
    <w:rsid w:val="00062FEA"/>
    <w:rsid w:val="000636DE"/>
    <w:rsid w:val="00063D7D"/>
    <w:rsid w:val="00063F35"/>
    <w:rsid w:val="000641BD"/>
    <w:rsid w:val="000643D9"/>
    <w:rsid w:val="000646CD"/>
    <w:rsid w:val="00064933"/>
    <w:rsid w:val="0006529D"/>
    <w:rsid w:val="000652A0"/>
    <w:rsid w:val="00065833"/>
    <w:rsid w:val="00065842"/>
    <w:rsid w:val="00065E85"/>
    <w:rsid w:val="000668F3"/>
    <w:rsid w:val="00066E2C"/>
    <w:rsid w:val="00067207"/>
    <w:rsid w:val="0006787B"/>
    <w:rsid w:val="00067BC2"/>
    <w:rsid w:val="00067C1B"/>
    <w:rsid w:val="00070013"/>
    <w:rsid w:val="00070080"/>
    <w:rsid w:val="0007021F"/>
    <w:rsid w:val="000703B9"/>
    <w:rsid w:val="0007090B"/>
    <w:rsid w:val="0007093E"/>
    <w:rsid w:val="000712A0"/>
    <w:rsid w:val="0007182A"/>
    <w:rsid w:val="00071DF7"/>
    <w:rsid w:val="00072242"/>
    <w:rsid w:val="00072636"/>
    <w:rsid w:val="00072754"/>
    <w:rsid w:val="00072791"/>
    <w:rsid w:val="000729D8"/>
    <w:rsid w:val="000733A3"/>
    <w:rsid w:val="000734F3"/>
    <w:rsid w:val="000735AC"/>
    <w:rsid w:val="00073BC9"/>
    <w:rsid w:val="00074036"/>
    <w:rsid w:val="00074398"/>
    <w:rsid w:val="0007503E"/>
    <w:rsid w:val="00076B94"/>
    <w:rsid w:val="00077161"/>
    <w:rsid w:val="00077B67"/>
    <w:rsid w:val="00077BB6"/>
    <w:rsid w:val="000801DD"/>
    <w:rsid w:val="00080B32"/>
    <w:rsid w:val="000811C0"/>
    <w:rsid w:val="000817D8"/>
    <w:rsid w:val="00081C3E"/>
    <w:rsid w:val="000822E3"/>
    <w:rsid w:val="00082888"/>
    <w:rsid w:val="0008340E"/>
    <w:rsid w:val="00083561"/>
    <w:rsid w:val="0008377A"/>
    <w:rsid w:val="00084818"/>
    <w:rsid w:val="00084E6E"/>
    <w:rsid w:val="0008514C"/>
    <w:rsid w:val="0008585B"/>
    <w:rsid w:val="00085945"/>
    <w:rsid w:val="00085F3B"/>
    <w:rsid w:val="00086829"/>
    <w:rsid w:val="000868CC"/>
    <w:rsid w:val="00086B65"/>
    <w:rsid w:val="000876ED"/>
    <w:rsid w:val="00087A92"/>
    <w:rsid w:val="00087BD2"/>
    <w:rsid w:val="0009060A"/>
    <w:rsid w:val="000908D2"/>
    <w:rsid w:val="00091700"/>
    <w:rsid w:val="000919D7"/>
    <w:rsid w:val="00092356"/>
    <w:rsid w:val="00092870"/>
    <w:rsid w:val="00092F4F"/>
    <w:rsid w:val="0009324E"/>
    <w:rsid w:val="00093B13"/>
    <w:rsid w:val="00093DE1"/>
    <w:rsid w:val="000948E3"/>
    <w:rsid w:val="00094B11"/>
    <w:rsid w:val="00094DBC"/>
    <w:rsid w:val="00096124"/>
    <w:rsid w:val="000963F2"/>
    <w:rsid w:val="0009672C"/>
    <w:rsid w:val="00096AED"/>
    <w:rsid w:val="00096B34"/>
    <w:rsid w:val="00097781"/>
    <w:rsid w:val="00097998"/>
    <w:rsid w:val="000A0910"/>
    <w:rsid w:val="000A0924"/>
    <w:rsid w:val="000A0D0F"/>
    <w:rsid w:val="000A11C8"/>
    <w:rsid w:val="000A1C18"/>
    <w:rsid w:val="000A1ED9"/>
    <w:rsid w:val="000A3056"/>
    <w:rsid w:val="000A3460"/>
    <w:rsid w:val="000A3A58"/>
    <w:rsid w:val="000A3D9F"/>
    <w:rsid w:val="000A4237"/>
    <w:rsid w:val="000A423A"/>
    <w:rsid w:val="000A48EF"/>
    <w:rsid w:val="000A4AE1"/>
    <w:rsid w:val="000A4BCF"/>
    <w:rsid w:val="000A4E2E"/>
    <w:rsid w:val="000A4FAD"/>
    <w:rsid w:val="000A523C"/>
    <w:rsid w:val="000A528C"/>
    <w:rsid w:val="000A5B7F"/>
    <w:rsid w:val="000A5C95"/>
    <w:rsid w:val="000A5CE3"/>
    <w:rsid w:val="000A6172"/>
    <w:rsid w:val="000A6BDE"/>
    <w:rsid w:val="000A750D"/>
    <w:rsid w:val="000A7511"/>
    <w:rsid w:val="000A76DB"/>
    <w:rsid w:val="000A7A84"/>
    <w:rsid w:val="000A7B61"/>
    <w:rsid w:val="000A7B87"/>
    <w:rsid w:val="000B0501"/>
    <w:rsid w:val="000B11C5"/>
    <w:rsid w:val="000B1354"/>
    <w:rsid w:val="000B13CE"/>
    <w:rsid w:val="000B18C2"/>
    <w:rsid w:val="000B19C0"/>
    <w:rsid w:val="000B1FEF"/>
    <w:rsid w:val="000B2544"/>
    <w:rsid w:val="000B326B"/>
    <w:rsid w:val="000B3B32"/>
    <w:rsid w:val="000B3DCE"/>
    <w:rsid w:val="000B3E06"/>
    <w:rsid w:val="000B42C2"/>
    <w:rsid w:val="000B433B"/>
    <w:rsid w:val="000B49B1"/>
    <w:rsid w:val="000B4B33"/>
    <w:rsid w:val="000B502F"/>
    <w:rsid w:val="000B53EE"/>
    <w:rsid w:val="000B5435"/>
    <w:rsid w:val="000B55BD"/>
    <w:rsid w:val="000B5714"/>
    <w:rsid w:val="000B59C5"/>
    <w:rsid w:val="000B5B58"/>
    <w:rsid w:val="000B5B65"/>
    <w:rsid w:val="000B5C05"/>
    <w:rsid w:val="000B5D33"/>
    <w:rsid w:val="000B5E97"/>
    <w:rsid w:val="000B61B1"/>
    <w:rsid w:val="000B6263"/>
    <w:rsid w:val="000B6317"/>
    <w:rsid w:val="000B658A"/>
    <w:rsid w:val="000B65D6"/>
    <w:rsid w:val="000B6E56"/>
    <w:rsid w:val="000B7A67"/>
    <w:rsid w:val="000C0142"/>
    <w:rsid w:val="000C0502"/>
    <w:rsid w:val="000C0702"/>
    <w:rsid w:val="000C0C0C"/>
    <w:rsid w:val="000C0FDE"/>
    <w:rsid w:val="000C1005"/>
    <w:rsid w:val="000C1081"/>
    <w:rsid w:val="000C1C5C"/>
    <w:rsid w:val="000C2269"/>
    <w:rsid w:val="000C299E"/>
    <w:rsid w:val="000C2ADF"/>
    <w:rsid w:val="000C2FAF"/>
    <w:rsid w:val="000C2FB7"/>
    <w:rsid w:val="000C3536"/>
    <w:rsid w:val="000C3DF3"/>
    <w:rsid w:val="000C46A3"/>
    <w:rsid w:val="000C4D05"/>
    <w:rsid w:val="000C5552"/>
    <w:rsid w:val="000C5E25"/>
    <w:rsid w:val="000C6206"/>
    <w:rsid w:val="000C6696"/>
    <w:rsid w:val="000C676E"/>
    <w:rsid w:val="000C72CC"/>
    <w:rsid w:val="000C73FA"/>
    <w:rsid w:val="000C7ADD"/>
    <w:rsid w:val="000C7B2A"/>
    <w:rsid w:val="000C7BF4"/>
    <w:rsid w:val="000D00CE"/>
    <w:rsid w:val="000D08EC"/>
    <w:rsid w:val="000D0ADC"/>
    <w:rsid w:val="000D1333"/>
    <w:rsid w:val="000D15FC"/>
    <w:rsid w:val="000D17B9"/>
    <w:rsid w:val="000D1A3D"/>
    <w:rsid w:val="000D1AB9"/>
    <w:rsid w:val="000D1D4D"/>
    <w:rsid w:val="000D210C"/>
    <w:rsid w:val="000D2C25"/>
    <w:rsid w:val="000D3062"/>
    <w:rsid w:val="000D381B"/>
    <w:rsid w:val="000D3E51"/>
    <w:rsid w:val="000D4253"/>
    <w:rsid w:val="000D5483"/>
    <w:rsid w:val="000D5B5A"/>
    <w:rsid w:val="000D6387"/>
    <w:rsid w:val="000D68BA"/>
    <w:rsid w:val="000D6C00"/>
    <w:rsid w:val="000D700B"/>
    <w:rsid w:val="000D7562"/>
    <w:rsid w:val="000D799B"/>
    <w:rsid w:val="000E005E"/>
    <w:rsid w:val="000E0588"/>
    <w:rsid w:val="000E0675"/>
    <w:rsid w:val="000E0CF2"/>
    <w:rsid w:val="000E1821"/>
    <w:rsid w:val="000E1C55"/>
    <w:rsid w:val="000E290C"/>
    <w:rsid w:val="000E2B21"/>
    <w:rsid w:val="000E2D57"/>
    <w:rsid w:val="000E2D80"/>
    <w:rsid w:val="000E2F43"/>
    <w:rsid w:val="000E34BF"/>
    <w:rsid w:val="000E34C7"/>
    <w:rsid w:val="000E3B67"/>
    <w:rsid w:val="000E3C9E"/>
    <w:rsid w:val="000E3C9F"/>
    <w:rsid w:val="000E45A8"/>
    <w:rsid w:val="000E55EA"/>
    <w:rsid w:val="000E6531"/>
    <w:rsid w:val="000E65ED"/>
    <w:rsid w:val="000E66AE"/>
    <w:rsid w:val="000E69A6"/>
    <w:rsid w:val="000E6CF0"/>
    <w:rsid w:val="000E748C"/>
    <w:rsid w:val="000E7B0E"/>
    <w:rsid w:val="000E7D0D"/>
    <w:rsid w:val="000F00EE"/>
    <w:rsid w:val="000F1037"/>
    <w:rsid w:val="000F1704"/>
    <w:rsid w:val="000F1840"/>
    <w:rsid w:val="000F2523"/>
    <w:rsid w:val="000F28DB"/>
    <w:rsid w:val="000F2E53"/>
    <w:rsid w:val="000F2E87"/>
    <w:rsid w:val="000F3614"/>
    <w:rsid w:val="000F3A46"/>
    <w:rsid w:val="000F3BAE"/>
    <w:rsid w:val="000F4BF9"/>
    <w:rsid w:val="000F4C79"/>
    <w:rsid w:val="000F4D29"/>
    <w:rsid w:val="000F4D88"/>
    <w:rsid w:val="000F50FD"/>
    <w:rsid w:val="000F5185"/>
    <w:rsid w:val="000F519B"/>
    <w:rsid w:val="000F5806"/>
    <w:rsid w:val="000F5A8A"/>
    <w:rsid w:val="000F600B"/>
    <w:rsid w:val="000F61C6"/>
    <w:rsid w:val="000F62B5"/>
    <w:rsid w:val="000F661B"/>
    <w:rsid w:val="000F6CC9"/>
    <w:rsid w:val="000F70E3"/>
    <w:rsid w:val="000F7291"/>
    <w:rsid w:val="000F7539"/>
    <w:rsid w:val="000F7555"/>
    <w:rsid w:val="000F7911"/>
    <w:rsid w:val="0010086B"/>
    <w:rsid w:val="00101215"/>
    <w:rsid w:val="001012DF"/>
    <w:rsid w:val="00101509"/>
    <w:rsid w:val="001015AC"/>
    <w:rsid w:val="00101805"/>
    <w:rsid w:val="0010204F"/>
    <w:rsid w:val="00102493"/>
    <w:rsid w:val="00103927"/>
    <w:rsid w:val="00103A27"/>
    <w:rsid w:val="00103EDE"/>
    <w:rsid w:val="001049B9"/>
    <w:rsid w:val="00104BDC"/>
    <w:rsid w:val="001050CB"/>
    <w:rsid w:val="001053B2"/>
    <w:rsid w:val="00105BE3"/>
    <w:rsid w:val="00105DC2"/>
    <w:rsid w:val="001060C4"/>
    <w:rsid w:val="001061CB"/>
    <w:rsid w:val="00106B97"/>
    <w:rsid w:val="00106D92"/>
    <w:rsid w:val="00106FD9"/>
    <w:rsid w:val="00107CF8"/>
    <w:rsid w:val="001100F2"/>
    <w:rsid w:val="0011017F"/>
    <w:rsid w:val="0011040D"/>
    <w:rsid w:val="0011094E"/>
    <w:rsid w:val="001114BC"/>
    <w:rsid w:val="0011159F"/>
    <w:rsid w:val="001115F7"/>
    <w:rsid w:val="00111E8F"/>
    <w:rsid w:val="001128F5"/>
    <w:rsid w:val="00112B84"/>
    <w:rsid w:val="00112D21"/>
    <w:rsid w:val="0011374F"/>
    <w:rsid w:val="0011376B"/>
    <w:rsid w:val="00114320"/>
    <w:rsid w:val="001147D6"/>
    <w:rsid w:val="00114EF0"/>
    <w:rsid w:val="0011578F"/>
    <w:rsid w:val="00115924"/>
    <w:rsid w:val="0011594D"/>
    <w:rsid w:val="00115A79"/>
    <w:rsid w:val="001160DC"/>
    <w:rsid w:val="001163E1"/>
    <w:rsid w:val="00116545"/>
    <w:rsid w:val="0011694B"/>
    <w:rsid w:val="00117150"/>
    <w:rsid w:val="001177D9"/>
    <w:rsid w:val="00117A59"/>
    <w:rsid w:val="00117EF5"/>
    <w:rsid w:val="001208DD"/>
    <w:rsid w:val="00120CDF"/>
    <w:rsid w:val="00120D41"/>
    <w:rsid w:val="0012193F"/>
    <w:rsid w:val="001219F7"/>
    <w:rsid w:val="00121FB3"/>
    <w:rsid w:val="00122584"/>
    <w:rsid w:val="00122BB7"/>
    <w:rsid w:val="00122BB9"/>
    <w:rsid w:val="00122C06"/>
    <w:rsid w:val="00123DB4"/>
    <w:rsid w:val="00123E04"/>
    <w:rsid w:val="00125326"/>
    <w:rsid w:val="001256C3"/>
    <w:rsid w:val="00125F5D"/>
    <w:rsid w:val="00126116"/>
    <w:rsid w:val="0012625A"/>
    <w:rsid w:val="00126442"/>
    <w:rsid w:val="00126976"/>
    <w:rsid w:val="00126F5A"/>
    <w:rsid w:val="00127041"/>
    <w:rsid w:val="00127059"/>
    <w:rsid w:val="00127E99"/>
    <w:rsid w:val="001305B7"/>
    <w:rsid w:val="00130780"/>
    <w:rsid w:val="00130FC5"/>
    <w:rsid w:val="0013115A"/>
    <w:rsid w:val="00131466"/>
    <w:rsid w:val="00131E9D"/>
    <w:rsid w:val="00132088"/>
    <w:rsid w:val="001321C0"/>
    <w:rsid w:val="0013241A"/>
    <w:rsid w:val="00132C31"/>
    <w:rsid w:val="00133047"/>
    <w:rsid w:val="00133AD2"/>
    <w:rsid w:val="0013411D"/>
    <w:rsid w:val="00134368"/>
    <w:rsid w:val="00134609"/>
    <w:rsid w:val="00134FE7"/>
    <w:rsid w:val="001359EA"/>
    <w:rsid w:val="001370AA"/>
    <w:rsid w:val="00137172"/>
    <w:rsid w:val="00137CE4"/>
    <w:rsid w:val="00137E88"/>
    <w:rsid w:val="00140463"/>
    <w:rsid w:val="001409A5"/>
    <w:rsid w:val="00140F87"/>
    <w:rsid w:val="00141B84"/>
    <w:rsid w:val="001420C2"/>
    <w:rsid w:val="00143F51"/>
    <w:rsid w:val="001440DB"/>
    <w:rsid w:val="00144333"/>
    <w:rsid w:val="001447F0"/>
    <w:rsid w:val="0014489C"/>
    <w:rsid w:val="00145B32"/>
    <w:rsid w:val="00146284"/>
    <w:rsid w:val="001465F0"/>
    <w:rsid w:val="00146B27"/>
    <w:rsid w:val="00147078"/>
    <w:rsid w:val="00147F7E"/>
    <w:rsid w:val="00147FCE"/>
    <w:rsid w:val="0015040E"/>
    <w:rsid w:val="0015064A"/>
    <w:rsid w:val="00150843"/>
    <w:rsid w:val="0015095F"/>
    <w:rsid w:val="00150A95"/>
    <w:rsid w:val="00150D72"/>
    <w:rsid w:val="00151248"/>
    <w:rsid w:val="001513EF"/>
    <w:rsid w:val="00151B4D"/>
    <w:rsid w:val="00151CBB"/>
    <w:rsid w:val="00151D87"/>
    <w:rsid w:val="00152513"/>
    <w:rsid w:val="001526A8"/>
    <w:rsid w:val="00152AF4"/>
    <w:rsid w:val="00152EE4"/>
    <w:rsid w:val="0015302A"/>
    <w:rsid w:val="001532A6"/>
    <w:rsid w:val="00153BE7"/>
    <w:rsid w:val="001542B1"/>
    <w:rsid w:val="001546A2"/>
    <w:rsid w:val="00154933"/>
    <w:rsid w:val="00154A48"/>
    <w:rsid w:val="001553CA"/>
    <w:rsid w:val="001567DF"/>
    <w:rsid w:val="00156BF0"/>
    <w:rsid w:val="001570A2"/>
    <w:rsid w:val="00157215"/>
    <w:rsid w:val="0015724A"/>
    <w:rsid w:val="00157938"/>
    <w:rsid w:val="00160353"/>
    <w:rsid w:val="0016037F"/>
    <w:rsid w:val="001606EF"/>
    <w:rsid w:val="00160E7B"/>
    <w:rsid w:val="00160F25"/>
    <w:rsid w:val="001614C9"/>
    <w:rsid w:val="0016178A"/>
    <w:rsid w:val="001618AE"/>
    <w:rsid w:val="0016192B"/>
    <w:rsid w:val="00161BA0"/>
    <w:rsid w:val="00161D34"/>
    <w:rsid w:val="00162283"/>
    <w:rsid w:val="00162373"/>
    <w:rsid w:val="001634B0"/>
    <w:rsid w:val="001637EE"/>
    <w:rsid w:val="00163AD0"/>
    <w:rsid w:val="00163D50"/>
    <w:rsid w:val="00163E71"/>
    <w:rsid w:val="00164084"/>
    <w:rsid w:val="0016426C"/>
    <w:rsid w:val="001643B3"/>
    <w:rsid w:val="00164BE3"/>
    <w:rsid w:val="00164BE7"/>
    <w:rsid w:val="00164D20"/>
    <w:rsid w:val="00164E16"/>
    <w:rsid w:val="00165436"/>
    <w:rsid w:val="0016577C"/>
    <w:rsid w:val="00165E25"/>
    <w:rsid w:val="0016608E"/>
    <w:rsid w:val="00166240"/>
    <w:rsid w:val="0016647A"/>
    <w:rsid w:val="001668F4"/>
    <w:rsid w:val="001677A4"/>
    <w:rsid w:val="00167CAC"/>
    <w:rsid w:val="00167FD2"/>
    <w:rsid w:val="0017016E"/>
    <w:rsid w:val="00170243"/>
    <w:rsid w:val="0017036D"/>
    <w:rsid w:val="00170ECF"/>
    <w:rsid w:val="00171937"/>
    <w:rsid w:val="001721C1"/>
    <w:rsid w:val="00172401"/>
    <w:rsid w:val="00172538"/>
    <w:rsid w:val="0017273A"/>
    <w:rsid w:val="001727FC"/>
    <w:rsid w:val="00172C76"/>
    <w:rsid w:val="0017322B"/>
    <w:rsid w:val="0017372F"/>
    <w:rsid w:val="001737E1"/>
    <w:rsid w:val="00173C12"/>
    <w:rsid w:val="00173C6E"/>
    <w:rsid w:val="00173D06"/>
    <w:rsid w:val="00174146"/>
    <w:rsid w:val="00174191"/>
    <w:rsid w:val="00174B03"/>
    <w:rsid w:val="00174D95"/>
    <w:rsid w:val="00174DFC"/>
    <w:rsid w:val="0017553E"/>
    <w:rsid w:val="00175544"/>
    <w:rsid w:val="00175C2C"/>
    <w:rsid w:val="00175D64"/>
    <w:rsid w:val="00175DA0"/>
    <w:rsid w:val="00175DAF"/>
    <w:rsid w:val="00176199"/>
    <w:rsid w:val="001761F2"/>
    <w:rsid w:val="00176991"/>
    <w:rsid w:val="0017700F"/>
    <w:rsid w:val="001771F3"/>
    <w:rsid w:val="001774FF"/>
    <w:rsid w:val="0017766A"/>
    <w:rsid w:val="00177FF4"/>
    <w:rsid w:val="001803D6"/>
    <w:rsid w:val="00180926"/>
    <w:rsid w:val="00180EDA"/>
    <w:rsid w:val="00180F85"/>
    <w:rsid w:val="0018143C"/>
    <w:rsid w:val="00181492"/>
    <w:rsid w:val="00181926"/>
    <w:rsid w:val="00181B3F"/>
    <w:rsid w:val="0018426E"/>
    <w:rsid w:val="00184D6F"/>
    <w:rsid w:val="00185088"/>
    <w:rsid w:val="00185CD7"/>
    <w:rsid w:val="0018603E"/>
    <w:rsid w:val="00186151"/>
    <w:rsid w:val="00186210"/>
    <w:rsid w:val="001864A3"/>
    <w:rsid w:val="00187EF2"/>
    <w:rsid w:val="00190B57"/>
    <w:rsid w:val="00192890"/>
    <w:rsid w:val="001928C2"/>
    <w:rsid w:val="00192DEA"/>
    <w:rsid w:val="00193277"/>
    <w:rsid w:val="001935AB"/>
    <w:rsid w:val="001935EF"/>
    <w:rsid w:val="00193625"/>
    <w:rsid w:val="001941C2"/>
    <w:rsid w:val="00194676"/>
    <w:rsid w:val="00194B48"/>
    <w:rsid w:val="00194C6E"/>
    <w:rsid w:val="0019543E"/>
    <w:rsid w:val="00195456"/>
    <w:rsid w:val="00195A1D"/>
    <w:rsid w:val="00195D77"/>
    <w:rsid w:val="001961C2"/>
    <w:rsid w:val="00196835"/>
    <w:rsid w:val="00196BA4"/>
    <w:rsid w:val="00196E85"/>
    <w:rsid w:val="0019719E"/>
    <w:rsid w:val="00197430"/>
    <w:rsid w:val="0019744E"/>
    <w:rsid w:val="001975F2"/>
    <w:rsid w:val="00197745"/>
    <w:rsid w:val="00197CD6"/>
    <w:rsid w:val="00197D25"/>
    <w:rsid w:val="001A01BD"/>
    <w:rsid w:val="001A03CF"/>
    <w:rsid w:val="001A0552"/>
    <w:rsid w:val="001A05FD"/>
    <w:rsid w:val="001A0D4A"/>
    <w:rsid w:val="001A0FDE"/>
    <w:rsid w:val="001A12FA"/>
    <w:rsid w:val="001A152E"/>
    <w:rsid w:val="001A1693"/>
    <w:rsid w:val="001A16E3"/>
    <w:rsid w:val="001A1CFE"/>
    <w:rsid w:val="001A1D9A"/>
    <w:rsid w:val="001A20E1"/>
    <w:rsid w:val="001A20E6"/>
    <w:rsid w:val="001A2BAE"/>
    <w:rsid w:val="001A3028"/>
    <w:rsid w:val="001A31A2"/>
    <w:rsid w:val="001A31BD"/>
    <w:rsid w:val="001A3837"/>
    <w:rsid w:val="001A404A"/>
    <w:rsid w:val="001A442F"/>
    <w:rsid w:val="001A45F1"/>
    <w:rsid w:val="001A4A7A"/>
    <w:rsid w:val="001A518D"/>
    <w:rsid w:val="001A5B4B"/>
    <w:rsid w:val="001A62B4"/>
    <w:rsid w:val="001A6772"/>
    <w:rsid w:val="001A6ED6"/>
    <w:rsid w:val="001A7455"/>
    <w:rsid w:val="001A7521"/>
    <w:rsid w:val="001A77B2"/>
    <w:rsid w:val="001B06CA"/>
    <w:rsid w:val="001B095C"/>
    <w:rsid w:val="001B0DD8"/>
    <w:rsid w:val="001B0EE5"/>
    <w:rsid w:val="001B1368"/>
    <w:rsid w:val="001B1CA5"/>
    <w:rsid w:val="001B2423"/>
    <w:rsid w:val="001B24DE"/>
    <w:rsid w:val="001B25DA"/>
    <w:rsid w:val="001B2E2E"/>
    <w:rsid w:val="001B2ED0"/>
    <w:rsid w:val="001B3173"/>
    <w:rsid w:val="001B332C"/>
    <w:rsid w:val="001B39A5"/>
    <w:rsid w:val="001B3C2F"/>
    <w:rsid w:val="001B3F0D"/>
    <w:rsid w:val="001B3F20"/>
    <w:rsid w:val="001B45B3"/>
    <w:rsid w:val="001B4AE1"/>
    <w:rsid w:val="001B4E09"/>
    <w:rsid w:val="001B4FD2"/>
    <w:rsid w:val="001B5099"/>
    <w:rsid w:val="001B51F7"/>
    <w:rsid w:val="001B54A8"/>
    <w:rsid w:val="001B57B2"/>
    <w:rsid w:val="001B5B3E"/>
    <w:rsid w:val="001B5E23"/>
    <w:rsid w:val="001B5E99"/>
    <w:rsid w:val="001B606A"/>
    <w:rsid w:val="001B6254"/>
    <w:rsid w:val="001B656E"/>
    <w:rsid w:val="001B6768"/>
    <w:rsid w:val="001B6951"/>
    <w:rsid w:val="001B69CE"/>
    <w:rsid w:val="001B6AD8"/>
    <w:rsid w:val="001B6DFB"/>
    <w:rsid w:val="001B7992"/>
    <w:rsid w:val="001B7CC6"/>
    <w:rsid w:val="001C0054"/>
    <w:rsid w:val="001C0121"/>
    <w:rsid w:val="001C1309"/>
    <w:rsid w:val="001C158D"/>
    <w:rsid w:val="001C2476"/>
    <w:rsid w:val="001C2514"/>
    <w:rsid w:val="001C25EF"/>
    <w:rsid w:val="001C2D5E"/>
    <w:rsid w:val="001C356C"/>
    <w:rsid w:val="001C36C5"/>
    <w:rsid w:val="001C3900"/>
    <w:rsid w:val="001C3E67"/>
    <w:rsid w:val="001C4819"/>
    <w:rsid w:val="001C4DE6"/>
    <w:rsid w:val="001C6119"/>
    <w:rsid w:val="001C68ED"/>
    <w:rsid w:val="001C69F2"/>
    <w:rsid w:val="001C7684"/>
    <w:rsid w:val="001C787A"/>
    <w:rsid w:val="001D00BF"/>
    <w:rsid w:val="001D02D9"/>
    <w:rsid w:val="001D03D5"/>
    <w:rsid w:val="001D0737"/>
    <w:rsid w:val="001D0963"/>
    <w:rsid w:val="001D0D1B"/>
    <w:rsid w:val="001D1002"/>
    <w:rsid w:val="001D12FB"/>
    <w:rsid w:val="001D1725"/>
    <w:rsid w:val="001D1ACE"/>
    <w:rsid w:val="001D1D33"/>
    <w:rsid w:val="001D1DD3"/>
    <w:rsid w:val="001D1EBE"/>
    <w:rsid w:val="001D1FCB"/>
    <w:rsid w:val="001D355F"/>
    <w:rsid w:val="001D384B"/>
    <w:rsid w:val="001D3853"/>
    <w:rsid w:val="001D3DE2"/>
    <w:rsid w:val="001D41A8"/>
    <w:rsid w:val="001D4601"/>
    <w:rsid w:val="001D4755"/>
    <w:rsid w:val="001D51D5"/>
    <w:rsid w:val="001D56A9"/>
    <w:rsid w:val="001D687B"/>
    <w:rsid w:val="001D7110"/>
    <w:rsid w:val="001D7342"/>
    <w:rsid w:val="001D764F"/>
    <w:rsid w:val="001D7670"/>
    <w:rsid w:val="001D7B19"/>
    <w:rsid w:val="001E0999"/>
    <w:rsid w:val="001E099B"/>
    <w:rsid w:val="001E0BD5"/>
    <w:rsid w:val="001E13C7"/>
    <w:rsid w:val="001E1A49"/>
    <w:rsid w:val="001E1A54"/>
    <w:rsid w:val="001E1AC8"/>
    <w:rsid w:val="001E1C9F"/>
    <w:rsid w:val="001E1EEB"/>
    <w:rsid w:val="001E273F"/>
    <w:rsid w:val="001E2759"/>
    <w:rsid w:val="001E2860"/>
    <w:rsid w:val="001E286E"/>
    <w:rsid w:val="001E3041"/>
    <w:rsid w:val="001E399B"/>
    <w:rsid w:val="001E3F6F"/>
    <w:rsid w:val="001E3FE1"/>
    <w:rsid w:val="001E4439"/>
    <w:rsid w:val="001E4C06"/>
    <w:rsid w:val="001E4E3B"/>
    <w:rsid w:val="001E50AA"/>
    <w:rsid w:val="001E55A6"/>
    <w:rsid w:val="001E61B4"/>
    <w:rsid w:val="001E6528"/>
    <w:rsid w:val="001E6646"/>
    <w:rsid w:val="001E6700"/>
    <w:rsid w:val="001E6926"/>
    <w:rsid w:val="001E69AF"/>
    <w:rsid w:val="001E6AD8"/>
    <w:rsid w:val="001E717E"/>
    <w:rsid w:val="001E7422"/>
    <w:rsid w:val="001E74FE"/>
    <w:rsid w:val="001E757C"/>
    <w:rsid w:val="001E75A3"/>
    <w:rsid w:val="001E7B20"/>
    <w:rsid w:val="001F025C"/>
    <w:rsid w:val="001F031E"/>
    <w:rsid w:val="001F07B9"/>
    <w:rsid w:val="001F0E5B"/>
    <w:rsid w:val="001F0F4A"/>
    <w:rsid w:val="001F0FD9"/>
    <w:rsid w:val="001F134C"/>
    <w:rsid w:val="001F1782"/>
    <w:rsid w:val="001F1A62"/>
    <w:rsid w:val="001F1AFE"/>
    <w:rsid w:val="001F1E1E"/>
    <w:rsid w:val="001F20E8"/>
    <w:rsid w:val="001F266D"/>
    <w:rsid w:val="001F2867"/>
    <w:rsid w:val="001F2D36"/>
    <w:rsid w:val="001F32AB"/>
    <w:rsid w:val="001F421D"/>
    <w:rsid w:val="001F4779"/>
    <w:rsid w:val="001F4852"/>
    <w:rsid w:val="001F53C7"/>
    <w:rsid w:val="001F5692"/>
    <w:rsid w:val="001F6221"/>
    <w:rsid w:val="001F6B27"/>
    <w:rsid w:val="001F6B72"/>
    <w:rsid w:val="001F7302"/>
    <w:rsid w:val="001F76DE"/>
    <w:rsid w:val="002004E8"/>
    <w:rsid w:val="0020093B"/>
    <w:rsid w:val="00201537"/>
    <w:rsid w:val="002019CF"/>
    <w:rsid w:val="00201D8E"/>
    <w:rsid w:val="00202549"/>
    <w:rsid w:val="00202559"/>
    <w:rsid w:val="002028E5"/>
    <w:rsid w:val="00202ACE"/>
    <w:rsid w:val="002030A5"/>
    <w:rsid w:val="002030D7"/>
    <w:rsid w:val="0020334D"/>
    <w:rsid w:val="00203436"/>
    <w:rsid w:val="00203C82"/>
    <w:rsid w:val="00203EC5"/>
    <w:rsid w:val="002040DA"/>
    <w:rsid w:val="00204204"/>
    <w:rsid w:val="0020449C"/>
    <w:rsid w:val="00204B7A"/>
    <w:rsid w:val="0020520F"/>
    <w:rsid w:val="0020547A"/>
    <w:rsid w:val="00205C8B"/>
    <w:rsid w:val="00206159"/>
    <w:rsid w:val="002062CB"/>
    <w:rsid w:val="002065F3"/>
    <w:rsid w:val="00206890"/>
    <w:rsid w:val="00206BBE"/>
    <w:rsid w:val="00206EE8"/>
    <w:rsid w:val="00207066"/>
    <w:rsid w:val="002072B2"/>
    <w:rsid w:val="002073AF"/>
    <w:rsid w:val="00207431"/>
    <w:rsid w:val="00207A90"/>
    <w:rsid w:val="002108FD"/>
    <w:rsid w:val="00210A14"/>
    <w:rsid w:val="00210BB6"/>
    <w:rsid w:val="00210BCB"/>
    <w:rsid w:val="00210C79"/>
    <w:rsid w:val="00211383"/>
    <w:rsid w:val="002114C3"/>
    <w:rsid w:val="002116F7"/>
    <w:rsid w:val="00211FAD"/>
    <w:rsid w:val="0021253E"/>
    <w:rsid w:val="0021397C"/>
    <w:rsid w:val="0021431C"/>
    <w:rsid w:val="00215A6B"/>
    <w:rsid w:val="0021603B"/>
    <w:rsid w:val="00216DBA"/>
    <w:rsid w:val="00216F06"/>
    <w:rsid w:val="00216F7B"/>
    <w:rsid w:val="0021752B"/>
    <w:rsid w:val="00217969"/>
    <w:rsid w:val="00217A54"/>
    <w:rsid w:val="00217BF5"/>
    <w:rsid w:val="00217E02"/>
    <w:rsid w:val="00217FC8"/>
    <w:rsid w:val="0022011B"/>
    <w:rsid w:val="002207C2"/>
    <w:rsid w:val="002207D4"/>
    <w:rsid w:val="002209B5"/>
    <w:rsid w:val="00220B3A"/>
    <w:rsid w:val="00220BC7"/>
    <w:rsid w:val="00221071"/>
    <w:rsid w:val="00222E3E"/>
    <w:rsid w:val="00222F28"/>
    <w:rsid w:val="002231A6"/>
    <w:rsid w:val="00223E5A"/>
    <w:rsid w:val="00223F6E"/>
    <w:rsid w:val="00223F7D"/>
    <w:rsid w:val="00223FB0"/>
    <w:rsid w:val="00224107"/>
    <w:rsid w:val="00224207"/>
    <w:rsid w:val="0022426D"/>
    <w:rsid w:val="002244DA"/>
    <w:rsid w:val="00224594"/>
    <w:rsid w:val="00224599"/>
    <w:rsid w:val="00224619"/>
    <w:rsid w:val="00224B60"/>
    <w:rsid w:val="00225A68"/>
    <w:rsid w:val="00225FF2"/>
    <w:rsid w:val="00226EBB"/>
    <w:rsid w:val="00227897"/>
    <w:rsid w:val="00231446"/>
    <w:rsid w:val="002325D1"/>
    <w:rsid w:val="00232CDD"/>
    <w:rsid w:val="002332B9"/>
    <w:rsid w:val="0023375A"/>
    <w:rsid w:val="00233A85"/>
    <w:rsid w:val="00233B1A"/>
    <w:rsid w:val="00233DDC"/>
    <w:rsid w:val="00234258"/>
    <w:rsid w:val="00234638"/>
    <w:rsid w:val="00234EB2"/>
    <w:rsid w:val="0023547C"/>
    <w:rsid w:val="002354D6"/>
    <w:rsid w:val="00235DC2"/>
    <w:rsid w:val="00235E2D"/>
    <w:rsid w:val="00235EB2"/>
    <w:rsid w:val="0023607A"/>
    <w:rsid w:val="002361D5"/>
    <w:rsid w:val="0023686C"/>
    <w:rsid w:val="00236EE9"/>
    <w:rsid w:val="00237108"/>
    <w:rsid w:val="002372B1"/>
    <w:rsid w:val="002376F5"/>
    <w:rsid w:val="00240087"/>
    <w:rsid w:val="0024044C"/>
    <w:rsid w:val="0024071F"/>
    <w:rsid w:val="002408E5"/>
    <w:rsid w:val="00240DA3"/>
    <w:rsid w:val="00241C41"/>
    <w:rsid w:val="00241C68"/>
    <w:rsid w:val="00241C9C"/>
    <w:rsid w:val="00241E89"/>
    <w:rsid w:val="0024239D"/>
    <w:rsid w:val="00242B58"/>
    <w:rsid w:val="00242F2C"/>
    <w:rsid w:val="002435C8"/>
    <w:rsid w:val="002435ED"/>
    <w:rsid w:val="0024378A"/>
    <w:rsid w:val="00243A4E"/>
    <w:rsid w:val="00243CAD"/>
    <w:rsid w:val="00243E7C"/>
    <w:rsid w:val="0024418C"/>
    <w:rsid w:val="002443D8"/>
    <w:rsid w:val="002446E0"/>
    <w:rsid w:val="00244C09"/>
    <w:rsid w:val="002451A4"/>
    <w:rsid w:val="00245485"/>
    <w:rsid w:val="0024560B"/>
    <w:rsid w:val="002456C5"/>
    <w:rsid w:val="00245F51"/>
    <w:rsid w:val="00245F98"/>
    <w:rsid w:val="00246446"/>
    <w:rsid w:val="002468C3"/>
    <w:rsid w:val="00246A9D"/>
    <w:rsid w:val="00246DBA"/>
    <w:rsid w:val="0024719D"/>
    <w:rsid w:val="0024730A"/>
    <w:rsid w:val="002474B8"/>
    <w:rsid w:val="0024758F"/>
    <w:rsid w:val="002478DC"/>
    <w:rsid w:val="002479D9"/>
    <w:rsid w:val="00247B78"/>
    <w:rsid w:val="00247C90"/>
    <w:rsid w:val="00247E05"/>
    <w:rsid w:val="00247E7A"/>
    <w:rsid w:val="00250061"/>
    <w:rsid w:val="0025076D"/>
    <w:rsid w:val="00250B69"/>
    <w:rsid w:val="00250EC3"/>
    <w:rsid w:val="00251A8F"/>
    <w:rsid w:val="00251D2D"/>
    <w:rsid w:val="00251E1D"/>
    <w:rsid w:val="002520EC"/>
    <w:rsid w:val="00252135"/>
    <w:rsid w:val="0025239D"/>
    <w:rsid w:val="00252757"/>
    <w:rsid w:val="00252F04"/>
    <w:rsid w:val="002532C4"/>
    <w:rsid w:val="0025330E"/>
    <w:rsid w:val="00253517"/>
    <w:rsid w:val="00253589"/>
    <w:rsid w:val="002536DA"/>
    <w:rsid w:val="00253B8E"/>
    <w:rsid w:val="00253C1F"/>
    <w:rsid w:val="00253CCC"/>
    <w:rsid w:val="00254068"/>
    <w:rsid w:val="002542FB"/>
    <w:rsid w:val="00254306"/>
    <w:rsid w:val="0025452B"/>
    <w:rsid w:val="00254777"/>
    <w:rsid w:val="0025526B"/>
    <w:rsid w:val="00255A38"/>
    <w:rsid w:val="00255C0C"/>
    <w:rsid w:val="002560C6"/>
    <w:rsid w:val="00256E4B"/>
    <w:rsid w:val="00257868"/>
    <w:rsid w:val="00257C91"/>
    <w:rsid w:val="002601A1"/>
    <w:rsid w:val="002607A3"/>
    <w:rsid w:val="002617D0"/>
    <w:rsid w:val="00261B79"/>
    <w:rsid w:val="00261DC8"/>
    <w:rsid w:val="00261FA0"/>
    <w:rsid w:val="00262390"/>
    <w:rsid w:val="0026282E"/>
    <w:rsid w:val="00262A77"/>
    <w:rsid w:val="0026331B"/>
    <w:rsid w:val="00263AE9"/>
    <w:rsid w:val="00263CDF"/>
    <w:rsid w:val="002641D4"/>
    <w:rsid w:val="0026436A"/>
    <w:rsid w:val="002644CF"/>
    <w:rsid w:val="0026469C"/>
    <w:rsid w:val="002653A0"/>
    <w:rsid w:val="00265467"/>
    <w:rsid w:val="002656A9"/>
    <w:rsid w:val="00265CC1"/>
    <w:rsid w:val="00265D34"/>
    <w:rsid w:val="00265F00"/>
    <w:rsid w:val="00266331"/>
    <w:rsid w:val="002663FB"/>
    <w:rsid w:val="0026647D"/>
    <w:rsid w:val="00266CDE"/>
    <w:rsid w:val="0026707E"/>
    <w:rsid w:val="00267476"/>
    <w:rsid w:val="0026747D"/>
    <w:rsid w:val="00267740"/>
    <w:rsid w:val="002679BE"/>
    <w:rsid w:val="00267AF9"/>
    <w:rsid w:val="00267CB5"/>
    <w:rsid w:val="00267DC7"/>
    <w:rsid w:val="00270805"/>
    <w:rsid w:val="00270DCE"/>
    <w:rsid w:val="00270EE9"/>
    <w:rsid w:val="0027136C"/>
    <w:rsid w:val="00271789"/>
    <w:rsid w:val="002719AF"/>
    <w:rsid w:val="00271B61"/>
    <w:rsid w:val="002722D9"/>
    <w:rsid w:val="00272302"/>
    <w:rsid w:val="00272495"/>
    <w:rsid w:val="00272C5B"/>
    <w:rsid w:val="0027352F"/>
    <w:rsid w:val="0027372A"/>
    <w:rsid w:val="00273A92"/>
    <w:rsid w:val="00273D2F"/>
    <w:rsid w:val="00273E18"/>
    <w:rsid w:val="00273EAF"/>
    <w:rsid w:val="00274A80"/>
    <w:rsid w:val="00274BCC"/>
    <w:rsid w:val="00274D7C"/>
    <w:rsid w:val="00274EA4"/>
    <w:rsid w:val="00274F4B"/>
    <w:rsid w:val="00274F88"/>
    <w:rsid w:val="00275005"/>
    <w:rsid w:val="00275430"/>
    <w:rsid w:val="002754FF"/>
    <w:rsid w:val="0027579B"/>
    <w:rsid w:val="00275B93"/>
    <w:rsid w:val="00275D20"/>
    <w:rsid w:val="00275D49"/>
    <w:rsid w:val="00276772"/>
    <w:rsid w:val="002768AF"/>
    <w:rsid w:val="00277539"/>
    <w:rsid w:val="002777F1"/>
    <w:rsid w:val="002808B6"/>
    <w:rsid w:val="00280D39"/>
    <w:rsid w:val="00280DE5"/>
    <w:rsid w:val="002818ED"/>
    <w:rsid w:val="0028194F"/>
    <w:rsid w:val="00281D13"/>
    <w:rsid w:val="00281D8E"/>
    <w:rsid w:val="00281E41"/>
    <w:rsid w:val="0028208F"/>
    <w:rsid w:val="002825F6"/>
    <w:rsid w:val="00282685"/>
    <w:rsid w:val="00282E3E"/>
    <w:rsid w:val="002831F2"/>
    <w:rsid w:val="002836D5"/>
    <w:rsid w:val="00283AB2"/>
    <w:rsid w:val="00283B6B"/>
    <w:rsid w:val="002840AB"/>
    <w:rsid w:val="00284B04"/>
    <w:rsid w:val="00284C8E"/>
    <w:rsid w:val="00284F40"/>
    <w:rsid w:val="00284FCF"/>
    <w:rsid w:val="002851AD"/>
    <w:rsid w:val="00285559"/>
    <w:rsid w:val="00285A60"/>
    <w:rsid w:val="00285CE3"/>
    <w:rsid w:val="00286102"/>
    <w:rsid w:val="0028625F"/>
    <w:rsid w:val="002863BD"/>
    <w:rsid w:val="002869D6"/>
    <w:rsid w:val="00286BB3"/>
    <w:rsid w:val="00286BE1"/>
    <w:rsid w:val="00286CF3"/>
    <w:rsid w:val="002870DC"/>
    <w:rsid w:val="002872C4"/>
    <w:rsid w:val="00287B9C"/>
    <w:rsid w:val="00287BF0"/>
    <w:rsid w:val="00287E0E"/>
    <w:rsid w:val="00287F3A"/>
    <w:rsid w:val="00290CAA"/>
    <w:rsid w:val="00291E38"/>
    <w:rsid w:val="00291E5A"/>
    <w:rsid w:val="002921D5"/>
    <w:rsid w:val="00292361"/>
    <w:rsid w:val="00292467"/>
    <w:rsid w:val="00292995"/>
    <w:rsid w:val="00292CD4"/>
    <w:rsid w:val="00292F0C"/>
    <w:rsid w:val="00292F19"/>
    <w:rsid w:val="00292F32"/>
    <w:rsid w:val="00293045"/>
    <w:rsid w:val="002930D8"/>
    <w:rsid w:val="00293114"/>
    <w:rsid w:val="002932D6"/>
    <w:rsid w:val="00293395"/>
    <w:rsid w:val="0029349D"/>
    <w:rsid w:val="00293B9C"/>
    <w:rsid w:val="00294297"/>
    <w:rsid w:val="0029465C"/>
    <w:rsid w:val="0029479A"/>
    <w:rsid w:val="00294AE3"/>
    <w:rsid w:val="002951E5"/>
    <w:rsid w:val="00295944"/>
    <w:rsid w:val="00295B68"/>
    <w:rsid w:val="00295F5A"/>
    <w:rsid w:val="00296957"/>
    <w:rsid w:val="00296BCD"/>
    <w:rsid w:val="00297A20"/>
    <w:rsid w:val="00297A44"/>
    <w:rsid w:val="00297A83"/>
    <w:rsid w:val="002A01F4"/>
    <w:rsid w:val="002A07CA"/>
    <w:rsid w:val="002A0F52"/>
    <w:rsid w:val="002A12EE"/>
    <w:rsid w:val="002A18B7"/>
    <w:rsid w:val="002A1C8C"/>
    <w:rsid w:val="002A1D5E"/>
    <w:rsid w:val="002A1FBD"/>
    <w:rsid w:val="002A2458"/>
    <w:rsid w:val="002A2764"/>
    <w:rsid w:val="002A33E0"/>
    <w:rsid w:val="002A340E"/>
    <w:rsid w:val="002A3437"/>
    <w:rsid w:val="002A363D"/>
    <w:rsid w:val="002A3CCA"/>
    <w:rsid w:val="002A3D1D"/>
    <w:rsid w:val="002A4239"/>
    <w:rsid w:val="002A42DD"/>
    <w:rsid w:val="002A4391"/>
    <w:rsid w:val="002A46CC"/>
    <w:rsid w:val="002A519B"/>
    <w:rsid w:val="002A51C9"/>
    <w:rsid w:val="002A5399"/>
    <w:rsid w:val="002A56BA"/>
    <w:rsid w:val="002A589A"/>
    <w:rsid w:val="002A593A"/>
    <w:rsid w:val="002A5CCD"/>
    <w:rsid w:val="002A5CF6"/>
    <w:rsid w:val="002A61E2"/>
    <w:rsid w:val="002A65ED"/>
    <w:rsid w:val="002A682B"/>
    <w:rsid w:val="002A693C"/>
    <w:rsid w:val="002A6BA7"/>
    <w:rsid w:val="002A6E5F"/>
    <w:rsid w:val="002A6E75"/>
    <w:rsid w:val="002A71C0"/>
    <w:rsid w:val="002A779C"/>
    <w:rsid w:val="002A7C4E"/>
    <w:rsid w:val="002B068B"/>
    <w:rsid w:val="002B086F"/>
    <w:rsid w:val="002B13B5"/>
    <w:rsid w:val="002B1481"/>
    <w:rsid w:val="002B1657"/>
    <w:rsid w:val="002B1B57"/>
    <w:rsid w:val="002B1FAE"/>
    <w:rsid w:val="002B26AF"/>
    <w:rsid w:val="002B28A5"/>
    <w:rsid w:val="002B2EAC"/>
    <w:rsid w:val="002B329D"/>
    <w:rsid w:val="002B351F"/>
    <w:rsid w:val="002B37B4"/>
    <w:rsid w:val="002B408A"/>
    <w:rsid w:val="002B4280"/>
    <w:rsid w:val="002B4BBE"/>
    <w:rsid w:val="002B4DDD"/>
    <w:rsid w:val="002B5A5C"/>
    <w:rsid w:val="002B61D6"/>
    <w:rsid w:val="002B6FF6"/>
    <w:rsid w:val="002B7E4D"/>
    <w:rsid w:val="002C0202"/>
    <w:rsid w:val="002C0723"/>
    <w:rsid w:val="002C0A86"/>
    <w:rsid w:val="002C0ADD"/>
    <w:rsid w:val="002C166F"/>
    <w:rsid w:val="002C193E"/>
    <w:rsid w:val="002C2530"/>
    <w:rsid w:val="002C285E"/>
    <w:rsid w:val="002C2B2F"/>
    <w:rsid w:val="002C2C8F"/>
    <w:rsid w:val="002C3487"/>
    <w:rsid w:val="002C36A7"/>
    <w:rsid w:val="002C37E6"/>
    <w:rsid w:val="002C3DFA"/>
    <w:rsid w:val="002C4479"/>
    <w:rsid w:val="002C448C"/>
    <w:rsid w:val="002C44BE"/>
    <w:rsid w:val="002C483C"/>
    <w:rsid w:val="002C4AFF"/>
    <w:rsid w:val="002C4FA5"/>
    <w:rsid w:val="002C509F"/>
    <w:rsid w:val="002C5119"/>
    <w:rsid w:val="002C5340"/>
    <w:rsid w:val="002C571B"/>
    <w:rsid w:val="002C6205"/>
    <w:rsid w:val="002C6C20"/>
    <w:rsid w:val="002C76F6"/>
    <w:rsid w:val="002C7A01"/>
    <w:rsid w:val="002C7D2D"/>
    <w:rsid w:val="002D0801"/>
    <w:rsid w:val="002D09B6"/>
    <w:rsid w:val="002D0B9D"/>
    <w:rsid w:val="002D0CD3"/>
    <w:rsid w:val="002D0D27"/>
    <w:rsid w:val="002D1096"/>
    <w:rsid w:val="002D12EA"/>
    <w:rsid w:val="002D1421"/>
    <w:rsid w:val="002D200E"/>
    <w:rsid w:val="002D29FA"/>
    <w:rsid w:val="002D2A8B"/>
    <w:rsid w:val="002D331B"/>
    <w:rsid w:val="002D33F9"/>
    <w:rsid w:val="002D3520"/>
    <w:rsid w:val="002D36D9"/>
    <w:rsid w:val="002D3978"/>
    <w:rsid w:val="002D3D6E"/>
    <w:rsid w:val="002D4A59"/>
    <w:rsid w:val="002D4F6D"/>
    <w:rsid w:val="002D5103"/>
    <w:rsid w:val="002D5379"/>
    <w:rsid w:val="002D5846"/>
    <w:rsid w:val="002D5B56"/>
    <w:rsid w:val="002D63C3"/>
    <w:rsid w:val="002D669F"/>
    <w:rsid w:val="002D6750"/>
    <w:rsid w:val="002D70AE"/>
    <w:rsid w:val="002D7569"/>
    <w:rsid w:val="002D7C14"/>
    <w:rsid w:val="002E024B"/>
    <w:rsid w:val="002E03ED"/>
    <w:rsid w:val="002E05A3"/>
    <w:rsid w:val="002E071B"/>
    <w:rsid w:val="002E090C"/>
    <w:rsid w:val="002E09E8"/>
    <w:rsid w:val="002E0BB8"/>
    <w:rsid w:val="002E10D3"/>
    <w:rsid w:val="002E1771"/>
    <w:rsid w:val="002E1939"/>
    <w:rsid w:val="002E1A08"/>
    <w:rsid w:val="002E1A0E"/>
    <w:rsid w:val="002E1F23"/>
    <w:rsid w:val="002E21C2"/>
    <w:rsid w:val="002E2E45"/>
    <w:rsid w:val="002E2EB8"/>
    <w:rsid w:val="002E384C"/>
    <w:rsid w:val="002E3DD7"/>
    <w:rsid w:val="002E43F6"/>
    <w:rsid w:val="002E479F"/>
    <w:rsid w:val="002E4D33"/>
    <w:rsid w:val="002E4FFD"/>
    <w:rsid w:val="002E5B83"/>
    <w:rsid w:val="002E5C11"/>
    <w:rsid w:val="002E5D36"/>
    <w:rsid w:val="002E673C"/>
    <w:rsid w:val="002E6A77"/>
    <w:rsid w:val="002E6B9D"/>
    <w:rsid w:val="002E6CED"/>
    <w:rsid w:val="002E70B1"/>
    <w:rsid w:val="002E7380"/>
    <w:rsid w:val="002E741C"/>
    <w:rsid w:val="002E7AA0"/>
    <w:rsid w:val="002E7DA6"/>
    <w:rsid w:val="002E7E1C"/>
    <w:rsid w:val="002E7E9D"/>
    <w:rsid w:val="002F00B9"/>
    <w:rsid w:val="002F0418"/>
    <w:rsid w:val="002F05C1"/>
    <w:rsid w:val="002F0910"/>
    <w:rsid w:val="002F0E4C"/>
    <w:rsid w:val="002F103B"/>
    <w:rsid w:val="002F161D"/>
    <w:rsid w:val="002F1B25"/>
    <w:rsid w:val="002F1D0A"/>
    <w:rsid w:val="002F2ED7"/>
    <w:rsid w:val="002F3379"/>
    <w:rsid w:val="002F33DF"/>
    <w:rsid w:val="002F46BE"/>
    <w:rsid w:val="002F4821"/>
    <w:rsid w:val="002F4933"/>
    <w:rsid w:val="002F4C58"/>
    <w:rsid w:val="002F4D30"/>
    <w:rsid w:val="002F4EFA"/>
    <w:rsid w:val="002F504B"/>
    <w:rsid w:val="002F5379"/>
    <w:rsid w:val="002F6504"/>
    <w:rsid w:val="002F6681"/>
    <w:rsid w:val="002F6B27"/>
    <w:rsid w:val="002F72C5"/>
    <w:rsid w:val="002F7474"/>
    <w:rsid w:val="002F79C9"/>
    <w:rsid w:val="002F7B2F"/>
    <w:rsid w:val="002F7BB2"/>
    <w:rsid w:val="002F7FC5"/>
    <w:rsid w:val="003004CA"/>
    <w:rsid w:val="00300636"/>
    <w:rsid w:val="00300B19"/>
    <w:rsid w:val="00300D58"/>
    <w:rsid w:val="00300E9F"/>
    <w:rsid w:val="0030224C"/>
    <w:rsid w:val="003025D7"/>
    <w:rsid w:val="00302D24"/>
    <w:rsid w:val="00302DD4"/>
    <w:rsid w:val="00302EDB"/>
    <w:rsid w:val="00302F19"/>
    <w:rsid w:val="00302FD8"/>
    <w:rsid w:val="00303050"/>
    <w:rsid w:val="0030322C"/>
    <w:rsid w:val="003039E9"/>
    <w:rsid w:val="00303CD3"/>
    <w:rsid w:val="003040A5"/>
    <w:rsid w:val="00304373"/>
    <w:rsid w:val="003047F2"/>
    <w:rsid w:val="00304874"/>
    <w:rsid w:val="00304877"/>
    <w:rsid w:val="00304A56"/>
    <w:rsid w:val="00304B5B"/>
    <w:rsid w:val="00304BE8"/>
    <w:rsid w:val="00305171"/>
    <w:rsid w:val="003064A9"/>
    <w:rsid w:val="00306595"/>
    <w:rsid w:val="00306B9E"/>
    <w:rsid w:val="00307591"/>
    <w:rsid w:val="00310257"/>
    <w:rsid w:val="003107FD"/>
    <w:rsid w:val="0031106A"/>
    <w:rsid w:val="003115C2"/>
    <w:rsid w:val="0031232F"/>
    <w:rsid w:val="00312FB5"/>
    <w:rsid w:val="00313EA3"/>
    <w:rsid w:val="00315BBE"/>
    <w:rsid w:val="003166DE"/>
    <w:rsid w:val="003169BD"/>
    <w:rsid w:val="00316A14"/>
    <w:rsid w:val="00316ED5"/>
    <w:rsid w:val="003172FB"/>
    <w:rsid w:val="0031749C"/>
    <w:rsid w:val="003174C6"/>
    <w:rsid w:val="003176E8"/>
    <w:rsid w:val="00317708"/>
    <w:rsid w:val="00320026"/>
    <w:rsid w:val="0032034E"/>
    <w:rsid w:val="0032049D"/>
    <w:rsid w:val="00320818"/>
    <w:rsid w:val="00320D98"/>
    <w:rsid w:val="00321D0F"/>
    <w:rsid w:val="0032228F"/>
    <w:rsid w:val="003229BA"/>
    <w:rsid w:val="00322D85"/>
    <w:rsid w:val="00322E52"/>
    <w:rsid w:val="00323745"/>
    <w:rsid w:val="0032378F"/>
    <w:rsid w:val="00324388"/>
    <w:rsid w:val="00324A08"/>
    <w:rsid w:val="00324B53"/>
    <w:rsid w:val="003255D4"/>
    <w:rsid w:val="003257CB"/>
    <w:rsid w:val="00326064"/>
    <w:rsid w:val="00326EE0"/>
    <w:rsid w:val="00327DB0"/>
    <w:rsid w:val="003300D8"/>
    <w:rsid w:val="00330468"/>
    <w:rsid w:val="0033065C"/>
    <w:rsid w:val="00330DE7"/>
    <w:rsid w:val="00330EDA"/>
    <w:rsid w:val="00330F58"/>
    <w:rsid w:val="00330FE7"/>
    <w:rsid w:val="00331064"/>
    <w:rsid w:val="00331604"/>
    <w:rsid w:val="0033182A"/>
    <w:rsid w:val="00332812"/>
    <w:rsid w:val="00332CA9"/>
    <w:rsid w:val="003337A3"/>
    <w:rsid w:val="00333A7C"/>
    <w:rsid w:val="00333B88"/>
    <w:rsid w:val="0033428B"/>
    <w:rsid w:val="00334BEE"/>
    <w:rsid w:val="00334D44"/>
    <w:rsid w:val="00335124"/>
    <w:rsid w:val="003351CB"/>
    <w:rsid w:val="003353BF"/>
    <w:rsid w:val="00335CA5"/>
    <w:rsid w:val="00335CBC"/>
    <w:rsid w:val="00335D54"/>
    <w:rsid w:val="00336838"/>
    <w:rsid w:val="00336D9E"/>
    <w:rsid w:val="003400B3"/>
    <w:rsid w:val="00340123"/>
    <w:rsid w:val="00341371"/>
    <w:rsid w:val="0034168D"/>
    <w:rsid w:val="00341B0B"/>
    <w:rsid w:val="00341D57"/>
    <w:rsid w:val="00342112"/>
    <w:rsid w:val="003427D9"/>
    <w:rsid w:val="00342CC8"/>
    <w:rsid w:val="00342D80"/>
    <w:rsid w:val="0034312A"/>
    <w:rsid w:val="00343379"/>
    <w:rsid w:val="00343AB2"/>
    <w:rsid w:val="00343B7B"/>
    <w:rsid w:val="00343F32"/>
    <w:rsid w:val="0034421E"/>
    <w:rsid w:val="00344CA9"/>
    <w:rsid w:val="00344E6D"/>
    <w:rsid w:val="00345674"/>
    <w:rsid w:val="003460C1"/>
    <w:rsid w:val="003462A5"/>
    <w:rsid w:val="00346622"/>
    <w:rsid w:val="003469A6"/>
    <w:rsid w:val="00346B6C"/>
    <w:rsid w:val="00346F68"/>
    <w:rsid w:val="00347708"/>
    <w:rsid w:val="0034790B"/>
    <w:rsid w:val="00350105"/>
    <w:rsid w:val="0035032C"/>
    <w:rsid w:val="003505D5"/>
    <w:rsid w:val="0035127F"/>
    <w:rsid w:val="003516BC"/>
    <w:rsid w:val="003516C0"/>
    <w:rsid w:val="00351862"/>
    <w:rsid w:val="00351952"/>
    <w:rsid w:val="00351CB3"/>
    <w:rsid w:val="00351D98"/>
    <w:rsid w:val="00352746"/>
    <w:rsid w:val="00352940"/>
    <w:rsid w:val="00352A55"/>
    <w:rsid w:val="00352DD1"/>
    <w:rsid w:val="00353C35"/>
    <w:rsid w:val="00354391"/>
    <w:rsid w:val="0035456F"/>
    <w:rsid w:val="0035473E"/>
    <w:rsid w:val="0035483E"/>
    <w:rsid w:val="00355226"/>
    <w:rsid w:val="0035526E"/>
    <w:rsid w:val="0035539D"/>
    <w:rsid w:val="003561EF"/>
    <w:rsid w:val="00356263"/>
    <w:rsid w:val="003566DF"/>
    <w:rsid w:val="0035770B"/>
    <w:rsid w:val="00357A1E"/>
    <w:rsid w:val="00357B41"/>
    <w:rsid w:val="00357E8B"/>
    <w:rsid w:val="00360945"/>
    <w:rsid w:val="00361B8C"/>
    <w:rsid w:val="003622B9"/>
    <w:rsid w:val="003624D1"/>
    <w:rsid w:val="0036255E"/>
    <w:rsid w:val="0036256A"/>
    <w:rsid w:val="00363510"/>
    <w:rsid w:val="00363673"/>
    <w:rsid w:val="00363CDF"/>
    <w:rsid w:val="003649B0"/>
    <w:rsid w:val="00364A14"/>
    <w:rsid w:val="00364EFE"/>
    <w:rsid w:val="00365907"/>
    <w:rsid w:val="00365A43"/>
    <w:rsid w:val="003662F7"/>
    <w:rsid w:val="0036686B"/>
    <w:rsid w:val="003674E6"/>
    <w:rsid w:val="00367625"/>
    <w:rsid w:val="00367805"/>
    <w:rsid w:val="0037006A"/>
    <w:rsid w:val="00370428"/>
    <w:rsid w:val="00370492"/>
    <w:rsid w:val="003715A2"/>
    <w:rsid w:val="003716E5"/>
    <w:rsid w:val="003728BB"/>
    <w:rsid w:val="00372DCF"/>
    <w:rsid w:val="00373225"/>
    <w:rsid w:val="00373908"/>
    <w:rsid w:val="00373D4F"/>
    <w:rsid w:val="00373EEE"/>
    <w:rsid w:val="00373FB3"/>
    <w:rsid w:val="0037437C"/>
    <w:rsid w:val="003744CE"/>
    <w:rsid w:val="00374506"/>
    <w:rsid w:val="003748FC"/>
    <w:rsid w:val="00374942"/>
    <w:rsid w:val="00374F7F"/>
    <w:rsid w:val="003750E7"/>
    <w:rsid w:val="00375382"/>
    <w:rsid w:val="0037551C"/>
    <w:rsid w:val="0037625D"/>
    <w:rsid w:val="0037728C"/>
    <w:rsid w:val="0037761B"/>
    <w:rsid w:val="00377862"/>
    <w:rsid w:val="003802F5"/>
    <w:rsid w:val="00381213"/>
    <w:rsid w:val="00381585"/>
    <w:rsid w:val="003815F4"/>
    <w:rsid w:val="003819F1"/>
    <w:rsid w:val="00382170"/>
    <w:rsid w:val="00382230"/>
    <w:rsid w:val="003822FC"/>
    <w:rsid w:val="00382409"/>
    <w:rsid w:val="00382D1B"/>
    <w:rsid w:val="00383367"/>
    <w:rsid w:val="0038361D"/>
    <w:rsid w:val="00383AEB"/>
    <w:rsid w:val="00383B44"/>
    <w:rsid w:val="00383B5C"/>
    <w:rsid w:val="00383F1A"/>
    <w:rsid w:val="00384032"/>
    <w:rsid w:val="003840D5"/>
    <w:rsid w:val="00384458"/>
    <w:rsid w:val="00384577"/>
    <w:rsid w:val="00384B61"/>
    <w:rsid w:val="00384BD0"/>
    <w:rsid w:val="00385027"/>
    <w:rsid w:val="003851E8"/>
    <w:rsid w:val="00385473"/>
    <w:rsid w:val="00385B14"/>
    <w:rsid w:val="00385B93"/>
    <w:rsid w:val="00385F74"/>
    <w:rsid w:val="00386817"/>
    <w:rsid w:val="00386F9D"/>
    <w:rsid w:val="003870C5"/>
    <w:rsid w:val="003873E0"/>
    <w:rsid w:val="00387BCF"/>
    <w:rsid w:val="00387EC0"/>
    <w:rsid w:val="003900AE"/>
    <w:rsid w:val="0039088E"/>
    <w:rsid w:val="00391528"/>
    <w:rsid w:val="00391857"/>
    <w:rsid w:val="00392042"/>
    <w:rsid w:val="0039260F"/>
    <w:rsid w:val="00392A45"/>
    <w:rsid w:val="00392A80"/>
    <w:rsid w:val="00392DBD"/>
    <w:rsid w:val="00393392"/>
    <w:rsid w:val="00393939"/>
    <w:rsid w:val="00394901"/>
    <w:rsid w:val="00394F16"/>
    <w:rsid w:val="00395339"/>
    <w:rsid w:val="00395373"/>
    <w:rsid w:val="00395B6E"/>
    <w:rsid w:val="00395BC1"/>
    <w:rsid w:val="00396317"/>
    <w:rsid w:val="0039649D"/>
    <w:rsid w:val="003966E1"/>
    <w:rsid w:val="00397041"/>
    <w:rsid w:val="00397A5B"/>
    <w:rsid w:val="00397E6E"/>
    <w:rsid w:val="00397F87"/>
    <w:rsid w:val="00397FAA"/>
    <w:rsid w:val="003A03D4"/>
    <w:rsid w:val="003A044A"/>
    <w:rsid w:val="003A099F"/>
    <w:rsid w:val="003A0C06"/>
    <w:rsid w:val="003A11F4"/>
    <w:rsid w:val="003A1637"/>
    <w:rsid w:val="003A1E41"/>
    <w:rsid w:val="003A1EE3"/>
    <w:rsid w:val="003A2073"/>
    <w:rsid w:val="003A2358"/>
    <w:rsid w:val="003A2701"/>
    <w:rsid w:val="003A2A1E"/>
    <w:rsid w:val="003A2CFD"/>
    <w:rsid w:val="003A3860"/>
    <w:rsid w:val="003A3AAF"/>
    <w:rsid w:val="003A413B"/>
    <w:rsid w:val="003A43AB"/>
    <w:rsid w:val="003A4761"/>
    <w:rsid w:val="003A499F"/>
    <w:rsid w:val="003A4F72"/>
    <w:rsid w:val="003A5C1B"/>
    <w:rsid w:val="003A5DDC"/>
    <w:rsid w:val="003A6368"/>
    <w:rsid w:val="003A6468"/>
    <w:rsid w:val="003A65BE"/>
    <w:rsid w:val="003A685C"/>
    <w:rsid w:val="003A6EE2"/>
    <w:rsid w:val="003A76B7"/>
    <w:rsid w:val="003A793D"/>
    <w:rsid w:val="003A7A20"/>
    <w:rsid w:val="003A7C71"/>
    <w:rsid w:val="003B0545"/>
    <w:rsid w:val="003B0755"/>
    <w:rsid w:val="003B08EE"/>
    <w:rsid w:val="003B15A9"/>
    <w:rsid w:val="003B1987"/>
    <w:rsid w:val="003B1DF3"/>
    <w:rsid w:val="003B1DFC"/>
    <w:rsid w:val="003B2484"/>
    <w:rsid w:val="003B302C"/>
    <w:rsid w:val="003B310C"/>
    <w:rsid w:val="003B338B"/>
    <w:rsid w:val="003B3640"/>
    <w:rsid w:val="003B37AC"/>
    <w:rsid w:val="003B3A84"/>
    <w:rsid w:val="003B4561"/>
    <w:rsid w:val="003B4786"/>
    <w:rsid w:val="003B4CA1"/>
    <w:rsid w:val="003B4ED7"/>
    <w:rsid w:val="003B55BC"/>
    <w:rsid w:val="003B5731"/>
    <w:rsid w:val="003B59B0"/>
    <w:rsid w:val="003B5F3C"/>
    <w:rsid w:val="003B60D5"/>
    <w:rsid w:val="003B6B2A"/>
    <w:rsid w:val="003B6E88"/>
    <w:rsid w:val="003B78C9"/>
    <w:rsid w:val="003B7A6C"/>
    <w:rsid w:val="003C00D4"/>
    <w:rsid w:val="003C18FA"/>
    <w:rsid w:val="003C1C51"/>
    <w:rsid w:val="003C2318"/>
    <w:rsid w:val="003C3209"/>
    <w:rsid w:val="003C4B02"/>
    <w:rsid w:val="003C512D"/>
    <w:rsid w:val="003C518C"/>
    <w:rsid w:val="003C52FD"/>
    <w:rsid w:val="003C56B2"/>
    <w:rsid w:val="003C57B8"/>
    <w:rsid w:val="003C5BBB"/>
    <w:rsid w:val="003C5DB7"/>
    <w:rsid w:val="003C6087"/>
    <w:rsid w:val="003C609C"/>
    <w:rsid w:val="003C6ABF"/>
    <w:rsid w:val="003C6F65"/>
    <w:rsid w:val="003C70AD"/>
    <w:rsid w:val="003C71CC"/>
    <w:rsid w:val="003C75EE"/>
    <w:rsid w:val="003D03A1"/>
    <w:rsid w:val="003D0466"/>
    <w:rsid w:val="003D0A95"/>
    <w:rsid w:val="003D0E66"/>
    <w:rsid w:val="003D11B9"/>
    <w:rsid w:val="003D14A2"/>
    <w:rsid w:val="003D15DD"/>
    <w:rsid w:val="003D1AA1"/>
    <w:rsid w:val="003D1C42"/>
    <w:rsid w:val="003D1E6C"/>
    <w:rsid w:val="003D1F02"/>
    <w:rsid w:val="003D1F67"/>
    <w:rsid w:val="003D23CB"/>
    <w:rsid w:val="003D2439"/>
    <w:rsid w:val="003D2634"/>
    <w:rsid w:val="003D266F"/>
    <w:rsid w:val="003D2C16"/>
    <w:rsid w:val="003D30F4"/>
    <w:rsid w:val="003D31EB"/>
    <w:rsid w:val="003D337F"/>
    <w:rsid w:val="003D3817"/>
    <w:rsid w:val="003D3905"/>
    <w:rsid w:val="003D44EE"/>
    <w:rsid w:val="003D470B"/>
    <w:rsid w:val="003D4DA9"/>
    <w:rsid w:val="003D5F66"/>
    <w:rsid w:val="003D7270"/>
    <w:rsid w:val="003D7703"/>
    <w:rsid w:val="003D773F"/>
    <w:rsid w:val="003D7769"/>
    <w:rsid w:val="003E01DD"/>
    <w:rsid w:val="003E085C"/>
    <w:rsid w:val="003E0C7B"/>
    <w:rsid w:val="003E122B"/>
    <w:rsid w:val="003E150B"/>
    <w:rsid w:val="003E1573"/>
    <w:rsid w:val="003E1801"/>
    <w:rsid w:val="003E1F72"/>
    <w:rsid w:val="003E202B"/>
    <w:rsid w:val="003E206F"/>
    <w:rsid w:val="003E20EB"/>
    <w:rsid w:val="003E2358"/>
    <w:rsid w:val="003E2AC2"/>
    <w:rsid w:val="003E2B8D"/>
    <w:rsid w:val="003E32AF"/>
    <w:rsid w:val="003E4056"/>
    <w:rsid w:val="003E44DD"/>
    <w:rsid w:val="003E4BF1"/>
    <w:rsid w:val="003E4E17"/>
    <w:rsid w:val="003E4E3F"/>
    <w:rsid w:val="003E5E4C"/>
    <w:rsid w:val="003E6263"/>
    <w:rsid w:val="003E63A8"/>
    <w:rsid w:val="003E6736"/>
    <w:rsid w:val="003E6ECF"/>
    <w:rsid w:val="003E721F"/>
    <w:rsid w:val="003E7668"/>
    <w:rsid w:val="003E7D23"/>
    <w:rsid w:val="003E7F9F"/>
    <w:rsid w:val="003F0634"/>
    <w:rsid w:val="003F065D"/>
    <w:rsid w:val="003F0725"/>
    <w:rsid w:val="003F0799"/>
    <w:rsid w:val="003F09EA"/>
    <w:rsid w:val="003F0AF9"/>
    <w:rsid w:val="003F17C0"/>
    <w:rsid w:val="003F1A1B"/>
    <w:rsid w:val="003F1B6C"/>
    <w:rsid w:val="003F25E8"/>
    <w:rsid w:val="003F2EDE"/>
    <w:rsid w:val="003F32D8"/>
    <w:rsid w:val="003F3B7F"/>
    <w:rsid w:val="003F3EAC"/>
    <w:rsid w:val="003F40DC"/>
    <w:rsid w:val="003F40E6"/>
    <w:rsid w:val="003F46AB"/>
    <w:rsid w:val="003F4840"/>
    <w:rsid w:val="003F4D16"/>
    <w:rsid w:val="003F4FE4"/>
    <w:rsid w:val="003F548B"/>
    <w:rsid w:val="003F55FD"/>
    <w:rsid w:val="003F5D2A"/>
    <w:rsid w:val="003F5D2B"/>
    <w:rsid w:val="003F62CF"/>
    <w:rsid w:val="003F63D3"/>
    <w:rsid w:val="003F655E"/>
    <w:rsid w:val="003F65CD"/>
    <w:rsid w:val="003F6845"/>
    <w:rsid w:val="003F7E09"/>
    <w:rsid w:val="004005D3"/>
    <w:rsid w:val="004018C5"/>
    <w:rsid w:val="00401C19"/>
    <w:rsid w:val="004020F8"/>
    <w:rsid w:val="004026A2"/>
    <w:rsid w:val="004027BC"/>
    <w:rsid w:val="0040324D"/>
    <w:rsid w:val="004037CC"/>
    <w:rsid w:val="004038A7"/>
    <w:rsid w:val="004041D8"/>
    <w:rsid w:val="0040423A"/>
    <w:rsid w:val="004042F3"/>
    <w:rsid w:val="00404318"/>
    <w:rsid w:val="004043A7"/>
    <w:rsid w:val="0040440C"/>
    <w:rsid w:val="0040464C"/>
    <w:rsid w:val="004057AD"/>
    <w:rsid w:val="004058B5"/>
    <w:rsid w:val="0040591A"/>
    <w:rsid w:val="00405EFD"/>
    <w:rsid w:val="00405F0F"/>
    <w:rsid w:val="0040619D"/>
    <w:rsid w:val="00406365"/>
    <w:rsid w:val="004064CF"/>
    <w:rsid w:val="004067CC"/>
    <w:rsid w:val="004067F7"/>
    <w:rsid w:val="00406A30"/>
    <w:rsid w:val="00406C19"/>
    <w:rsid w:val="00407991"/>
    <w:rsid w:val="00410346"/>
    <w:rsid w:val="00410E58"/>
    <w:rsid w:val="004110C1"/>
    <w:rsid w:val="004112B7"/>
    <w:rsid w:val="00411A12"/>
    <w:rsid w:val="00411D9F"/>
    <w:rsid w:val="00412021"/>
    <w:rsid w:val="004123B8"/>
    <w:rsid w:val="004123EF"/>
    <w:rsid w:val="00412600"/>
    <w:rsid w:val="00412BFB"/>
    <w:rsid w:val="00412FCD"/>
    <w:rsid w:val="00413029"/>
    <w:rsid w:val="0041309E"/>
    <w:rsid w:val="004133C8"/>
    <w:rsid w:val="00413AC0"/>
    <w:rsid w:val="00413B4A"/>
    <w:rsid w:val="00414801"/>
    <w:rsid w:val="00414803"/>
    <w:rsid w:val="00414859"/>
    <w:rsid w:val="00414BFD"/>
    <w:rsid w:val="00414E1F"/>
    <w:rsid w:val="00414E78"/>
    <w:rsid w:val="004152DC"/>
    <w:rsid w:val="004154FA"/>
    <w:rsid w:val="00415AAC"/>
    <w:rsid w:val="00415C94"/>
    <w:rsid w:val="00415CAB"/>
    <w:rsid w:val="00416ABD"/>
    <w:rsid w:val="00416EA9"/>
    <w:rsid w:val="00417262"/>
    <w:rsid w:val="00417298"/>
    <w:rsid w:val="00417F45"/>
    <w:rsid w:val="00417F95"/>
    <w:rsid w:val="00420122"/>
    <w:rsid w:val="00420141"/>
    <w:rsid w:val="0042024E"/>
    <w:rsid w:val="00420471"/>
    <w:rsid w:val="0042047B"/>
    <w:rsid w:val="004205C7"/>
    <w:rsid w:val="0042091D"/>
    <w:rsid w:val="00420AAE"/>
    <w:rsid w:val="00420E52"/>
    <w:rsid w:val="004210E6"/>
    <w:rsid w:val="0042194E"/>
    <w:rsid w:val="00421CA6"/>
    <w:rsid w:val="004226E6"/>
    <w:rsid w:val="00422AB2"/>
    <w:rsid w:val="00423451"/>
    <w:rsid w:val="004236A6"/>
    <w:rsid w:val="004237B6"/>
    <w:rsid w:val="004237C1"/>
    <w:rsid w:val="00423F40"/>
    <w:rsid w:val="0042416A"/>
    <w:rsid w:val="00424261"/>
    <w:rsid w:val="004246B5"/>
    <w:rsid w:val="004246E2"/>
    <w:rsid w:val="00424805"/>
    <w:rsid w:val="00424E24"/>
    <w:rsid w:val="00425255"/>
    <w:rsid w:val="004256D2"/>
    <w:rsid w:val="00425C36"/>
    <w:rsid w:val="00425C84"/>
    <w:rsid w:val="00425D01"/>
    <w:rsid w:val="00425D62"/>
    <w:rsid w:val="004264C7"/>
    <w:rsid w:val="004267D3"/>
    <w:rsid w:val="00426987"/>
    <w:rsid w:val="00427538"/>
    <w:rsid w:val="004279FA"/>
    <w:rsid w:val="00430400"/>
    <w:rsid w:val="0043073C"/>
    <w:rsid w:val="004309C7"/>
    <w:rsid w:val="00431FC7"/>
    <w:rsid w:val="00431FFE"/>
    <w:rsid w:val="004323EB"/>
    <w:rsid w:val="004332B7"/>
    <w:rsid w:val="00433610"/>
    <w:rsid w:val="004337ED"/>
    <w:rsid w:val="00433EF0"/>
    <w:rsid w:val="00434599"/>
    <w:rsid w:val="00434719"/>
    <w:rsid w:val="004347B2"/>
    <w:rsid w:val="00434A0B"/>
    <w:rsid w:val="00434F14"/>
    <w:rsid w:val="004352B2"/>
    <w:rsid w:val="004352CC"/>
    <w:rsid w:val="00435631"/>
    <w:rsid w:val="00435A30"/>
    <w:rsid w:val="00435F5A"/>
    <w:rsid w:val="00436109"/>
    <w:rsid w:val="00436272"/>
    <w:rsid w:val="0043635A"/>
    <w:rsid w:val="00436E15"/>
    <w:rsid w:val="0043705A"/>
    <w:rsid w:val="00437930"/>
    <w:rsid w:val="00437E19"/>
    <w:rsid w:val="00437E3F"/>
    <w:rsid w:val="004400D9"/>
    <w:rsid w:val="0044012E"/>
    <w:rsid w:val="004408B5"/>
    <w:rsid w:val="00440BCC"/>
    <w:rsid w:val="00441186"/>
    <w:rsid w:val="00441EA8"/>
    <w:rsid w:val="004428BC"/>
    <w:rsid w:val="00442941"/>
    <w:rsid w:val="004429D6"/>
    <w:rsid w:val="00442F03"/>
    <w:rsid w:val="004437FE"/>
    <w:rsid w:val="00443934"/>
    <w:rsid w:val="004439CB"/>
    <w:rsid w:val="00444236"/>
    <w:rsid w:val="004444EA"/>
    <w:rsid w:val="00445183"/>
    <w:rsid w:val="004455D7"/>
    <w:rsid w:val="0044583A"/>
    <w:rsid w:val="00445E33"/>
    <w:rsid w:val="004469D2"/>
    <w:rsid w:val="004469DE"/>
    <w:rsid w:val="00446C57"/>
    <w:rsid w:val="00446D92"/>
    <w:rsid w:val="00446FCA"/>
    <w:rsid w:val="00447370"/>
    <w:rsid w:val="00447AD7"/>
    <w:rsid w:val="00447D37"/>
    <w:rsid w:val="00447E82"/>
    <w:rsid w:val="00450368"/>
    <w:rsid w:val="0045081D"/>
    <w:rsid w:val="00450C66"/>
    <w:rsid w:val="0045119E"/>
    <w:rsid w:val="004515C3"/>
    <w:rsid w:val="00451DFC"/>
    <w:rsid w:val="00451E3D"/>
    <w:rsid w:val="00452445"/>
    <w:rsid w:val="004525AF"/>
    <w:rsid w:val="00452786"/>
    <w:rsid w:val="00452BB5"/>
    <w:rsid w:val="004537D8"/>
    <w:rsid w:val="00453B3A"/>
    <w:rsid w:val="00454197"/>
    <w:rsid w:val="00454460"/>
    <w:rsid w:val="0045468A"/>
    <w:rsid w:val="004549B0"/>
    <w:rsid w:val="00455844"/>
    <w:rsid w:val="004558CF"/>
    <w:rsid w:val="00455A85"/>
    <w:rsid w:val="00455B8D"/>
    <w:rsid w:val="00455C1D"/>
    <w:rsid w:val="00455E9A"/>
    <w:rsid w:val="0045673F"/>
    <w:rsid w:val="00456D32"/>
    <w:rsid w:val="004575FC"/>
    <w:rsid w:val="00460261"/>
    <w:rsid w:val="00460777"/>
    <w:rsid w:val="00460D85"/>
    <w:rsid w:val="00460E5C"/>
    <w:rsid w:val="00460F5E"/>
    <w:rsid w:val="004613F0"/>
    <w:rsid w:val="0046153A"/>
    <w:rsid w:val="00461625"/>
    <w:rsid w:val="0046204A"/>
    <w:rsid w:val="00462451"/>
    <w:rsid w:val="0046265B"/>
    <w:rsid w:val="004629DD"/>
    <w:rsid w:val="004629DF"/>
    <w:rsid w:val="00462C7F"/>
    <w:rsid w:val="00462F01"/>
    <w:rsid w:val="0046380D"/>
    <w:rsid w:val="00463F84"/>
    <w:rsid w:val="00464AE4"/>
    <w:rsid w:val="00464D6A"/>
    <w:rsid w:val="00465204"/>
    <w:rsid w:val="00465532"/>
    <w:rsid w:val="0046560E"/>
    <w:rsid w:val="00465779"/>
    <w:rsid w:val="00465ACF"/>
    <w:rsid w:val="00466C7F"/>
    <w:rsid w:val="00466DFC"/>
    <w:rsid w:val="004671C3"/>
    <w:rsid w:val="00467234"/>
    <w:rsid w:val="00467401"/>
    <w:rsid w:val="00467523"/>
    <w:rsid w:val="004675CE"/>
    <w:rsid w:val="00467A5B"/>
    <w:rsid w:val="004704B8"/>
    <w:rsid w:val="00471135"/>
    <w:rsid w:val="0047145E"/>
    <w:rsid w:val="004716B2"/>
    <w:rsid w:val="00471E3F"/>
    <w:rsid w:val="00472760"/>
    <w:rsid w:val="00472F30"/>
    <w:rsid w:val="0047359D"/>
    <w:rsid w:val="004737AB"/>
    <w:rsid w:val="00473AFD"/>
    <w:rsid w:val="004744AC"/>
    <w:rsid w:val="004746B2"/>
    <w:rsid w:val="004748CB"/>
    <w:rsid w:val="0047510D"/>
    <w:rsid w:val="004751AB"/>
    <w:rsid w:val="004757D5"/>
    <w:rsid w:val="004758A9"/>
    <w:rsid w:val="00475D75"/>
    <w:rsid w:val="00476015"/>
    <w:rsid w:val="004762CB"/>
    <w:rsid w:val="00476C39"/>
    <w:rsid w:val="004773D7"/>
    <w:rsid w:val="00477714"/>
    <w:rsid w:val="00477739"/>
    <w:rsid w:val="00477DB0"/>
    <w:rsid w:val="00477F65"/>
    <w:rsid w:val="004805F5"/>
    <w:rsid w:val="00480638"/>
    <w:rsid w:val="004811F3"/>
    <w:rsid w:val="004818CD"/>
    <w:rsid w:val="00481B29"/>
    <w:rsid w:val="00482843"/>
    <w:rsid w:val="00482D3D"/>
    <w:rsid w:val="00483006"/>
    <w:rsid w:val="00483491"/>
    <w:rsid w:val="004837CE"/>
    <w:rsid w:val="00483AEB"/>
    <w:rsid w:val="00483EEA"/>
    <w:rsid w:val="00483F17"/>
    <w:rsid w:val="00484370"/>
    <w:rsid w:val="00484ACF"/>
    <w:rsid w:val="004852B5"/>
    <w:rsid w:val="00485412"/>
    <w:rsid w:val="004854C4"/>
    <w:rsid w:val="00486778"/>
    <w:rsid w:val="00486838"/>
    <w:rsid w:val="0048738B"/>
    <w:rsid w:val="0048760B"/>
    <w:rsid w:val="0048771E"/>
    <w:rsid w:val="00487790"/>
    <w:rsid w:val="004877C8"/>
    <w:rsid w:val="004902EA"/>
    <w:rsid w:val="004904A1"/>
    <w:rsid w:val="004907E3"/>
    <w:rsid w:val="00490A8D"/>
    <w:rsid w:val="00490BD3"/>
    <w:rsid w:val="004912E8"/>
    <w:rsid w:val="00491B23"/>
    <w:rsid w:val="00491D8B"/>
    <w:rsid w:val="00491E1F"/>
    <w:rsid w:val="00492727"/>
    <w:rsid w:val="00492B80"/>
    <w:rsid w:val="004936F7"/>
    <w:rsid w:val="004937B3"/>
    <w:rsid w:val="0049384B"/>
    <w:rsid w:val="00493B7A"/>
    <w:rsid w:val="00493E45"/>
    <w:rsid w:val="0049431B"/>
    <w:rsid w:val="0049434F"/>
    <w:rsid w:val="0049493A"/>
    <w:rsid w:val="00494B12"/>
    <w:rsid w:val="00494EDA"/>
    <w:rsid w:val="0049535F"/>
    <w:rsid w:val="0049579A"/>
    <w:rsid w:val="0049631B"/>
    <w:rsid w:val="00496491"/>
    <w:rsid w:val="004964C2"/>
    <w:rsid w:val="00496781"/>
    <w:rsid w:val="00496F5B"/>
    <w:rsid w:val="00496FCB"/>
    <w:rsid w:val="004972D2"/>
    <w:rsid w:val="0049771E"/>
    <w:rsid w:val="00497995"/>
    <w:rsid w:val="00497C22"/>
    <w:rsid w:val="004A010B"/>
    <w:rsid w:val="004A072A"/>
    <w:rsid w:val="004A10F9"/>
    <w:rsid w:val="004A1A76"/>
    <w:rsid w:val="004A277E"/>
    <w:rsid w:val="004A2809"/>
    <w:rsid w:val="004A3299"/>
    <w:rsid w:val="004A33EB"/>
    <w:rsid w:val="004A36D4"/>
    <w:rsid w:val="004A38C7"/>
    <w:rsid w:val="004A3B07"/>
    <w:rsid w:val="004A3B42"/>
    <w:rsid w:val="004A3CB5"/>
    <w:rsid w:val="004A44CB"/>
    <w:rsid w:val="004A4A00"/>
    <w:rsid w:val="004A562F"/>
    <w:rsid w:val="004A5DBA"/>
    <w:rsid w:val="004A6070"/>
    <w:rsid w:val="004A60B9"/>
    <w:rsid w:val="004A60E5"/>
    <w:rsid w:val="004A646E"/>
    <w:rsid w:val="004A6B19"/>
    <w:rsid w:val="004A6B6F"/>
    <w:rsid w:val="004A78A1"/>
    <w:rsid w:val="004B018B"/>
    <w:rsid w:val="004B0C48"/>
    <w:rsid w:val="004B0D46"/>
    <w:rsid w:val="004B0F54"/>
    <w:rsid w:val="004B14BA"/>
    <w:rsid w:val="004B14DA"/>
    <w:rsid w:val="004B17CD"/>
    <w:rsid w:val="004B205C"/>
    <w:rsid w:val="004B2777"/>
    <w:rsid w:val="004B297A"/>
    <w:rsid w:val="004B2FFE"/>
    <w:rsid w:val="004B3A0B"/>
    <w:rsid w:val="004B3DC8"/>
    <w:rsid w:val="004B3E0B"/>
    <w:rsid w:val="004B4225"/>
    <w:rsid w:val="004B42CC"/>
    <w:rsid w:val="004B4894"/>
    <w:rsid w:val="004B4934"/>
    <w:rsid w:val="004B4C82"/>
    <w:rsid w:val="004B4E7E"/>
    <w:rsid w:val="004B4F4A"/>
    <w:rsid w:val="004B51FE"/>
    <w:rsid w:val="004B6025"/>
    <w:rsid w:val="004B6461"/>
    <w:rsid w:val="004B6D2F"/>
    <w:rsid w:val="004B744E"/>
    <w:rsid w:val="004B7860"/>
    <w:rsid w:val="004B7FC8"/>
    <w:rsid w:val="004B7FCA"/>
    <w:rsid w:val="004C03C5"/>
    <w:rsid w:val="004C1506"/>
    <w:rsid w:val="004C1547"/>
    <w:rsid w:val="004C18BF"/>
    <w:rsid w:val="004C1AAC"/>
    <w:rsid w:val="004C1C8C"/>
    <w:rsid w:val="004C1F24"/>
    <w:rsid w:val="004C1FA0"/>
    <w:rsid w:val="004C20D6"/>
    <w:rsid w:val="004C254F"/>
    <w:rsid w:val="004C2C25"/>
    <w:rsid w:val="004C2C65"/>
    <w:rsid w:val="004C3669"/>
    <w:rsid w:val="004C38FB"/>
    <w:rsid w:val="004C3991"/>
    <w:rsid w:val="004C3E36"/>
    <w:rsid w:val="004C4374"/>
    <w:rsid w:val="004C43AB"/>
    <w:rsid w:val="004C46DD"/>
    <w:rsid w:val="004C472B"/>
    <w:rsid w:val="004C4BCC"/>
    <w:rsid w:val="004C549D"/>
    <w:rsid w:val="004C5825"/>
    <w:rsid w:val="004C5883"/>
    <w:rsid w:val="004C58A6"/>
    <w:rsid w:val="004C5D37"/>
    <w:rsid w:val="004C5ECE"/>
    <w:rsid w:val="004C6197"/>
    <w:rsid w:val="004C7639"/>
    <w:rsid w:val="004C77D7"/>
    <w:rsid w:val="004C7B89"/>
    <w:rsid w:val="004D007A"/>
    <w:rsid w:val="004D00DA"/>
    <w:rsid w:val="004D0102"/>
    <w:rsid w:val="004D11A8"/>
    <w:rsid w:val="004D13A6"/>
    <w:rsid w:val="004D16C2"/>
    <w:rsid w:val="004D1BBF"/>
    <w:rsid w:val="004D2884"/>
    <w:rsid w:val="004D29FD"/>
    <w:rsid w:val="004D2A8B"/>
    <w:rsid w:val="004D2ADD"/>
    <w:rsid w:val="004D2AF6"/>
    <w:rsid w:val="004D2BAD"/>
    <w:rsid w:val="004D3A43"/>
    <w:rsid w:val="004D4389"/>
    <w:rsid w:val="004D4746"/>
    <w:rsid w:val="004D4770"/>
    <w:rsid w:val="004D54F7"/>
    <w:rsid w:val="004D5E89"/>
    <w:rsid w:val="004D660E"/>
    <w:rsid w:val="004D67F8"/>
    <w:rsid w:val="004D6862"/>
    <w:rsid w:val="004D69F5"/>
    <w:rsid w:val="004D71EE"/>
    <w:rsid w:val="004D73A6"/>
    <w:rsid w:val="004D74C4"/>
    <w:rsid w:val="004E0585"/>
    <w:rsid w:val="004E06C4"/>
    <w:rsid w:val="004E0D94"/>
    <w:rsid w:val="004E0EB4"/>
    <w:rsid w:val="004E105F"/>
    <w:rsid w:val="004E2A0F"/>
    <w:rsid w:val="004E2A4A"/>
    <w:rsid w:val="004E2BFC"/>
    <w:rsid w:val="004E3611"/>
    <w:rsid w:val="004E43EF"/>
    <w:rsid w:val="004E472D"/>
    <w:rsid w:val="004E4951"/>
    <w:rsid w:val="004E49F7"/>
    <w:rsid w:val="004E536F"/>
    <w:rsid w:val="004E547E"/>
    <w:rsid w:val="004E5504"/>
    <w:rsid w:val="004E5588"/>
    <w:rsid w:val="004E55E9"/>
    <w:rsid w:val="004E582B"/>
    <w:rsid w:val="004E60CE"/>
    <w:rsid w:val="004E6757"/>
    <w:rsid w:val="004E6DF0"/>
    <w:rsid w:val="004E79DF"/>
    <w:rsid w:val="004E7B5C"/>
    <w:rsid w:val="004E7B76"/>
    <w:rsid w:val="004F0089"/>
    <w:rsid w:val="004F0173"/>
    <w:rsid w:val="004F1374"/>
    <w:rsid w:val="004F152B"/>
    <w:rsid w:val="004F1BE7"/>
    <w:rsid w:val="004F1CBC"/>
    <w:rsid w:val="004F229E"/>
    <w:rsid w:val="004F26C5"/>
    <w:rsid w:val="004F300C"/>
    <w:rsid w:val="004F310D"/>
    <w:rsid w:val="004F34C1"/>
    <w:rsid w:val="004F374F"/>
    <w:rsid w:val="004F3772"/>
    <w:rsid w:val="004F3AF1"/>
    <w:rsid w:val="004F4266"/>
    <w:rsid w:val="004F4453"/>
    <w:rsid w:val="004F494E"/>
    <w:rsid w:val="004F503E"/>
    <w:rsid w:val="004F53B6"/>
    <w:rsid w:val="004F55A2"/>
    <w:rsid w:val="004F55CE"/>
    <w:rsid w:val="004F5E1B"/>
    <w:rsid w:val="004F607D"/>
    <w:rsid w:val="004F6137"/>
    <w:rsid w:val="004F63B9"/>
    <w:rsid w:val="004F6526"/>
    <w:rsid w:val="004F6595"/>
    <w:rsid w:val="004F6D88"/>
    <w:rsid w:val="004F710D"/>
    <w:rsid w:val="004F71B8"/>
    <w:rsid w:val="004F744F"/>
    <w:rsid w:val="004F75C5"/>
    <w:rsid w:val="004F781E"/>
    <w:rsid w:val="004F7EE3"/>
    <w:rsid w:val="005001EC"/>
    <w:rsid w:val="005004D8"/>
    <w:rsid w:val="005006DB"/>
    <w:rsid w:val="00500D67"/>
    <w:rsid w:val="005010A3"/>
    <w:rsid w:val="005010BE"/>
    <w:rsid w:val="00501221"/>
    <w:rsid w:val="005013CA"/>
    <w:rsid w:val="005016A3"/>
    <w:rsid w:val="0050295C"/>
    <w:rsid w:val="00502FFF"/>
    <w:rsid w:val="005032CA"/>
    <w:rsid w:val="00503A75"/>
    <w:rsid w:val="00503BEB"/>
    <w:rsid w:val="0050425D"/>
    <w:rsid w:val="0050446C"/>
    <w:rsid w:val="0050467A"/>
    <w:rsid w:val="00504995"/>
    <w:rsid w:val="005049A8"/>
    <w:rsid w:val="00505079"/>
    <w:rsid w:val="005050B7"/>
    <w:rsid w:val="0050575F"/>
    <w:rsid w:val="00505CDC"/>
    <w:rsid w:val="00505FE3"/>
    <w:rsid w:val="00506FD3"/>
    <w:rsid w:val="00507603"/>
    <w:rsid w:val="00507746"/>
    <w:rsid w:val="0050785F"/>
    <w:rsid w:val="00507B22"/>
    <w:rsid w:val="00507D3D"/>
    <w:rsid w:val="00507D4B"/>
    <w:rsid w:val="005101CE"/>
    <w:rsid w:val="005101F4"/>
    <w:rsid w:val="005104BC"/>
    <w:rsid w:val="005106E7"/>
    <w:rsid w:val="00510A57"/>
    <w:rsid w:val="00511A7F"/>
    <w:rsid w:val="00511D36"/>
    <w:rsid w:val="00512C11"/>
    <w:rsid w:val="00512FE0"/>
    <w:rsid w:val="00513005"/>
    <w:rsid w:val="00513365"/>
    <w:rsid w:val="00513690"/>
    <w:rsid w:val="005137AB"/>
    <w:rsid w:val="005138D2"/>
    <w:rsid w:val="005139C8"/>
    <w:rsid w:val="00514687"/>
    <w:rsid w:val="00514E50"/>
    <w:rsid w:val="00514F43"/>
    <w:rsid w:val="00515062"/>
    <w:rsid w:val="005150E6"/>
    <w:rsid w:val="005152B6"/>
    <w:rsid w:val="0051540F"/>
    <w:rsid w:val="0051544A"/>
    <w:rsid w:val="0051547E"/>
    <w:rsid w:val="0051604E"/>
    <w:rsid w:val="005168B8"/>
    <w:rsid w:val="00516964"/>
    <w:rsid w:val="00516FA1"/>
    <w:rsid w:val="005172CE"/>
    <w:rsid w:val="00517609"/>
    <w:rsid w:val="00517B1D"/>
    <w:rsid w:val="00520450"/>
    <w:rsid w:val="00520481"/>
    <w:rsid w:val="0052076F"/>
    <w:rsid w:val="00520980"/>
    <w:rsid w:val="00520D16"/>
    <w:rsid w:val="00520E25"/>
    <w:rsid w:val="005216F7"/>
    <w:rsid w:val="005217C4"/>
    <w:rsid w:val="00521981"/>
    <w:rsid w:val="00521B7E"/>
    <w:rsid w:val="0052243B"/>
    <w:rsid w:val="005227A0"/>
    <w:rsid w:val="00522F1D"/>
    <w:rsid w:val="005230C2"/>
    <w:rsid w:val="00523306"/>
    <w:rsid w:val="005233AB"/>
    <w:rsid w:val="0052358C"/>
    <w:rsid w:val="005238BA"/>
    <w:rsid w:val="00523B1B"/>
    <w:rsid w:val="00523BA7"/>
    <w:rsid w:val="005240A5"/>
    <w:rsid w:val="00524394"/>
    <w:rsid w:val="00524760"/>
    <w:rsid w:val="0052482F"/>
    <w:rsid w:val="00524D05"/>
    <w:rsid w:val="00525143"/>
    <w:rsid w:val="00525689"/>
    <w:rsid w:val="0052572C"/>
    <w:rsid w:val="00525976"/>
    <w:rsid w:val="00525977"/>
    <w:rsid w:val="00526D05"/>
    <w:rsid w:val="00526E05"/>
    <w:rsid w:val="00527727"/>
    <w:rsid w:val="005279BD"/>
    <w:rsid w:val="00527B1F"/>
    <w:rsid w:val="0053017F"/>
    <w:rsid w:val="00530545"/>
    <w:rsid w:val="00530BFD"/>
    <w:rsid w:val="00530DA6"/>
    <w:rsid w:val="00530DE8"/>
    <w:rsid w:val="00531176"/>
    <w:rsid w:val="00531448"/>
    <w:rsid w:val="00531556"/>
    <w:rsid w:val="00532253"/>
    <w:rsid w:val="00532743"/>
    <w:rsid w:val="00532CA6"/>
    <w:rsid w:val="00533053"/>
    <w:rsid w:val="0053326A"/>
    <w:rsid w:val="005333D2"/>
    <w:rsid w:val="00533849"/>
    <w:rsid w:val="00534833"/>
    <w:rsid w:val="00534AED"/>
    <w:rsid w:val="00534BA3"/>
    <w:rsid w:val="00534C52"/>
    <w:rsid w:val="00534C8D"/>
    <w:rsid w:val="00534EBB"/>
    <w:rsid w:val="00535130"/>
    <w:rsid w:val="005352F3"/>
    <w:rsid w:val="005354FF"/>
    <w:rsid w:val="0053585E"/>
    <w:rsid w:val="00535E02"/>
    <w:rsid w:val="005360D2"/>
    <w:rsid w:val="005368B3"/>
    <w:rsid w:val="005370A4"/>
    <w:rsid w:val="005371AD"/>
    <w:rsid w:val="00537867"/>
    <w:rsid w:val="0053795E"/>
    <w:rsid w:val="00537C3B"/>
    <w:rsid w:val="00537F2B"/>
    <w:rsid w:val="00540018"/>
    <w:rsid w:val="00540981"/>
    <w:rsid w:val="00540DAC"/>
    <w:rsid w:val="00540E41"/>
    <w:rsid w:val="00540FDB"/>
    <w:rsid w:val="00541717"/>
    <w:rsid w:val="00542477"/>
    <w:rsid w:val="005424F5"/>
    <w:rsid w:val="00542987"/>
    <w:rsid w:val="00542F53"/>
    <w:rsid w:val="0054362E"/>
    <w:rsid w:val="00543707"/>
    <w:rsid w:val="00543A85"/>
    <w:rsid w:val="00543AC5"/>
    <w:rsid w:val="00543B3F"/>
    <w:rsid w:val="00543B4C"/>
    <w:rsid w:val="005446D6"/>
    <w:rsid w:val="005448E5"/>
    <w:rsid w:val="00544939"/>
    <w:rsid w:val="00544AFF"/>
    <w:rsid w:val="00544B7D"/>
    <w:rsid w:val="00544E68"/>
    <w:rsid w:val="00545153"/>
    <w:rsid w:val="0054530C"/>
    <w:rsid w:val="00545386"/>
    <w:rsid w:val="00545BB9"/>
    <w:rsid w:val="00545BD7"/>
    <w:rsid w:val="0054614E"/>
    <w:rsid w:val="005467F8"/>
    <w:rsid w:val="0054685A"/>
    <w:rsid w:val="00546911"/>
    <w:rsid w:val="00546AB3"/>
    <w:rsid w:val="00546C6F"/>
    <w:rsid w:val="0054714E"/>
    <w:rsid w:val="00547295"/>
    <w:rsid w:val="00547351"/>
    <w:rsid w:val="00547416"/>
    <w:rsid w:val="005474E1"/>
    <w:rsid w:val="005478FE"/>
    <w:rsid w:val="00547966"/>
    <w:rsid w:val="00547CB8"/>
    <w:rsid w:val="00547FB3"/>
    <w:rsid w:val="0055052B"/>
    <w:rsid w:val="00551814"/>
    <w:rsid w:val="00551F81"/>
    <w:rsid w:val="00551FAF"/>
    <w:rsid w:val="00552260"/>
    <w:rsid w:val="00552462"/>
    <w:rsid w:val="0055289D"/>
    <w:rsid w:val="00553603"/>
    <w:rsid w:val="00553CFD"/>
    <w:rsid w:val="00554628"/>
    <w:rsid w:val="00554761"/>
    <w:rsid w:val="00554BD0"/>
    <w:rsid w:val="00554D61"/>
    <w:rsid w:val="00554E91"/>
    <w:rsid w:val="00555003"/>
    <w:rsid w:val="00555360"/>
    <w:rsid w:val="005556A9"/>
    <w:rsid w:val="00556664"/>
    <w:rsid w:val="0055752E"/>
    <w:rsid w:val="0055758E"/>
    <w:rsid w:val="005575EE"/>
    <w:rsid w:val="00557C9B"/>
    <w:rsid w:val="00557D24"/>
    <w:rsid w:val="00557E42"/>
    <w:rsid w:val="00560475"/>
    <w:rsid w:val="005608B5"/>
    <w:rsid w:val="00560FBE"/>
    <w:rsid w:val="00561239"/>
    <w:rsid w:val="0056141B"/>
    <w:rsid w:val="0056186A"/>
    <w:rsid w:val="00561B20"/>
    <w:rsid w:val="005620E1"/>
    <w:rsid w:val="00562577"/>
    <w:rsid w:val="00562877"/>
    <w:rsid w:val="00562A85"/>
    <w:rsid w:val="00563491"/>
    <w:rsid w:val="005637C1"/>
    <w:rsid w:val="00563DD1"/>
    <w:rsid w:val="00564140"/>
    <w:rsid w:val="0056430D"/>
    <w:rsid w:val="0056452A"/>
    <w:rsid w:val="005647BD"/>
    <w:rsid w:val="005649BD"/>
    <w:rsid w:val="00564DDF"/>
    <w:rsid w:val="00564F19"/>
    <w:rsid w:val="00564F39"/>
    <w:rsid w:val="00565190"/>
    <w:rsid w:val="00565200"/>
    <w:rsid w:val="0056531D"/>
    <w:rsid w:val="00565965"/>
    <w:rsid w:val="005659E7"/>
    <w:rsid w:val="00565EEF"/>
    <w:rsid w:val="0056695C"/>
    <w:rsid w:val="00566D3C"/>
    <w:rsid w:val="00566D7A"/>
    <w:rsid w:val="00566FF6"/>
    <w:rsid w:val="00567050"/>
    <w:rsid w:val="0056717C"/>
    <w:rsid w:val="005671B8"/>
    <w:rsid w:val="00567583"/>
    <w:rsid w:val="00567AAF"/>
    <w:rsid w:val="00570AC7"/>
    <w:rsid w:val="00570BF4"/>
    <w:rsid w:val="00571423"/>
    <w:rsid w:val="00571D62"/>
    <w:rsid w:val="00571EEA"/>
    <w:rsid w:val="00572C44"/>
    <w:rsid w:val="005731F9"/>
    <w:rsid w:val="005733A5"/>
    <w:rsid w:val="005734F3"/>
    <w:rsid w:val="0057388A"/>
    <w:rsid w:val="00573992"/>
    <w:rsid w:val="00573B9C"/>
    <w:rsid w:val="00573C17"/>
    <w:rsid w:val="005748FB"/>
    <w:rsid w:val="00574AC8"/>
    <w:rsid w:val="00574E98"/>
    <w:rsid w:val="00575117"/>
    <w:rsid w:val="00575430"/>
    <w:rsid w:val="00575669"/>
    <w:rsid w:val="00575760"/>
    <w:rsid w:val="00575A75"/>
    <w:rsid w:val="00575CAE"/>
    <w:rsid w:val="00575E7C"/>
    <w:rsid w:val="00575EBF"/>
    <w:rsid w:val="00576089"/>
    <w:rsid w:val="005764EE"/>
    <w:rsid w:val="0057669F"/>
    <w:rsid w:val="00576778"/>
    <w:rsid w:val="00576CD0"/>
    <w:rsid w:val="00576D04"/>
    <w:rsid w:val="005774CA"/>
    <w:rsid w:val="005775D5"/>
    <w:rsid w:val="0057790E"/>
    <w:rsid w:val="00580114"/>
    <w:rsid w:val="005803FE"/>
    <w:rsid w:val="0058043D"/>
    <w:rsid w:val="005808B1"/>
    <w:rsid w:val="00580968"/>
    <w:rsid w:val="00580F0D"/>
    <w:rsid w:val="0058148F"/>
    <w:rsid w:val="00581542"/>
    <w:rsid w:val="00581D2A"/>
    <w:rsid w:val="00582875"/>
    <w:rsid w:val="00583449"/>
    <w:rsid w:val="00583517"/>
    <w:rsid w:val="00583CEF"/>
    <w:rsid w:val="00583EF2"/>
    <w:rsid w:val="005841AF"/>
    <w:rsid w:val="005842EB"/>
    <w:rsid w:val="00584327"/>
    <w:rsid w:val="00584C38"/>
    <w:rsid w:val="00584C7D"/>
    <w:rsid w:val="00584CD8"/>
    <w:rsid w:val="00584EA2"/>
    <w:rsid w:val="005851FF"/>
    <w:rsid w:val="00585516"/>
    <w:rsid w:val="00585A79"/>
    <w:rsid w:val="00586382"/>
    <w:rsid w:val="005865AD"/>
    <w:rsid w:val="0058679A"/>
    <w:rsid w:val="00586958"/>
    <w:rsid w:val="00586A53"/>
    <w:rsid w:val="00586B23"/>
    <w:rsid w:val="00586DDB"/>
    <w:rsid w:val="0058703A"/>
    <w:rsid w:val="00587463"/>
    <w:rsid w:val="00587D0D"/>
    <w:rsid w:val="00590021"/>
    <w:rsid w:val="00590042"/>
    <w:rsid w:val="005903DE"/>
    <w:rsid w:val="005906ED"/>
    <w:rsid w:val="00591446"/>
    <w:rsid w:val="005915B5"/>
    <w:rsid w:val="00591A17"/>
    <w:rsid w:val="00591BBC"/>
    <w:rsid w:val="00591D2D"/>
    <w:rsid w:val="00592257"/>
    <w:rsid w:val="00592889"/>
    <w:rsid w:val="00592BE3"/>
    <w:rsid w:val="00592F3C"/>
    <w:rsid w:val="00593AA5"/>
    <w:rsid w:val="005943E1"/>
    <w:rsid w:val="00594A47"/>
    <w:rsid w:val="00594AFE"/>
    <w:rsid w:val="00595584"/>
    <w:rsid w:val="00595C18"/>
    <w:rsid w:val="00595E7D"/>
    <w:rsid w:val="005960F8"/>
    <w:rsid w:val="005963EC"/>
    <w:rsid w:val="005964EE"/>
    <w:rsid w:val="00596631"/>
    <w:rsid w:val="00596A7C"/>
    <w:rsid w:val="00596C20"/>
    <w:rsid w:val="00597788"/>
    <w:rsid w:val="00597805"/>
    <w:rsid w:val="00597A0F"/>
    <w:rsid w:val="00597DED"/>
    <w:rsid w:val="005A0955"/>
    <w:rsid w:val="005A0CA3"/>
    <w:rsid w:val="005A0EED"/>
    <w:rsid w:val="005A16FF"/>
    <w:rsid w:val="005A1D1C"/>
    <w:rsid w:val="005A2002"/>
    <w:rsid w:val="005A2420"/>
    <w:rsid w:val="005A292E"/>
    <w:rsid w:val="005A36B1"/>
    <w:rsid w:val="005A3BF4"/>
    <w:rsid w:val="005A3BFB"/>
    <w:rsid w:val="005A413F"/>
    <w:rsid w:val="005A453C"/>
    <w:rsid w:val="005A4689"/>
    <w:rsid w:val="005A4984"/>
    <w:rsid w:val="005A4D49"/>
    <w:rsid w:val="005A5A64"/>
    <w:rsid w:val="005A6540"/>
    <w:rsid w:val="005A67DC"/>
    <w:rsid w:val="005A6949"/>
    <w:rsid w:val="005A6B92"/>
    <w:rsid w:val="005A75A4"/>
    <w:rsid w:val="005A75DF"/>
    <w:rsid w:val="005A789E"/>
    <w:rsid w:val="005A7970"/>
    <w:rsid w:val="005A79D4"/>
    <w:rsid w:val="005B0486"/>
    <w:rsid w:val="005B0B65"/>
    <w:rsid w:val="005B0BA9"/>
    <w:rsid w:val="005B0E24"/>
    <w:rsid w:val="005B14DE"/>
    <w:rsid w:val="005B16C2"/>
    <w:rsid w:val="005B183F"/>
    <w:rsid w:val="005B190A"/>
    <w:rsid w:val="005B1F0B"/>
    <w:rsid w:val="005B2863"/>
    <w:rsid w:val="005B309D"/>
    <w:rsid w:val="005B31BB"/>
    <w:rsid w:val="005B395C"/>
    <w:rsid w:val="005B3E64"/>
    <w:rsid w:val="005B41FB"/>
    <w:rsid w:val="005B4377"/>
    <w:rsid w:val="005B48F6"/>
    <w:rsid w:val="005B4DAC"/>
    <w:rsid w:val="005B5007"/>
    <w:rsid w:val="005B512A"/>
    <w:rsid w:val="005B587A"/>
    <w:rsid w:val="005B596C"/>
    <w:rsid w:val="005B6289"/>
    <w:rsid w:val="005B667B"/>
    <w:rsid w:val="005B68E8"/>
    <w:rsid w:val="005B6E4A"/>
    <w:rsid w:val="005B7282"/>
    <w:rsid w:val="005B752F"/>
    <w:rsid w:val="005B7AA7"/>
    <w:rsid w:val="005B7C1A"/>
    <w:rsid w:val="005B7C7D"/>
    <w:rsid w:val="005C00F8"/>
    <w:rsid w:val="005C08F8"/>
    <w:rsid w:val="005C0FCA"/>
    <w:rsid w:val="005C13F6"/>
    <w:rsid w:val="005C178C"/>
    <w:rsid w:val="005C1DE3"/>
    <w:rsid w:val="005C2E2A"/>
    <w:rsid w:val="005C2E85"/>
    <w:rsid w:val="005C3E90"/>
    <w:rsid w:val="005C3EE0"/>
    <w:rsid w:val="005C499A"/>
    <w:rsid w:val="005C5015"/>
    <w:rsid w:val="005C535A"/>
    <w:rsid w:val="005C63E6"/>
    <w:rsid w:val="005C6680"/>
    <w:rsid w:val="005C7824"/>
    <w:rsid w:val="005C7B16"/>
    <w:rsid w:val="005C7B55"/>
    <w:rsid w:val="005D00E0"/>
    <w:rsid w:val="005D02F3"/>
    <w:rsid w:val="005D04F7"/>
    <w:rsid w:val="005D07BE"/>
    <w:rsid w:val="005D0A3C"/>
    <w:rsid w:val="005D0CF3"/>
    <w:rsid w:val="005D157D"/>
    <w:rsid w:val="005D159B"/>
    <w:rsid w:val="005D1D51"/>
    <w:rsid w:val="005D2189"/>
    <w:rsid w:val="005D218B"/>
    <w:rsid w:val="005D26CD"/>
    <w:rsid w:val="005D29E3"/>
    <w:rsid w:val="005D2AB9"/>
    <w:rsid w:val="005D307C"/>
    <w:rsid w:val="005D315C"/>
    <w:rsid w:val="005D3244"/>
    <w:rsid w:val="005D341F"/>
    <w:rsid w:val="005D3710"/>
    <w:rsid w:val="005D3B21"/>
    <w:rsid w:val="005D3C32"/>
    <w:rsid w:val="005D3DC7"/>
    <w:rsid w:val="005D406E"/>
    <w:rsid w:val="005D409B"/>
    <w:rsid w:val="005D411A"/>
    <w:rsid w:val="005D4321"/>
    <w:rsid w:val="005D479A"/>
    <w:rsid w:val="005D4A82"/>
    <w:rsid w:val="005D5061"/>
    <w:rsid w:val="005D5936"/>
    <w:rsid w:val="005D6090"/>
    <w:rsid w:val="005D611F"/>
    <w:rsid w:val="005D6185"/>
    <w:rsid w:val="005D6AC2"/>
    <w:rsid w:val="005D6BB5"/>
    <w:rsid w:val="005D6F80"/>
    <w:rsid w:val="005D6FF7"/>
    <w:rsid w:val="005D700C"/>
    <w:rsid w:val="005D71A9"/>
    <w:rsid w:val="005D71B4"/>
    <w:rsid w:val="005D7256"/>
    <w:rsid w:val="005D73DF"/>
    <w:rsid w:val="005E014B"/>
    <w:rsid w:val="005E0501"/>
    <w:rsid w:val="005E06CA"/>
    <w:rsid w:val="005E097F"/>
    <w:rsid w:val="005E0F4B"/>
    <w:rsid w:val="005E1834"/>
    <w:rsid w:val="005E19F4"/>
    <w:rsid w:val="005E1D80"/>
    <w:rsid w:val="005E1E26"/>
    <w:rsid w:val="005E2981"/>
    <w:rsid w:val="005E2BD4"/>
    <w:rsid w:val="005E2D47"/>
    <w:rsid w:val="005E2DF2"/>
    <w:rsid w:val="005E3858"/>
    <w:rsid w:val="005E39D5"/>
    <w:rsid w:val="005E3DBD"/>
    <w:rsid w:val="005E3DCD"/>
    <w:rsid w:val="005E4E23"/>
    <w:rsid w:val="005E516C"/>
    <w:rsid w:val="005E51CC"/>
    <w:rsid w:val="005E62B2"/>
    <w:rsid w:val="005E6989"/>
    <w:rsid w:val="005E6BF6"/>
    <w:rsid w:val="005E6F85"/>
    <w:rsid w:val="005E7E79"/>
    <w:rsid w:val="005F1FC0"/>
    <w:rsid w:val="005F25F0"/>
    <w:rsid w:val="005F2B57"/>
    <w:rsid w:val="005F2CE8"/>
    <w:rsid w:val="005F370E"/>
    <w:rsid w:val="005F40F9"/>
    <w:rsid w:val="005F465C"/>
    <w:rsid w:val="005F4916"/>
    <w:rsid w:val="005F4CC4"/>
    <w:rsid w:val="005F4E1D"/>
    <w:rsid w:val="005F6119"/>
    <w:rsid w:val="005F69F0"/>
    <w:rsid w:val="005F707A"/>
    <w:rsid w:val="005F73E6"/>
    <w:rsid w:val="005F7953"/>
    <w:rsid w:val="005F7CE0"/>
    <w:rsid w:val="006007FE"/>
    <w:rsid w:val="00600953"/>
    <w:rsid w:val="00600D71"/>
    <w:rsid w:val="006012EB"/>
    <w:rsid w:val="006013AB"/>
    <w:rsid w:val="00601BA5"/>
    <w:rsid w:val="00601D0B"/>
    <w:rsid w:val="00601E89"/>
    <w:rsid w:val="00602045"/>
    <w:rsid w:val="0060255A"/>
    <w:rsid w:val="00602CA2"/>
    <w:rsid w:val="00602D68"/>
    <w:rsid w:val="00602E3B"/>
    <w:rsid w:val="006031DF"/>
    <w:rsid w:val="006041FE"/>
    <w:rsid w:val="00604E19"/>
    <w:rsid w:val="006050C3"/>
    <w:rsid w:val="0060520A"/>
    <w:rsid w:val="00605297"/>
    <w:rsid w:val="00605453"/>
    <w:rsid w:val="006057A2"/>
    <w:rsid w:val="0060589F"/>
    <w:rsid w:val="006059A9"/>
    <w:rsid w:val="00606ABF"/>
    <w:rsid w:val="00606CA8"/>
    <w:rsid w:val="00607149"/>
    <w:rsid w:val="00607980"/>
    <w:rsid w:val="006100C0"/>
    <w:rsid w:val="006100CB"/>
    <w:rsid w:val="0061010B"/>
    <w:rsid w:val="00610185"/>
    <w:rsid w:val="0061054E"/>
    <w:rsid w:val="006105B0"/>
    <w:rsid w:val="006109C5"/>
    <w:rsid w:val="00611149"/>
    <w:rsid w:val="00611766"/>
    <w:rsid w:val="0061183A"/>
    <w:rsid w:val="0061187F"/>
    <w:rsid w:val="00611B95"/>
    <w:rsid w:val="00611F4D"/>
    <w:rsid w:val="00612811"/>
    <w:rsid w:val="006128EB"/>
    <w:rsid w:val="00612AEB"/>
    <w:rsid w:val="00612CB5"/>
    <w:rsid w:val="00612F14"/>
    <w:rsid w:val="0061315E"/>
    <w:rsid w:val="0061335D"/>
    <w:rsid w:val="00613B4C"/>
    <w:rsid w:val="00613ECD"/>
    <w:rsid w:val="0061417E"/>
    <w:rsid w:val="006145C9"/>
    <w:rsid w:val="00614B18"/>
    <w:rsid w:val="00615124"/>
    <w:rsid w:val="00615635"/>
    <w:rsid w:val="00615F8E"/>
    <w:rsid w:val="006166C5"/>
    <w:rsid w:val="0061677E"/>
    <w:rsid w:val="0061678E"/>
    <w:rsid w:val="0061680F"/>
    <w:rsid w:val="00616C37"/>
    <w:rsid w:val="00617DAD"/>
    <w:rsid w:val="006204B2"/>
    <w:rsid w:val="00620ADF"/>
    <w:rsid w:val="00620CA6"/>
    <w:rsid w:val="00620D4A"/>
    <w:rsid w:val="00620E8D"/>
    <w:rsid w:val="00622108"/>
    <w:rsid w:val="0062228B"/>
    <w:rsid w:val="0062253C"/>
    <w:rsid w:val="00622724"/>
    <w:rsid w:val="006229DA"/>
    <w:rsid w:val="006230A2"/>
    <w:rsid w:val="0062321E"/>
    <w:rsid w:val="006232B0"/>
    <w:rsid w:val="00623732"/>
    <w:rsid w:val="00624138"/>
    <w:rsid w:val="00624215"/>
    <w:rsid w:val="006244FC"/>
    <w:rsid w:val="00624BB5"/>
    <w:rsid w:val="00625098"/>
    <w:rsid w:val="0062529C"/>
    <w:rsid w:val="00625586"/>
    <w:rsid w:val="00625E20"/>
    <w:rsid w:val="00625F90"/>
    <w:rsid w:val="006269C2"/>
    <w:rsid w:val="00626C03"/>
    <w:rsid w:val="00626E80"/>
    <w:rsid w:val="00626E88"/>
    <w:rsid w:val="00627986"/>
    <w:rsid w:val="006301B4"/>
    <w:rsid w:val="0063069A"/>
    <w:rsid w:val="006309FC"/>
    <w:rsid w:val="00631464"/>
    <w:rsid w:val="00631565"/>
    <w:rsid w:val="0063184D"/>
    <w:rsid w:val="00631F2C"/>
    <w:rsid w:val="00631F6B"/>
    <w:rsid w:val="00632518"/>
    <w:rsid w:val="0063259A"/>
    <w:rsid w:val="006333F8"/>
    <w:rsid w:val="00633464"/>
    <w:rsid w:val="0063399A"/>
    <w:rsid w:val="006339BB"/>
    <w:rsid w:val="00633B7E"/>
    <w:rsid w:val="00633C75"/>
    <w:rsid w:val="00633CCF"/>
    <w:rsid w:val="00633E5C"/>
    <w:rsid w:val="006340A8"/>
    <w:rsid w:val="00634406"/>
    <w:rsid w:val="00634536"/>
    <w:rsid w:val="00634646"/>
    <w:rsid w:val="006346F8"/>
    <w:rsid w:val="00634A05"/>
    <w:rsid w:val="00634C5E"/>
    <w:rsid w:val="00634EBD"/>
    <w:rsid w:val="00634F4E"/>
    <w:rsid w:val="006354EB"/>
    <w:rsid w:val="00635602"/>
    <w:rsid w:val="006357B9"/>
    <w:rsid w:val="006361CE"/>
    <w:rsid w:val="00636278"/>
    <w:rsid w:val="00636B6F"/>
    <w:rsid w:val="00637AD6"/>
    <w:rsid w:val="00637D4F"/>
    <w:rsid w:val="00637E2D"/>
    <w:rsid w:val="00640006"/>
    <w:rsid w:val="0064074B"/>
    <w:rsid w:val="0064082E"/>
    <w:rsid w:val="0064105A"/>
    <w:rsid w:val="0064108F"/>
    <w:rsid w:val="0064164E"/>
    <w:rsid w:val="0064177D"/>
    <w:rsid w:val="006419C0"/>
    <w:rsid w:val="00641A9D"/>
    <w:rsid w:val="00641CD1"/>
    <w:rsid w:val="00641CF6"/>
    <w:rsid w:val="0064200D"/>
    <w:rsid w:val="006420DA"/>
    <w:rsid w:val="006421CD"/>
    <w:rsid w:val="0064294B"/>
    <w:rsid w:val="006429B4"/>
    <w:rsid w:val="00642EBB"/>
    <w:rsid w:val="006430CD"/>
    <w:rsid w:val="0064337A"/>
    <w:rsid w:val="006434FF"/>
    <w:rsid w:val="0064405E"/>
    <w:rsid w:val="00644559"/>
    <w:rsid w:val="00644651"/>
    <w:rsid w:val="00644B5C"/>
    <w:rsid w:val="00644C5D"/>
    <w:rsid w:val="00645045"/>
    <w:rsid w:val="00645ADB"/>
    <w:rsid w:val="00645E3D"/>
    <w:rsid w:val="00645E8B"/>
    <w:rsid w:val="00646A27"/>
    <w:rsid w:val="00646B63"/>
    <w:rsid w:val="006472F4"/>
    <w:rsid w:val="00647590"/>
    <w:rsid w:val="00647C56"/>
    <w:rsid w:val="00647FB4"/>
    <w:rsid w:val="0065027A"/>
    <w:rsid w:val="00650D2B"/>
    <w:rsid w:val="00650F30"/>
    <w:rsid w:val="00651061"/>
    <w:rsid w:val="0065147F"/>
    <w:rsid w:val="0065160E"/>
    <w:rsid w:val="006516FC"/>
    <w:rsid w:val="00651816"/>
    <w:rsid w:val="00651CEA"/>
    <w:rsid w:val="006523C1"/>
    <w:rsid w:val="00653565"/>
    <w:rsid w:val="0065359D"/>
    <w:rsid w:val="006535DD"/>
    <w:rsid w:val="00653A72"/>
    <w:rsid w:val="00653C44"/>
    <w:rsid w:val="00653DD6"/>
    <w:rsid w:val="006540DD"/>
    <w:rsid w:val="00654659"/>
    <w:rsid w:val="006549AA"/>
    <w:rsid w:val="00654AAC"/>
    <w:rsid w:val="00654E62"/>
    <w:rsid w:val="00655162"/>
    <w:rsid w:val="00655772"/>
    <w:rsid w:val="00655B7D"/>
    <w:rsid w:val="00655FEB"/>
    <w:rsid w:val="0065610C"/>
    <w:rsid w:val="0065620D"/>
    <w:rsid w:val="0065684F"/>
    <w:rsid w:val="00656A58"/>
    <w:rsid w:val="00656A8E"/>
    <w:rsid w:val="00656B12"/>
    <w:rsid w:val="0065754C"/>
    <w:rsid w:val="00657B2B"/>
    <w:rsid w:val="006601EB"/>
    <w:rsid w:val="006601F9"/>
    <w:rsid w:val="00660359"/>
    <w:rsid w:val="00660902"/>
    <w:rsid w:val="00660DC5"/>
    <w:rsid w:val="00660DF9"/>
    <w:rsid w:val="00661112"/>
    <w:rsid w:val="006613E9"/>
    <w:rsid w:val="00661869"/>
    <w:rsid w:val="00661BB9"/>
    <w:rsid w:val="006620E3"/>
    <w:rsid w:val="006629EB"/>
    <w:rsid w:val="00662B20"/>
    <w:rsid w:val="00663603"/>
    <w:rsid w:val="006637D2"/>
    <w:rsid w:val="00663DBC"/>
    <w:rsid w:val="00663F05"/>
    <w:rsid w:val="00664041"/>
    <w:rsid w:val="006649AF"/>
    <w:rsid w:val="00664B92"/>
    <w:rsid w:val="00664C9D"/>
    <w:rsid w:val="00664D47"/>
    <w:rsid w:val="00664DDD"/>
    <w:rsid w:val="00664FA2"/>
    <w:rsid w:val="00665264"/>
    <w:rsid w:val="00665A4F"/>
    <w:rsid w:val="006664ED"/>
    <w:rsid w:val="006667E0"/>
    <w:rsid w:val="0066691C"/>
    <w:rsid w:val="00666A66"/>
    <w:rsid w:val="00666B7D"/>
    <w:rsid w:val="00666C29"/>
    <w:rsid w:val="00666F08"/>
    <w:rsid w:val="00666FF3"/>
    <w:rsid w:val="006675E2"/>
    <w:rsid w:val="00667C1D"/>
    <w:rsid w:val="00667F8C"/>
    <w:rsid w:val="00670373"/>
    <w:rsid w:val="006709C3"/>
    <w:rsid w:val="00671560"/>
    <w:rsid w:val="0067324F"/>
    <w:rsid w:val="006737DC"/>
    <w:rsid w:val="0067386A"/>
    <w:rsid w:val="00673ACC"/>
    <w:rsid w:val="00673AD2"/>
    <w:rsid w:val="00673B96"/>
    <w:rsid w:val="00673C4E"/>
    <w:rsid w:val="00673F53"/>
    <w:rsid w:val="0067594A"/>
    <w:rsid w:val="00675C70"/>
    <w:rsid w:val="00676042"/>
    <w:rsid w:val="006764E6"/>
    <w:rsid w:val="00676C95"/>
    <w:rsid w:val="006776C2"/>
    <w:rsid w:val="00680027"/>
    <w:rsid w:val="0068034A"/>
    <w:rsid w:val="0068110D"/>
    <w:rsid w:val="006816A6"/>
    <w:rsid w:val="00682A94"/>
    <w:rsid w:val="0068349D"/>
    <w:rsid w:val="00683BC8"/>
    <w:rsid w:val="00684202"/>
    <w:rsid w:val="006852D3"/>
    <w:rsid w:val="0068658C"/>
    <w:rsid w:val="00686880"/>
    <w:rsid w:val="00686C45"/>
    <w:rsid w:val="006870CD"/>
    <w:rsid w:val="00687648"/>
    <w:rsid w:val="00687793"/>
    <w:rsid w:val="00687E48"/>
    <w:rsid w:val="00691643"/>
    <w:rsid w:val="00691795"/>
    <w:rsid w:val="006918CD"/>
    <w:rsid w:val="00691B79"/>
    <w:rsid w:val="00691BDE"/>
    <w:rsid w:val="00691F73"/>
    <w:rsid w:val="0069226B"/>
    <w:rsid w:val="00692524"/>
    <w:rsid w:val="0069252B"/>
    <w:rsid w:val="00692729"/>
    <w:rsid w:val="00692B62"/>
    <w:rsid w:val="00692C23"/>
    <w:rsid w:val="006933D5"/>
    <w:rsid w:val="006937AF"/>
    <w:rsid w:val="00693A19"/>
    <w:rsid w:val="00693B82"/>
    <w:rsid w:val="00693D51"/>
    <w:rsid w:val="0069430F"/>
    <w:rsid w:val="00695852"/>
    <w:rsid w:val="00695A70"/>
    <w:rsid w:val="00695B10"/>
    <w:rsid w:val="0069756E"/>
    <w:rsid w:val="006977F3"/>
    <w:rsid w:val="006A08C3"/>
    <w:rsid w:val="006A0AB9"/>
    <w:rsid w:val="006A1560"/>
    <w:rsid w:val="006A16AD"/>
    <w:rsid w:val="006A16CE"/>
    <w:rsid w:val="006A1A3E"/>
    <w:rsid w:val="006A1DAB"/>
    <w:rsid w:val="006A21DF"/>
    <w:rsid w:val="006A2BF6"/>
    <w:rsid w:val="006A2D04"/>
    <w:rsid w:val="006A3AD8"/>
    <w:rsid w:val="006A3C56"/>
    <w:rsid w:val="006A3FC0"/>
    <w:rsid w:val="006A43B4"/>
    <w:rsid w:val="006A4790"/>
    <w:rsid w:val="006A5925"/>
    <w:rsid w:val="006A5A13"/>
    <w:rsid w:val="006A6359"/>
    <w:rsid w:val="006A67C3"/>
    <w:rsid w:val="006A6EFA"/>
    <w:rsid w:val="006A71A3"/>
    <w:rsid w:val="006A741F"/>
    <w:rsid w:val="006A769F"/>
    <w:rsid w:val="006A773D"/>
    <w:rsid w:val="006A7943"/>
    <w:rsid w:val="006B01D4"/>
    <w:rsid w:val="006B02FA"/>
    <w:rsid w:val="006B11B1"/>
    <w:rsid w:val="006B1241"/>
    <w:rsid w:val="006B1402"/>
    <w:rsid w:val="006B17FB"/>
    <w:rsid w:val="006B1818"/>
    <w:rsid w:val="006B1842"/>
    <w:rsid w:val="006B32DE"/>
    <w:rsid w:val="006B3C21"/>
    <w:rsid w:val="006B3C5D"/>
    <w:rsid w:val="006B3C7C"/>
    <w:rsid w:val="006B4467"/>
    <w:rsid w:val="006B44B5"/>
    <w:rsid w:val="006B468B"/>
    <w:rsid w:val="006B49E8"/>
    <w:rsid w:val="006B4A5F"/>
    <w:rsid w:val="006B4ACE"/>
    <w:rsid w:val="006B50C5"/>
    <w:rsid w:val="006B596A"/>
    <w:rsid w:val="006B6753"/>
    <w:rsid w:val="006B6CEB"/>
    <w:rsid w:val="006B7407"/>
    <w:rsid w:val="006B7E5F"/>
    <w:rsid w:val="006C009C"/>
    <w:rsid w:val="006C0170"/>
    <w:rsid w:val="006C01BD"/>
    <w:rsid w:val="006C04B5"/>
    <w:rsid w:val="006C09C0"/>
    <w:rsid w:val="006C0C57"/>
    <w:rsid w:val="006C0E46"/>
    <w:rsid w:val="006C0F39"/>
    <w:rsid w:val="006C1202"/>
    <w:rsid w:val="006C1692"/>
    <w:rsid w:val="006C17BD"/>
    <w:rsid w:val="006C1917"/>
    <w:rsid w:val="006C19DC"/>
    <w:rsid w:val="006C1B34"/>
    <w:rsid w:val="006C1E79"/>
    <w:rsid w:val="006C1F69"/>
    <w:rsid w:val="006C1F92"/>
    <w:rsid w:val="006C2114"/>
    <w:rsid w:val="006C230C"/>
    <w:rsid w:val="006C256F"/>
    <w:rsid w:val="006C2B76"/>
    <w:rsid w:val="006C393E"/>
    <w:rsid w:val="006C398D"/>
    <w:rsid w:val="006C3D64"/>
    <w:rsid w:val="006C4286"/>
    <w:rsid w:val="006C4AEF"/>
    <w:rsid w:val="006C51BF"/>
    <w:rsid w:val="006C55BA"/>
    <w:rsid w:val="006C5A59"/>
    <w:rsid w:val="006C6005"/>
    <w:rsid w:val="006C61A2"/>
    <w:rsid w:val="006C66CC"/>
    <w:rsid w:val="006C6A08"/>
    <w:rsid w:val="006C743E"/>
    <w:rsid w:val="006C7498"/>
    <w:rsid w:val="006C7A53"/>
    <w:rsid w:val="006C7DDB"/>
    <w:rsid w:val="006C7E35"/>
    <w:rsid w:val="006C7F49"/>
    <w:rsid w:val="006D0181"/>
    <w:rsid w:val="006D0815"/>
    <w:rsid w:val="006D0CE0"/>
    <w:rsid w:val="006D10D7"/>
    <w:rsid w:val="006D126D"/>
    <w:rsid w:val="006D136D"/>
    <w:rsid w:val="006D1BD3"/>
    <w:rsid w:val="006D1BFC"/>
    <w:rsid w:val="006D1C79"/>
    <w:rsid w:val="006D203D"/>
    <w:rsid w:val="006D20B3"/>
    <w:rsid w:val="006D25BD"/>
    <w:rsid w:val="006D27D9"/>
    <w:rsid w:val="006D3608"/>
    <w:rsid w:val="006D39F8"/>
    <w:rsid w:val="006D3AD6"/>
    <w:rsid w:val="006D42F5"/>
    <w:rsid w:val="006D4706"/>
    <w:rsid w:val="006D47BE"/>
    <w:rsid w:val="006D4DCD"/>
    <w:rsid w:val="006D4F5D"/>
    <w:rsid w:val="006D5610"/>
    <w:rsid w:val="006D636F"/>
    <w:rsid w:val="006D6EF9"/>
    <w:rsid w:val="006D71AC"/>
    <w:rsid w:val="006D7868"/>
    <w:rsid w:val="006D79C1"/>
    <w:rsid w:val="006D7CA3"/>
    <w:rsid w:val="006E087D"/>
    <w:rsid w:val="006E0DB3"/>
    <w:rsid w:val="006E0F76"/>
    <w:rsid w:val="006E0FAA"/>
    <w:rsid w:val="006E1B57"/>
    <w:rsid w:val="006E215E"/>
    <w:rsid w:val="006E2711"/>
    <w:rsid w:val="006E3067"/>
    <w:rsid w:val="006E33BA"/>
    <w:rsid w:val="006E41A8"/>
    <w:rsid w:val="006E44DD"/>
    <w:rsid w:val="006E44E7"/>
    <w:rsid w:val="006E45D1"/>
    <w:rsid w:val="006E4970"/>
    <w:rsid w:val="006E4D1B"/>
    <w:rsid w:val="006E529B"/>
    <w:rsid w:val="006E5392"/>
    <w:rsid w:val="006E5B23"/>
    <w:rsid w:val="006E5C18"/>
    <w:rsid w:val="006E619E"/>
    <w:rsid w:val="006E627B"/>
    <w:rsid w:val="006E6335"/>
    <w:rsid w:val="006E6C8D"/>
    <w:rsid w:val="006E7334"/>
    <w:rsid w:val="006E75CC"/>
    <w:rsid w:val="006E781E"/>
    <w:rsid w:val="006E7D9F"/>
    <w:rsid w:val="006F01E7"/>
    <w:rsid w:val="006F12F3"/>
    <w:rsid w:val="006F15C6"/>
    <w:rsid w:val="006F15D6"/>
    <w:rsid w:val="006F1CBD"/>
    <w:rsid w:val="006F1CC3"/>
    <w:rsid w:val="006F1EF9"/>
    <w:rsid w:val="006F1F35"/>
    <w:rsid w:val="006F2011"/>
    <w:rsid w:val="006F2626"/>
    <w:rsid w:val="006F3036"/>
    <w:rsid w:val="006F3811"/>
    <w:rsid w:val="006F3884"/>
    <w:rsid w:val="006F39D3"/>
    <w:rsid w:val="006F5396"/>
    <w:rsid w:val="006F541E"/>
    <w:rsid w:val="006F5508"/>
    <w:rsid w:val="006F5A92"/>
    <w:rsid w:val="006F5D81"/>
    <w:rsid w:val="006F6099"/>
    <w:rsid w:val="006F6403"/>
    <w:rsid w:val="006F6573"/>
    <w:rsid w:val="006F6772"/>
    <w:rsid w:val="006F6A3C"/>
    <w:rsid w:val="006F6B05"/>
    <w:rsid w:val="006F6BD2"/>
    <w:rsid w:val="006F6C7B"/>
    <w:rsid w:val="006F6DAC"/>
    <w:rsid w:val="006F6DFD"/>
    <w:rsid w:val="006F6E43"/>
    <w:rsid w:val="006F7074"/>
    <w:rsid w:val="006F7206"/>
    <w:rsid w:val="006F7E79"/>
    <w:rsid w:val="00700821"/>
    <w:rsid w:val="00700826"/>
    <w:rsid w:val="00700BEE"/>
    <w:rsid w:val="00700F44"/>
    <w:rsid w:val="007016EB"/>
    <w:rsid w:val="00701999"/>
    <w:rsid w:val="00701CD2"/>
    <w:rsid w:val="00701D94"/>
    <w:rsid w:val="00702718"/>
    <w:rsid w:val="007030A8"/>
    <w:rsid w:val="007033AE"/>
    <w:rsid w:val="0070385B"/>
    <w:rsid w:val="00703984"/>
    <w:rsid w:val="00703BA5"/>
    <w:rsid w:val="00703C0A"/>
    <w:rsid w:val="00703CFD"/>
    <w:rsid w:val="0070403D"/>
    <w:rsid w:val="007046A9"/>
    <w:rsid w:val="007049FD"/>
    <w:rsid w:val="0070552E"/>
    <w:rsid w:val="007056D3"/>
    <w:rsid w:val="00705957"/>
    <w:rsid w:val="00705A3E"/>
    <w:rsid w:val="00705C97"/>
    <w:rsid w:val="00705D26"/>
    <w:rsid w:val="00706684"/>
    <w:rsid w:val="007068EC"/>
    <w:rsid w:val="007069C6"/>
    <w:rsid w:val="00706BF0"/>
    <w:rsid w:val="00707295"/>
    <w:rsid w:val="007073D3"/>
    <w:rsid w:val="007077F1"/>
    <w:rsid w:val="00707CE3"/>
    <w:rsid w:val="00707FB9"/>
    <w:rsid w:val="007101F8"/>
    <w:rsid w:val="0071026B"/>
    <w:rsid w:val="007108C4"/>
    <w:rsid w:val="00711455"/>
    <w:rsid w:val="0071166C"/>
    <w:rsid w:val="007117A4"/>
    <w:rsid w:val="007118D0"/>
    <w:rsid w:val="00711955"/>
    <w:rsid w:val="00711D63"/>
    <w:rsid w:val="00711F46"/>
    <w:rsid w:val="007121EB"/>
    <w:rsid w:val="0071243C"/>
    <w:rsid w:val="00712BDC"/>
    <w:rsid w:val="00712F9F"/>
    <w:rsid w:val="007135D1"/>
    <w:rsid w:val="007138C2"/>
    <w:rsid w:val="0071413E"/>
    <w:rsid w:val="0071432E"/>
    <w:rsid w:val="0071444C"/>
    <w:rsid w:val="0071470D"/>
    <w:rsid w:val="0071575B"/>
    <w:rsid w:val="00715DBA"/>
    <w:rsid w:val="00715E3A"/>
    <w:rsid w:val="007166BA"/>
    <w:rsid w:val="00716897"/>
    <w:rsid w:val="00717931"/>
    <w:rsid w:val="00717A2B"/>
    <w:rsid w:val="00717D5D"/>
    <w:rsid w:val="007200AE"/>
    <w:rsid w:val="007200D5"/>
    <w:rsid w:val="007201A5"/>
    <w:rsid w:val="00720604"/>
    <w:rsid w:val="00720A0A"/>
    <w:rsid w:val="00720C0A"/>
    <w:rsid w:val="00720EBD"/>
    <w:rsid w:val="0072128F"/>
    <w:rsid w:val="007212C3"/>
    <w:rsid w:val="007214AF"/>
    <w:rsid w:val="0072183E"/>
    <w:rsid w:val="007219CD"/>
    <w:rsid w:val="00721B73"/>
    <w:rsid w:val="00721B9E"/>
    <w:rsid w:val="00721FE0"/>
    <w:rsid w:val="00722130"/>
    <w:rsid w:val="0072253D"/>
    <w:rsid w:val="0072255D"/>
    <w:rsid w:val="00722EA9"/>
    <w:rsid w:val="00722EB0"/>
    <w:rsid w:val="00722ECF"/>
    <w:rsid w:val="00722FCC"/>
    <w:rsid w:val="007230E0"/>
    <w:rsid w:val="00723230"/>
    <w:rsid w:val="007232F4"/>
    <w:rsid w:val="00723414"/>
    <w:rsid w:val="00724181"/>
    <w:rsid w:val="00724352"/>
    <w:rsid w:val="0072440E"/>
    <w:rsid w:val="00724D10"/>
    <w:rsid w:val="00724DC0"/>
    <w:rsid w:val="00724EB8"/>
    <w:rsid w:val="00724F6A"/>
    <w:rsid w:val="00725319"/>
    <w:rsid w:val="00725458"/>
    <w:rsid w:val="007257A6"/>
    <w:rsid w:val="007258D3"/>
    <w:rsid w:val="00725CE7"/>
    <w:rsid w:val="00725D25"/>
    <w:rsid w:val="00726D27"/>
    <w:rsid w:val="00726D46"/>
    <w:rsid w:val="007272A4"/>
    <w:rsid w:val="007272C3"/>
    <w:rsid w:val="00727565"/>
    <w:rsid w:val="00727E58"/>
    <w:rsid w:val="007301F4"/>
    <w:rsid w:val="00730202"/>
    <w:rsid w:val="00730424"/>
    <w:rsid w:val="00730D70"/>
    <w:rsid w:val="0073118C"/>
    <w:rsid w:val="00731A75"/>
    <w:rsid w:val="007324D7"/>
    <w:rsid w:val="00732E2B"/>
    <w:rsid w:val="00732F5F"/>
    <w:rsid w:val="0073315B"/>
    <w:rsid w:val="0073369B"/>
    <w:rsid w:val="007339E4"/>
    <w:rsid w:val="00733A0E"/>
    <w:rsid w:val="00733D05"/>
    <w:rsid w:val="00733E8C"/>
    <w:rsid w:val="0073649F"/>
    <w:rsid w:val="00736545"/>
    <w:rsid w:val="00736C76"/>
    <w:rsid w:val="0073709A"/>
    <w:rsid w:val="007370DD"/>
    <w:rsid w:val="007370F6"/>
    <w:rsid w:val="0073719F"/>
    <w:rsid w:val="00737216"/>
    <w:rsid w:val="00737A7E"/>
    <w:rsid w:val="00740937"/>
    <w:rsid w:val="00741104"/>
    <w:rsid w:val="0074147C"/>
    <w:rsid w:val="00741A1A"/>
    <w:rsid w:val="00741CB3"/>
    <w:rsid w:val="0074218B"/>
    <w:rsid w:val="007426C3"/>
    <w:rsid w:val="007426D2"/>
    <w:rsid w:val="007426EF"/>
    <w:rsid w:val="00742715"/>
    <w:rsid w:val="00742935"/>
    <w:rsid w:val="00742D61"/>
    <w:rsid w:val="00743224"/>
    <w:rsid w:val="00743578"/>
    <w:rsid w:val="0074384F"/>
    <w:rsid w:val="007441AC"/>
    <w:rsid w:val="0074432C"/>
    <w:rsid w:val="00745350"/>
    <w:rsid w:val="0074544D"/>
    <w:rsid w:val="007454A7"/>
    <w:rsid w:val="00745D4C"/>
    <w:rsid w:val="0074676B"/>
    <w:rsid w:val="00746A14"/>
    <w:rsid w:val="00746DEC"/>
    <w:rsid w:val="00746F86"/>
    <w:rsid w:val="00747879"/>
    <w:rsid w:val="007478FC"/>
    <w:rsid w:val="00747F87"/>
    <w:rsid w:val="007500DB"/>
    <w:rsid w:val="00750265"/>
    <w:rsid w:val="00750491"/>
    <w:rsid w:val="0075062C"/>
    <w:rsid w:val="00751044"/>
    <w:rsid w:val="007512CD"/>
    <w:rsid w:val="00751340"/>
    <w:rsid w:val="00751394"/>
    <w:rsid w:val="007513DF"/>
    <w:rsid w:val="0075177B"/>
    <w:rsid w:val="007519B2"/>
    <w:rsid w:val="00751A09"/>
    <w:rsid w:val="00751CD6"/>
    <w:rsid w:val="007520BA"/>
    <w:rsid w:val="007523CF"/>
    <w:rsid w:val="00753112"/>
    <w:rsid w:val="007531C2"/>
    <w:rsid w:val="00753568"/>
    <w:rsid w:val="007535C9"/>
    <w:rsid w:val="00753BC8"/>
    <w:rsid w:val="00753D04"/>
    <w:rsid w:val="00754217"/>
    <w:rsid w:val="0075422E"/>
    <w:rsid w:val="007542D5"/>
    <w:rsid w:val="00754378"/>
    <w:rsid w:val="00754B1D"/>
    <w:rsid w:val="00754B72"/>
    <w:rsid w:val="00754C23"/>
    <w:rsid w:val="00754D95"/>
    <w:rsid w:val="00754DFC"/>
    <w:rsid w:val="00755579"/>
    <w:rsid w:val="00755DCF"/>
    <w:rsid w:val="00755E17"/>
    <w:rsid w:val="0075604C"/>
    <w:rsid w:val="0075667A"/>
    <w:rsid w:val="0075668C"/>
    <w:rsid w:val="00756785"/>
    <w:rsid w:val="007567D2"/>
    <w:rsid w:val="00757192"/>
    <w:rsid w:val="00757D96"/>
    <w:rsid w:val="0076013A"/>
    <w:rsid w:val="00760414"/>
    <w:rsid w:val="0076043B"/>
    <w:rsid w:val="007611E2"/>
    <w:rsid w:val="00761A4C"/>
    <w:rsid w:val="00762333"/>
    <w:rsid w:val="007625B1"/>
    <w:rsid w:val="00762770"/>
    <w:rsid w:val="00762846"/>
    <w:rsid w:val="00762AC4"/>
    <w:rsid w:val="00762B42"/>
    <w:rsid w:val="00762C4B"/>
    <w:rsid w:val="0076371F"/>
    <w:rsid w:val="00763A80"/>
    <w:rsid w:val="00764230"/>
    <w:rsid w:val="00764376"/>
    <w:rsid w:val="007647AA"/>
    <w:rsid w:val="00764C00"/>
    <w:rsid w:val="00764E71"/>
    <w:rsid w:val="0076514C"/>
    <w:rsid w:val="0076526C"/>
    <w:rsid w:val="007653C5"/>
    <w:rsid w:val="007656EF"/>
    <w:rsid w:val="007657B7"/>
    <w:rsid w:val="00765D86"/>
    <w:rsid w:val="00765F4A"/>
    <w:rsid w:val="0076645E"/>
    <w:rsid w:val="00766746"/>
    <w:rsid w:val="00766906"/>
    <w:rsid w:val="00767087"/>
    <w:rsid w:val="00767305"/>
    <w:rsid w:val="00767838"/>
    <w:rsid w:val="007679F9"/>
    <w:rsid w:val="0077011F"/>
    <w:rsid w:val="00770837"/>
    <w:rsid w:val="00770930"/>
    <w:rsid w:val="00770D34"/>
    <w:rsid w:val="00770E23"/>
    <w:rsid w:val="00771430"/>
    <w:rsid w:val="00771676"/>
    <w:rsid w:val="00771677"/>
    <w:rsid w:val="00771A0B"/>
    <w:rsid w:val="00771DC0"/>
    <w:rsid w:val="00771EB1"/>
    <w:rsid w:val="007727AF"/>
    <w:rsid w:val="00772AAA"/>
    <w:rsid w:val="00773AC8"/>
    <w:rsid w:val="007752A0"/>
    <w:rsid w:val="00775318"/>
    <w:rsid w:val="0077623A"/>
    <w:rsid w:val="0077623B"/>
    <w:rsid w:val="00776262"/>
    <w:rsid w:val="00776344"/>
    <w:rsid w:val="00776438"/>
    <w:rsid w:val="00776880"/>
    <w:rsid w:val="00776DDD"/>
    <w:rsid w:val="007775F5"/>
    <w:rsid w:val="00777A01"/>
    <w:rsid w:val="00777BF6"/>
    <w:rsid w:val="00780413"/>
    <w:rsid w:val="00780617"/>
    <w:rsid w:val="00780BBF"/>
    <w:rsid w:val="00781FA3"/>
    <w:rsid w:val="0078273E"/>
    <w:rsid w:val="00782D8C"/>
    <w:rsid w:val="00783CF1"/>
    <w:rsid w:val="00783FD0"/>
    <w:rsid w:val="007840F8"/>
    <w:rsid w:val="007850AF"/>
    <w:rsid w:val="007850BE"/>
    <w:rsid w:val="007860A6"/>
    <w:rsid w:val="00786339"/>
    <w:rsid w:val="007868AE"/>
    <w:rsid w:val="00786A39"/>
    <w:rsid w:val="007870F3"/>
    <w:rsid w:val="0078744A"/>
    <w:rsid w:val="0078744B"/>
    <w:rsid w:val="00787515"/>
    <w:rsid w:val="0078756E"/>
    <w:rsid w:val="007876B2"/>
    <w:rsid w:val="00787E2C"/>
    <w:rsid w:val="00787FE7"/>
    <w:rsid w:val="00790520"/>
    <w:rsid w:val="007907CF"/>
    <w:rsid w:val="00790830"/>
    <w:rsid w:val="00790C42"/>
    <w:rsid w:val="0079114B"/>
    <w:rsid w:val="007911C7"/>
    <w:rsid w:val="00791BB7"/>
    <w:rsid w:val="00791C7A"/>
    <w:rsid w:val="007924E8"/>
    <w:rsid w:val="00792587"/>
    <w:rsid w:val="00793051"/>
    <w:rsid w:val="0079369E"/>
    <w:rsid w:val="007936DC"/>
    <w:rsid w:val="00794131"/>
    <w:rsid w:val="007944CE"/>
    <w:rsid w:val="0079494A"/>
    <w:rsid w:val="00794979"/>
    <w:rsid w:val="00794FD2"/>
    <w:rsid w:val="0079557B"/>
    <w:rsid w:val="007957BC"/>
    <w:rsid w:val="00795EE8"/>
    <w:rsid w:val="00796810"/>
    <w:rsid w:val="0079689C"/>
    <w:rsid w:val="00796916"/>
    <w:rsid w:val="00796A4C"/>
    <w:rsid w:val="007976BE"/>
    <w:rsid w:val="007977B6"/>
    <w:rsid w:val="00797D9D"/>
    <w:rsid w:val="007A01C4"/>
    <w:rsid w:val="007A03C0"/>
    <w:rsid w:val="007A0F12"/>
    <w:rsid w:val="007A1046"/>
    <w:rsid w:val="007A11F6"/>
    <w:rsid w:val="007A14B7"/>
    <w:rsid w:val="007A19F4"/>
    <w:rsid w:val="007A1E06"/>
    <w:rsid w:val="007A1E93"/>
    <w:rsid w:val="007A1F94"/>
    <w:rsid w:val="007A212D"/>
    <w:rsid w:val="007A2AE2"/>
    <w:rsid w:val="007A2B89"/>
    <w:rsid w:val="007A31BC"/>
    <w:rsid w:val="007A3B46"/>
    <w:rsid w:val="007A477A"/>
    <w:rsid w:val="007A513A"/>
    <w:rsid w:val="007A551C"/>
    <w:rsid w:val="007A5ACC"/>
    <w:rsid w:val="007A5E11"/>
    <w:rsid w:val="007A5E79"/>
    <w:rsid w:val="007A65EA"/>
    <w:rsid w:val="007A67C7"/>
    <w:rsid w:val="007A69BE"/>
    <w:rsid w:val="007A6E48"/>
    <w:rsid w:val="007A6FD7"/>
    <w:rsid w:val="007A71F7"/>
    <w:rsid w:val="007A780B"/>
    <w:rsid w:val="007A78F1"/>
    <w:rsid w:val="007B0431"/>
    <w:rsid w:val="007B046C"/>
    <w:rsid w:val="007B0EC6"/>
    <w:rsid w:val="007B0F99"/>
    <w:rsid w:val="007B100E"/>
    <w:rsid w:val="007B114B"/>
    <w:rsid w:val="007B1374"/>
    <w:rsid w:val="007B22A5"/>
    <w:rsid w:val="007B2432"/>
    <w:rsid w:val="007B31BA"/>
    <w:rsid w:val="007B3B34"/>
    <w:rsid w:val="007B3F98"/>
    <w:rsid w:val="007B40F2"/>
    <w:rsid w:val="007B48CB"/>
    <w:rsid w:val="007B5E09"/>
    <w:rsid w:val="007B5F47"/>
    <w:rsid w:val="007B67D6"/>
    <w:rsid w:val="007B6E7A"/>
    <w:rsid w:val="007B7B93"/>
    <w:rsid w:val="007B7C22"/>
    <w:rsid w:val="007B7DBF"/>
    <w:rsid w:val="007B7DDD"/>
    <w:rsid w:val="007B7FE0"/>
    <w:rsid w:val="007C027A"/>
    <w:rsid w:val="007C029F"/>
    <w:rsid w:val="007C0658"/>
    <w:rsid w:val="007C06F5"/>
    <w:rsid w:val="007C085E"/>
    <w:rsid w:val="007C16AC"/>
    <w:rsid w:val="007C1705"/>
    <w:rsid w:val="007C199E"/>
    <w:rsid w:val="007C1BE3"/>
    <w:rsid w:val="007C1D7B"/>
    <w:rsid w:val="007C21B7"/>
    <w:rsid w:val="007C2629"/>
    <w:rsid w:val="007C3BA6"/>
    <w:rsid w:val="007C4733"/>
    <w:rsid w:val="007C4CD2"/>
    <w:rsid w:val="007C4E21"/>
    <w:rsid w:val="007C52DA"/>
    <w:rsid w:val="007C6002"/>
    <w:rsid w:val="007C60FE"/>
    <w:rsid w:val="007C6367"/>
    <w:rsid w:val="007C6580"/>
    <w:rsid w:val="007C70D0"/>
    <w:rsid w:val="007C76FE"/>
    <w:rsid w:val="007C7711"/>
    <w:rsid w:val="007C777D"/>
    <w:rsid w:val="007C7B12"/>
    <w:rsid w:val="007C7BFA"/>
    <w:rsid w:val="007D0ED4"/>
    <w:rsid w:val="007D12CA"/>
    <w:rsid w:val="007D1395"/>
    <w:rsid w:val="007D1B27"/>
    <w:rsid w:val="007D1E92"/>
    <w:rsid w:val="007D2295"/>
    <w:rsid w:val="007D268D"/>
    <w:rsid w:val="007D2B1B"/>
    <w:rsid w:val="007D3211"/>
    <w:rsid w:val="007D395F"/>
    <w:rsid w:val="007D410F"/>
    <w:rsid w:val="007D43FC"/>
    <w:rsid w:val="007D4517"/>
    <w:rsid w:val="007D48BD"/>
    <w:rsid w:val="007D4CEE"/>
    <w:rsid w:val="007D538C"/>
    <w:rsid w:val="007D561D"/>
    <w:rsid w:val="007D5F87"/>
    <w:rsid w:val="007D6778"/>
    <w:rsid w:val="007D6AC4"/>
    <w:rsid w:val="007D6C70"/>
    <w:rsid w:val="007D7074"/>
    <w:rsid w:val="007D72B2"/>
    <w:rsid w:val="007D7542"/>
    <w:rsid w:val="007D793E"/>
    <w:rsid w:val="007D7C59"/>
    <w:rsid w:val="007E07ED"/>
    <w:rsid w:val="007E0AD2"/>
    <w:rsid w:val="007E0C66"/>
    <w:rsid w:val="007E0DB0"/>
    <w:rsid w:val="007E11D1"/>
    <w:rsid w:val="007E1482"/>
    <w:rsid w:val="007E16AE"/>
    <w:rsid w:val="007E24D2"/>
    <w:rsid w:val="007E29C3"/>
    <w:rsid w:val="007E2AB6"/>
    <w:rsid w:val="007E2D51"/>
    <w:rsid w:val="007E2E70"/>
    <w:rsid w:val="007E3352"/>
    <w:rsid w:val="007E3C4A"/>
    <w:rsid w:val="007E4492"/>
    <w:rsid w:val="007E4809"/>
    <w:rsid w:val="007E4932"/>
    <w:rsid w:val="007E4965"/>
    <w:rsid w:val="007E51E7"/>
    <w:rsid w:val="007E5412"/>
    <w:rsid w:val="007E5559"/>
    <w:rsid w:val="007E590B"/>
    <w:rsid w:val="007E5DED"/>
    <w:rsid w:val="007E5ED2"/>
    <w:rsid w:val="007E6824"/>
    <w:rsid w:val="007E6F5E"/>
    <w:rsid w:val="007E6FD1"/>
    <w:rsid w:val="007E726E"/>
    <w:rsid w:val="007E7FE5"/>
    <w:rsid w:val="007F00C9"/>
    <w:rsid w:val="007F02C8"/>
    <w:rsid w:val="007F0598"/>
    <w:rsid w:val="007F05D2"/>
    <w:rsid w:val="007F08A9"/>
    <w:rsid w:val="007F0E26"/>
    <w:rsid w:val="007F13F4"/>
    <w:rsid w:val="007F1598"/>
    <w:rsid w:val="007F160B"/>
    <w:rsid w:val="007F1844"/>
    <w:rsid w:val="007F19D3"/>
    <w:rsid w:val="007F20B6"/>
    <w:rsid w:val="007F2A0F"/>
    <w:rsid w:val="007F2B6F"/>
    <w:rsid w:val="007F2C44"/>
    <w:rsid w:val="007F2F67"/>
    <w:rsid w:val="007F3BED"/>
    <w:rsid w:val="007F40E2"/>
    <w:rsid w:val="007F40F6"/>
    <w:rsid w:val="007F41DD"/>
    <w:rsid w:val="007F4640"/>
    <w:rsid w:val="007F508E"/>
    <w:rsid w:val="007F58CB"/>
    <w:rsid w:val="007F62B2"/>
    <w:rsid w:val="007F6599"/>
    <w:rsid w:val="007F6758"/>
    <w:rsid w:val="007F69B0"/>
    <w:rsid w:val="007F6B75"/>
    <w:rsid w:val="007F7512"/>
    <w:rsid w:val="007F75E1"/>
    <w:rsid w:val="007F7AF6"/>
    <w:rsid w:val="007F7DAB"/>
    <w:rsid w:val="008001B6"/>
    <w:rsid w:val="00800666"/>
    <w:rsid w:val="00800F04"/>
    <w:rsid w:val="008014D5"/>
    <w:rsid w:val="008017CA"/>
    <w:rsid w:val="00801AF0"/>
    <w:rsid w:val="008020E4"/>
    <w:rsid w:val="00802138"/>
    <w:rsid w:val="00802374"/>
    <w:rsid w:val="0080247C"/>
    <w:rsid w:val="0080274B"/>
    <w:rsid w:val="00802C31"/>
    <w:rsid w:val="00802CCB"/>
    <w:rsid w:val="00803B4B"/>
    <w:rsid w:val="00803D65"/>
    <w:rsid w:val="0080432F"/>
    <w:rsid w:val="008048BF"/>
    <w:rsid w:val="00804BF3"/>
    <w:rsid w:val="0080522B"/>
    <w:rsid w:val="008052B6"/>
    <w:rsid w:val="00805E09"/>
    <w:rsid w:val="00806653"/>
    <w:rsid w:val="00806DE7"/>
    <w:rsid w:val="00806FF3"/>
    <w:rsid w:val="008072D1"/>
    <w:rsid w:val="00807B07"/>
    <w:rsid w:val="00807CDD"/>
    <w:rsid w:val="00810637"/>
    <w:rsid w:val="0081099C"/>
    <w:rsid w:val="00810B45"/>
    <w:rsid w:val="00810EDC"/>
    <w:rsid w:val="008111B2"/>
    <w:rsid w:val="0081129A"/>
    <w:rsid w:val="00812252"/>
    <w:rsid w:val="00812418"/>
    <w:rsid w:val="0081243E"/>
    <w:rsid w:val="0081255B"/>
    <w:rsid w:val="008127E1"/>
    <w:rsid w:val="00812BA8"/>
    <w:rsid w:val="00812C7A"/>
    <w:rsid w:val="00812CFE"/>
    <w:rsid w:val="00812D5E"/>
    <w:rsid w:val="00812D80"/>
    <w:rsid w:val="0081366A"/>
    <w:rsid w:val="00813BCE"/>
    <w:rsid w:val="00814006"/>
    <w:rsid w:val="00814140"/>
    <w:rsid w:val="008141C2"/>
    <w:rsid w:val="00814B8E"/>
    <w:rsid w:val="00814C4A"/>
    <w:rsid w:val="00815004"/>
    <w:rsid w:val="00815160"/>
    <w:rsid w:val="0081589E"/>
    <w:rsid w:val="00816495"/>
    <w:rsid w:val="008164F1"/>
    <w:rsid w:val="008167C4"/>
    <w:rsid w:val="00816FF7"/>
    <w:rsid w:val="0081727C"/>
    <w:rsid w:val="00817697"/>
    <w:rsid w:val="008176F6"/>
    <w:rsid w:val="00817795"/>
    <w:rsid w:val="00817B52"/>
    <w:rsid w:val="00817E98"/>
    <w:rsid w:val="0082020D"/>
    <w:rsid w:val="00820276"/>
    <w:rsid w:val="008206CC"/>
    <w:rsid w:val="00820B5D"/>
    <w:rsid w:val="00820FBE"/>
    <w:rsid w:val="00820FE2"/>
    <w:rsid w:val="008210BA"/>
    <w:rsid w:val="0082156B"/>
    <w:rsid w:val="00822192"/>
    <w:rsid w:val="00822574"/>
    <w:rsid w:val="0082262D"/>
    <w:rsid w:val="008226C1"/>
    <w:rsid w:val="00822FAA"/>
    <w:rsid w:val="008233B6"/>
    <w:rsid w:val="008235ED"/>
    <w:rsid w:val="00823D19"/>
    <w:rsid w:val="0082416B"/>
    <w:rsid w:val="00824213"/>
    <w:rsid w:val="00824D21"/>
    <w:rsid w:val="00825394"/>
    <w:rsid w:val="008256D4"/>
    <w:rsid w:val="00825F4E"/>
    <w:rsid w:val="008265B8"/>
    <w:rsid w:val="00826A88"/>
    <w:rsid w:val="00826EB8"/>
    <w:rsid w:val="00826F84"/>
    <w:rsid w:val="0082708D"/>
    <w:rsid w:val="008271E4"/>
    <w:rsid w:val="008274FC"/>
    <w:rsid w:val="0082768F"/>
    <w:rsid w:val="00827B82"/>
    <w:rsid w:val="00830194"/>
    <w:rsid w:val="00830AE0"/>
    <w:rsid w:val="00830F33"/>
    <w:rsid w:val="00830F3C"/>
    <w:rsid w:val="00831C89"/>
    <w:rsid w:val="008320E5"/>
    <w:rsid w:val="0083237D"/>
    <w:rsid w:val="00832ADF"/>
    <w:rsid w:val="0083318F"/>
    <w:rsid w:val="00833359"/>
    <w:rsid w:val="008337EF"/>
    <w:rsid w:val="00833CE5"/>
    <w:rsid w:val="00833D52"/>
    <w:rsid w:val="00833F72"/>
    <w:rsid w:val="0083438B"/>
    <w:rsid w:val="00834579"/>
    <w:rsid w:val="00834CD5"/>
    <w:rsid w:val="00834F0F"/>
    <w:rsid w:val="0083508C"/>
    <w:rsid w:val="00835CC9"/>
    <w:rsid w:val="00836511"/>
    <w:rsid w:val="00836693"/>
    <w:rsid w:val="0083684A"/>
    <w:rsid w:val="008369DC"/>
    <w:rsid w:val="00836F30"/>
    <w:rsid w:val="008373BA"/>
    <w:rsid w:val="008379AA"/>
    <w:rsid w:val="008402EF"/>
    <w:rsid w:val="0084032A"/>
    <w:rsid w:val="00840EC5"/>
    <w:rsid w:val="008417E6"/>
    <w:rsid w:val="008418A1"/>
    <w:rsid w:val="00841936"/>
    <w:rsid w:val="008421DC"/>
    <w:rsid w:val="00842B1F"/>
    <w:rsid w:val="0084354A"/>
    <w:rsid w:val="0084362C"/>
    <w:rsid w:val="00843AED"/>
    <w:rsid w:val="00843B68"/>
    <w:rsid w:val="008441C9"/>
    <w:rsid w:val="00844D44"/>
    <w:rsid w:val="00845203"/>
    <w:rsid w:val="00845506"/>
    <w:rsid w:val="008457B5"/>
    <w:rsid w:val="00846CD3"/>
    <w:rsid w:val="00846E31"/>
    <w:rsid w:val="0084731B"/>
    <w:rsid w:val="008478C8"/>
    <w:rsid w:val="00847E78"/>
    <w:rsid w:val="008500B4"/>
    <w:rsid w:val="00850255"/>
    <w:rsid w:val="0085028F"/>
    <w:rsid w:val="008504FE"/>
    <w:rsid w:val="00850694"/>
    <w:rsid w:val="00850AF4"/>
    <w:rsid w:val="00850E1A"/>
    <w:rsid w:val="00851065"/>
    <w:rsid w:val="00851216"/>
    <w:rsid w:val="00852706"/>
    <w:rsid w:val="008536EC"/>
    <w:rsid w:val="00854190"/>
    <w:rsid w:val="00854845"/>
    <w:rsid w:val="00854BAE"/>
    <w:rsid w:val="00854C25"/>
    <w:rsid w:val="00854E88"/>
    <w:rsid w:val="00855468"/>
    <w:rsid w:val="008554D9"/>
    <w:rsid w:val="008556F9"/>
    <w:rsid w:val="00855D31"/>
    <w:rsid w:val="00855E71"/>
    <w:rsid w:val="00855F86"/>
    <w:rsid w:val="0085649D"/>
    <w:rsid w:val="008565FD"/>
    <w:rsid w:val="00856FF6"/>
    <w:rsid w:val="008570EA"/>
    <w:rsid w:val="00857118"/>
    <w:rsid w:val="00857A04"/>
    <w:rsid w:val="00857F64"/>
    <w:rsid w:val="00860839"/>
    <w:rsid w:val="00861169"/>
    <w:rsid w:val="00861EAA"/>
    <w:rsid w:val="00862490"/>
    <w:rsid w:val="00862492"/>
    <w:rsid w:val="00862770"/>
    <w:rsid w:val="00863419"/>
    <w:rsid w:val="008634C9"/>
    <w:rsid w:val="00863623"/>
    <w:rsid w:val="00863731"/>
    <w:rsid w:val="008637DA"/>
    <w:rsid w:val="00863B7E"/>
    <w:rsid w:val="0086400A"/>
    <w:rsid w:val="008640A8"/>
    <w:rsid w:val="0086426B"/>
    <w:rsid w:val="00865240"/>
    <w:rsid w:val="0086557B"/>
    <w:rsid w:val="00865640"/>
    <w:rsid w:val="00865AD7"/>
    <w:rsid w:val="00866218"/>
    <w:rsid w:val="008662BD"/>
    <w:rsid w:val="00866B29"/>
    <w:rsid w:val="00866DC7"/>
    <w:rsid w:val="0086732F"/>
    <w:rsid w:val="00867A55"/>
    <w:rsid w:val="00870246"/>
    <w:rsid w:val="00870A45"/>
    <w:rsid w:val="00870ABE"/>
    <w:rsid w:val="00870E34"/>
    <w:rsid w:val="00870FA9"/>
    <w:rsid w:val="008710CC"/>
    <w:rsid w:val="00871E73"/>
    <w:rsid w:val="00871EC2"/>
    <w:rsid w:val="00871FF1"/>
    <w:rsid w:val="0087215B"/>
    <w:rsid w:val="00872CF7"/>
    <w:rsid w:val="00872E80"/>
    <w:rsid w:val="00872F37"/>
    <w:rsid w:val="00873441"/>
    <w:rsid w:val="00873873"/>
    <w:rsid w:val="0087391F"/>
    <w:rsid w:val="0087396D"/>
    <w:rsid w:val="00873B51"/>
    <w:rsid w:val="00873C50"/>
    <w:rsid w:val="00873D58"/>
    <w:rsid w:val="0087476D"/>
    <w:rsid w:val="008749F5"/>
    <w:rsid w:val="00874AF1"/>
    <w:rsid w:val="00874EE4"/>
    <w:rsid w:val="0087579B"/>
    <w:rsid w:val="00875FDB"/>
    <w:rsid w:val="00876464"/>
    <w:rsid w:val="00876590"/>
    <w:rsid w:val="008768D6"/>
    <w:rsid w:val="00876C4E"/>
    <w:rsid w:val="00876F0B"/>
    <w:rsid w:val="00877350"/>
    <w:rsid w:val="0087760A"/>
    <w:rsid w:val="00877EB6"/>
    <w:rsid w:val="00880061"/>
    <w:rsid w:val="0088076A"/>
    <w:rsid w:val="00880952"/>
    <w:rsid w:val="008809C7"/>
    <w:rsid w:val="008811F8"/>
    <w:rsid w:val="008812CE"/>
    <w:rsid w:val="00881511"/>
    <w:rsid w:val="00881C28"/>
    <w:rsid w:val="00881D93"/>
    <w:rsid w:val="00882157"/>
    <w:rsid w:val="00882ADB"/>
    <w:rsid w:val="00882B90"/>
    <w:rsid w:val="00882C55"/>
    <w:rsid w:val="00882FA6"/>
    <w:rsid w:val="0088316B"/>
    <w:rsid w:val="008832D1"/>
    <w:rsid w:val="00883A6D"/>
    <w:rsid w:val="00883E19"/>
    <w:rsid w:val="00883F01"/>
    <w:rsid w:val="0088499B"/>
    <w:rsid w:val="00884A7A"/>
    <w:rsid w:val="00885A95"/>
    <w:rsid w:val="00886097"/>
    <w:rsid w:val="008865B7"/>
    <w:rsid w:val="00886C48"/>
    <w:rsid w:val="00887A05"/>
    <w:rsid w:val="00887A9D"/>
    <w:rsid w:val="00887F3F"/>
    <w:rsid w:val="008900E1"/>
    <w:rsid w:val="008904F0"/>
    <w:rsid w:val="00890650"/>
    <w:rsid w:val="00891068"/>
    <w:rsid w:val="00891263"/>
    <w:rsid w:val="008912D9"/>
    <w:rsid w:val="008914E5"/>
    <w:rsid w:val="008919E8"/>
    <w:rsid w:val="00891C59"/>
    <w:rsid w:val="00891F4E"/>
    <w:rsid w:val="00891FB0"/>
    <w:rsid w:val="00893036"/>
    <w:rsid w:val="008945A3"/>
    <w:rsid w:val="00894959"/>
    <w:rsid w:val="00894DB1"/>
    <w:rsid w:val="0089567F"/>
    <w:rsid w:val="008956F2"/>
    <w:rsid w:val="00895787"/>
    <w:rsid w:val="008958CE"/>
    <w:rsid w:val="00896000"/>
    <w:rsid w:val="00896057"/>
    <w:rsid w:val="008961B4"/>
    <w:rsid w:val="008963E6"/>
    <w:rsid w:val="00896438"/>
    <w:rsid w:val="00896716"/>
    <w:rsid w:val="008968F8"/>
    <w:rsid w:val="00896ED4"/>
    <w:rsid w:val="008971A2"/>
    <w:rsid w:val="00897369"/>
    <w:rsid w:val="008973C4"/>
    <w:rsid w:val="008975C2"/>
    <w:rsid w:val="00897680"/>
    <w:rsid w:val="008977C3"/>
    <w:rsid w:val="008A0A35"/>
    <w:rsid w:val="008A1997"/>
    <w:rsid w:val="008A1DEE"/>
    <w:rsid w:val="008A215F"/>
    <w:rsid w:val="008A26BA"/>
    <w:rsid w:val="008A2AD3"/>
    <w:rsid w:val="008A34B3"/>
    <w:rsid w:val="008A467B"/>
    <w:rsid w:val="008A4EC7"/>
    <w:rsid w:val="008A4EDC"/>
    <w:rsid w:val="008A53DE"/>
    <w:rsid w:val="008A616A"/>
    <w:rsid w:val="008A632A"/>
    <w:rsid w:val="008A6557"/>
    <w:rsid w:val="008A6DBC"/>
    <w:rsid w:val="008A707A"/>
    <w:rsid w:val="008A75C3"/>
    <w:rsid w:val="008B029D"/>
    <w:rsid w:val="008B0665"/>
    <w:rsid w:val="008B0859"/>
    <w:rsid w:val="008B0F8D"/>
    <w:rsid w:val="008B1028"/>
    <w:rsid w:val="008B1095"/>
    <w:rsid w:val="008B1112"/>
    <w:rsid w:val="008B1559"/>
    <w:rsid w:val="008B16C2"/>
    <w:rsid w:val="008B18F4"/>
    <w:rsid w:val="008B1D3C"/>
    <w:rsid w:val="008B2147"/>
    <w:rsid w:val="008B23E2"/>
    <w:rsid w:val="008B2D9C"/>
    <w:rsid w:val="008B3207"/>
    <w:rsid w:val="008B32FF"/>
    <w:rsid w:val="008B347B"/>
    <w:rsid w:val="008B37C5"/>
    <w:rsid w:val="008B3E38"/>
    <w:rsid w:val="008B3F18"/>
    <w:rsid w:val="008B45FE"/>
    <w:rsid w:val="008B4AC6"/>
    <w:rsid w:val="008B516B"/>
    <w:rsid w:val="008B5477"/>
    <w:rsid w:val="008B57FE"/>
    <w:rsid w:val="008B5906"/>
    <w:rsid w:val="008B5EB8"/>
    <w:rsid w:val="008B6867"/>
    <w:rsid w:val="008B7616"/>
    <w:rsid w:val="008B762A"/>
    <w:rsid w:val="008B762E"/>
    <w:rsid w:val="008B795D"/>
    <w:rsid w:val="008C012D"/>
    <w:rsid w:val="008C0293"/>
    <w:rsid w:val="008C03F4"/>
    <w:rsid w:val="008C03F5"/>
    <w:rsid w:val="008C095D"/>
    <w:rsid w:val="008C10EA"/>
    <w:rsid w:val="008C1418"/>
    <w:rsid w:val="008C1699"/>
    <w:rsid w:val="008C1843"/>
    <w:rsid w:val="008C1AB0"/>
    <w:rsid w:val="008C1F65"/>
    <w:rsid w:val="008C21AB"/>
    <w:rsid w:val="008C21B6"/>
    <w:rsid w:val="008C2474"/>
    <w:rsid w:val="008C2715"/>
    <w:rsid w:val="008C310C"/>
    <w:rsid w:val="008C31A0"/>
    <w:rsid w:val="008C3537"/>
    <w:rsid w:val="008C381E"/>
    <w:rsid w:val="008C38C0"/>
    <w:rsid w:val="008C3F58"/>
    <w:rsid w:val="008C41D4"/>
    <w:rsid w:val="008C435B"/>
    <w:rsid w:val="008C45E9"/>
    <w:rsid w:val="008C5892"/>
    <w:rsid w:val="008C5BAA"/>
    <w:rsid w:val="008C5DFD"/>
    <w:rsid w:val="008C6267"/>
    <w:rsid w:val="008C67C8"/>
    <w:rsid w:val="008C6935"/>
    <w:rsid w:val="008C6C5C"/>
    <w:rsid w:val="008C7001"/>
    <w:rsid w:val="008C74F1"/>
    <w:rsid w:val="008C76FE"/>
    <w:rsid w:val="008C7914"/>
    <w:rsid w:val="008C7C6D"/>
    <w:rsid w:val="008D011C"/>
    <w:rsid w:val="008D03B6"/>
    <w:rsid w:val="008D08A7"/>
    <w:rsid w:val="008D0D08"/>
    <w:rsid w:val="008D116F"/>
    <w:rsid w:val="008D131D"/>
    <w:rsid w:val="008D17DE"/>
    <w:rsid w:val="008D1BE7"/>
    <w:rsid w:val="008D1FA1"/>
    <w:rsid w:val="008D219D"/>
    <w:rsid w:val="008D24C3"/>
    <w:rsid w:val="008D27E0"/>
    <w:rsid w:val="008D3963"/>
    <w:rsid w:val="008D39E2"/>
    <w:rsid w:val="008D4553"/>
    <w:rsid w:val="008D4B52"/>
    <w:rsid w:val="008D5017"/>
    <w:rsid w:val="008D54BC"/>
    <w:rsid w:val="008D5A37"/>
    <w:rsid w:val="008D65B0"/>
    <w:rsid w:val="008D6AC7"/>
    <w:rsid w:val="008D6B88"/>
    <w:rsid w:val="008D6DBE"/>
    <w:rsid w:val="008D6FB8"/>
    <w:rsid w:val="008D7596"/>
    <w:rsid w:val="008D75A6"/>
    <w:rsid w:val="008D79D7"/>
    <w:rsid w:val="008E0079"/>
    <w:rsid w:val="008E0099"/>
    <w:rsid w:val="008E04C6"/>
    <w:rsid w:val="008E08ED"/>
    <w:rsid w:val="008E0A9F"/>
    <w:rsid w:val="008E0CD2"/>
    <w:rsid w:val="008E0DAD"/>
    <w:rsid w:val="008E0EED"/>
    <w:rsid w:val="008E1383"/>
    <w:rsid w:val="008E2210"/>
    <w:rsid w:val="008E24CE"/>
    <w:rsid w:val="008E2751"/>
    <w:rsid w:val="008E2BF5"/>
    <w:rsid w:val="008E2CBD"/>
    <w:rsid w:val="008E2D52"/>
    <w:rsid w:val="008E3494"/>
    <w:rsid w:val="008E34CF"/>
    <w:rsid w:val="008E4ABC"/>
    <w:rsid w:val="008E4D2D"/>
    <w:rsid w:val="008E53E4"/>
    <w:rsid w:val="008E587A"/>
    <w:rsid w:val="008E5B16"/>
    <w:rsid w:val="008E70E3"/>
    <w:rsid w:val="008E7386"/>
    <w:rsid w:val="008E75FE"/>
    <w:rsid w:val="008E7764"/>
    <w:rsid w:val="008E7B20"/>
    <w:rsid w:val="008F014C"/>
    <w:rsid w:val="008F0182"/>
    <w:rsid w:val="008F01B4"/>
    <w:rsid w:val="008F05D6"/>
    <w:rsid w:val="008F07D2"/>
    <w:rsid w:val="008F087E"/>
    <w:rsid w:val="008F0E60"/>
    <w:rsid w:val="008F12FF"/>
    <w:rsid w:val="008F1321"/>
    <w:rsid w:val="008F16D2"/>
    <w:rsid w:val="008F2862"/>
    <w:rsid w:val="008F29D2"/>
    <w:rsid w:val="008F2A6A"/>
    <w:rsid w:val="008F2C4C"/>
    <w:rsid w:val="008F2FBE"/>
    <w:rsid w:val="008F34BC"/>
    <w:rsid w:val="008F3532"/>
    <w:rsid w:val="008F36E9"/>
    <w:rsid w:val="008F3B90"/>
    <w:rsid w:val="008F3FD2"/>
    <w:rsid w:val="008F4042"/>
    <w:rsid w:val="008F47A7"/>
    <w:rsid w:val="008F4D6D"/>
    <w:rsid w:val="008F5217"/>
    <w:rsid w:val="008F5328"/>
    <w:rsid w:val="008F5BAC"/>
    <w:rsid w:val="008F663C"/>
    <w:rsid w:val="008F6EFC"/>
    <w:rsid w:val="008F6F14"/>
    <w:rsid w:val="008F72CD"/>
    <w:rsid w:val="008F7A04"/>
    <w:rsid w:val="008F7A6D"/>
    <w:rsid w:val="009009B2"/>
    <w:rsid w:val="009019B8"/>
    <w:rsid w:val="00901A2E"/>
    <w:rsid w:val="009038F7"/>
    <w:rsid w:val="00903DC3"/>
    <w:rsid w:val="00903F74"/>
    <w:rsid w:val="00903FC3"/>
    <w:rsid w:val="00904045"/>
    <w:rsid w:val="00904452"/>
    <w:rsid w:val="0090484E"/>
    <w:rsid w:val="009060A0"/>
    <w:rsid w:val="00906366"/>
    <w:rsid w:val="00906F25"/>
    <w:rsid w:val="00906F86"/>
    <w:rsid w:val="00907534"/>
    <w:rsid w:val="00907BAA"/>
    <w:rsid w:val="00907BDB"/>
    <w:rsid w:val="00910520"/>
    <w:rsid w:val="00910956"/>
    <w:rsid w:val="009109EE"/>
    <w:rsid w:val="00911741"/>
    <w:rsid w:val="0091177C"/>
    <w:rsid w:val="009119C1"/>
    <w:rsid w:val="00911FE5"/>
    <w:rsid w:val="00913BC9"/>
    <w:rsid w:val="00913D6C"/>
    <w:rsid w:val="00913FCE"/>
    <w:rsid w:val="00914389"/>
    <w:rsid w:val="009145A7"/>
    <w:rsid w:val="009145BB"/>
    <w:rsid w:val="009145D8"/>
    <w:rsid w:val="0091470D"/>
    <w:rsid w:val="00914789"/>
    <w:rsid w:val="00914D19"/>
    <w:rsid w:val="00914FA4"/>
    <w:rsid w:val="00914FCF"/>
    <w:rsid w:val="00915155"/>
    <w:rsid w:val="0091558E"/>
    <w:rsid w:val="009158E0"/>
    <w:rsid w:val="0091596A"/>
    <w:rsid w:val="00916054"/>
    <w:rsid w:val="009163F4"/>
    <w:rsid w:val="009165D8"/>
    <w:rsid w:val="0091717C"/>
    <w:rsid w:val="00917615"/>
    <w:rsid w:val="00917714"/>
    <w:rsid w:val="00917760"/>
    <w:rsid w:val="009179C5"/>
    <w:rsid w:val="009208C7"/>
    <w:rsid w:val="009209E4"/>
    <w:rsid w:val="00920C5E"/>
    <w:rsid w:val="00920F86"/>
    <w:rsid w:val="00921015"/>
    <w:rsid w:val="00921A51"/>
    <w:rsid w:val="00922064"/>
    <w:rsid w:val="009227AC"/>
    <w:rsid w:val="009228C4"/>
    <w:rsid w:val="00922909"/>
    <w:rsid w:val="00922BA2"/>
    <w:rsid w:val="00922E26"/>
    <w:rsid w:val="00922E85"/>
    <w:rsid w:val="00923200"/>
    <w:rsid w:val="00923443"/>
    <w:rsid w:val="0092351D"/>
    <w:rsid w:val="00923A13"/>
    <w:rsid w:val="0092400D"/>
    <w:rsid w:val="009240C9"/>
    <w:rsid w:val="00925193"/>
    <w:rsid w:val="009251CC"/>
    <w:rsid w:val="009251F8"/>
    <w:rsid w:val="00925632"/>
    <w:rsid w:val="00925764"/>
    <w:rsid w:val="00925B93"/>
    <w:rsid w:val="00925FB9"/>
    <w:rsid w:val="009263B0"/>
    <w:rsid w:val="00926F57"/>
    <w:rsid w:val="00927205"/>
    <w:rsid w:val="0092773D"/>
    <w:rsid w:val="0092779C"/>
    <w:rsid w:val="009278D5"/>
    <w:rsid w:val="009279D4"/>
    <w:rsid w:val="00927A00"/>
    <w:rsid w:val="00927C05"/>
    <w:rsid w:val="00927DF7"/>
    <w:rsid w:val="00930237"/>
    <w:rsid w:val="009302BB"/>
    <w:rsid w:val="00930418"/>
    <w:rsid w:val="0093073D"/>
    <w:rsid w:val="009308DD"/>
    <w:rsid w:val="0093151C"/>
    <w:rsid w:val="0093176D"/>
    <w:rsid w:val="00931984"/>
    <w:rsid w:val="009329DB"/>
    <w:rsid w:val="00932CBD"/>
    <w:rsid w:val="00932E65"/>
    <w:rsid w:val="009332BB"/>
    <w:rsid w:val="0093399A"/>
    <w:rsid w:val="009339BB"/>
    <w:rsid w:val="00934668"/>
    <w:rsid w:val="009346D7"/>
    <w:rsid w:val="009348A9"/>
    <w:rsid w:val="00934F72"/>
    <w:rsid w:val="00934FE6"/>
    <w:rsid w:val="00935271"/>
    <w:rsid w:val="00935427"/>
    <w:rsid w:val="00935A06"/>
    <w:rsid w:val="00935D92"/>
    <w:rsid w:val="00935DD1"/>
    <w:rsid w:val="00935DE8"/>
    <w:rsid w:val="00935FDD"/>
    <w:rsid w:val="00936390"/>
    <w:rsid w:val="00936509"/>
    <w:rsid w:val="009368EF"/>
    <w:rsid w:val="009369F2"/>
    <w:rsid w:val="00936CD0"/>
    <w:rsid w:val="00937347"/>
    <w:rsid w:val="009374E3"/>
    <w:rsid w:val="0093782B"/>
    <w:rsid w:val="00937F92"/>
    <w:rsid w:val="00940207"/>
    <w:rsid w:val="00940953"/>
    <w:rsid w:val="009409C3"/>
    <w:rsid w:val="00940A4D"/>
    <w:rsid w:val="00940E7B"/>
    <w:rsid w:val="00940F8D"/>
    <w:rsid w:val="009410E5"/>
    <w:rsid w:val="009410EC"/>
    <w:rsid w:val="009414E5"/>
    <w:rsid w:val="00942087"/>
    <w:rsid w:val="00942E37"/>
    <w:rsid w:val="009431B4"/>
    <w:rsid w:val="00943B11"/>
    <w:rsid w:val="009440E5"/>
    <w:rsid w:val="009445D2"/>
    <w:rsid w:val="00944C2E"/>
    <w:rsid w:val="00945766"/>
    <w:rsid w:val="009457D9"/>
    <w:rsid w:val="0094637F"/>
    <w:rsid w:val="009463A6"/>
    <w:rsid w:val="00946B60"/>
    <w:rsid w:val="00946F33"/>
    <w:rsid w:val="0094735A"/>
    <w:rsid w:val="009477D2"/>
    <w:rsid w:val="00947ABE"/>
    <w:rsid w:val="0095062A"/>
    <w:rsid w:val="0095078E"/>
    <w:rsid w:val="009507A3"/>
    <w:rsid w:val="00950B18"/>
    <w:rsid w:val="00950C29"/>
    <w:rsid w:val="00951198"/>
    <w:rsid w:val="00951A51"/>
    <w:rsid w:val="00951CF2"/>
    <w:rsid w:val="00951FB1"/>
    <w:rsid w:val="0095225F"/>
    <w:rsid w:val="009523B9"/>
    <w:rsid w:val="0095246D"/>
    <w:rsid w:val="00952B45"/>
    <w:rsid w:val="00952D23"/>
    <w:rsid w:val="00952E92"/>
    <w:rsid w:val="0095302D"/>
    <w:rsid w:val="009531DB"/>
    <w:rsid w:val="00953AC5"/>
    <w:rsid w:val="00953E61"/>
    <w:rsid w:val="00953F57"/>
    <w:rsid w:val="00954059"/>
    <w:rsid w:val="009540F5"/>
    <w:rsid w:val="009544C0"/>
    <w:rsid w:val="009545BF"/>
    <w:rsid w:val="00954B51"/>
    <w:rsid w:val="00954D45"/>
    <w:rsid w:val="00954F23"/>
    <w:rsid w:val="009555DA"/>
    <w:rsid w:val="00955B97"/>
    <w:rsid w:val="0095602F"/>
    <w:rsid w:val="009566A2"/>
    <w:rsid w:val="00957538"/>
    <w:rsid w:val="00957AF0"/>
    <w:rsid w:val="00957BD5"/>
    <w:rsid w:val="00957F34"/>
    <w:rsid w:val="00960A7A"/>
    <w:rsid w:val="00960C6D"/>
    <w:rsid w:val="00960F97"/>
    <w:rsid w:val="0096147C"/>
    <w:rsid w:val="00961678"/>
    <w:rsid w:val="00961B50"/>
    <w:rsid w:val="00961F86"/>
    <w:rsid w:val="00961FD5"/>
    <w:rsid w:val="00962108"/>
    <w:rsid w:val="009622F8"/>
    <w:rsid w:val="00962515"/>
    <w:rsid w:val="00962F3E"/>
    <w:rsid w:val="0096318A"/>
    <w:rsid w:val="0096394A"/>
    <w:rsid w:val="00963A59"/>
    <w:rsid w:val="00963B7F"/>
    <w:rsid w:val="00963C9A"/>
    <w:rsid w:val="00963E28"/>
    <w:rsid w:val="0096416E"/>
    <w:rsid w:val="00964182"/>
    <w:rsid w:val="00964610"/>
    <w:rsid w:val="0096475A"/>
    <w:rsid w:val="00964EAF"/>
    <w:rsid w:val="00965183"/>
    <w:rsid w:val="009651CB"/>
    <w:rsid w:val="00965238"/>
    <w:rsid w:val="009653DB"/>
    <w:rsid w:val="00965885"/>
    <w:rsid w:val="00965B6F"/>
    <w:rsid w:val="00965C63"/>
    <w:rsid w:val="00965E92"/>
    <w:rsid w:val="00966C4E"/>
    <w:rsid w:val="009679B1"/>
    <w:rsid w:val="00967ED4"/>
    <w:rsid w:val="00970267"/>
    <w:rsid w:val="00970A70"/>
    <w:rsid w:val="00970B44"/>
    <w:rsid w:val="00970BD3"/>
    <w:rsid w:val="009713C6"/>
    <w:rsid w:val="00971566"/>
    <w:rsid w:val="009715FD"/>
    <w:rsid w:val="009723E1"/>
    <w:rsid w:val="00972A44"/>
    <w:rsid w:val="00972C87"/>
    <w:rsid w:val="00972CDA"/>
    <w:rsid w:val="00973036"/>
    <w:rsid w:val="009732CC"/>
    <w:rsid w:val="009733AF"/>
    <w:rsid w:val="00973A0E"/>
    <w:rsid w:val="00973A64"/>
    <w:rsid w:val="00973CB6"/>
    <w:rsid w:val="009746D1"/>
    <w:rsid w:val="009749AC"/>
    <w:rsid w:val="00974F45"/>
    <w:rsid w:val="00974F61"/>
    <w:rsid w:val="00975736"/>
    <w:rsid w:val="009757A2"/>
    <w:rsid w:val="00975E19"/>
    <w:rsid w:val="009763BB"/>
    <w:rsid w:val="00976D39"/>
    <w:rsid w:val="00976F0F"/>
    <w:rsid w:val="00977225"/>
    <w:rsid w:val="009779DA"/>
    <w:rsid w:val="00980130"/>
    <w:rsid w:val="0098084F"/>
    <w:rsid w:val="00980DDC"/>
    <w:rsid w:val="00980DFF"/>
    <w:rsid w:val="00980FB8"/>
    <w:rsid w:val="0098121B"/>
    <w:rsid w:val="0098141B"/>
    <w:rsid w:val="009816D8"/>
    <w:rsid w:val="00981B70"/>
    <w:rsid w:val="00981D8A"/>
    <w:rsid w:val="00981D8C"/>
    <w:rsid w:val="0098282E"/>
    <w:rsid w:val="0098314B"/>
    <w:rsid w:val="00984581"/>
    <w:rsid w:val="009845AF"/>
    <w:rsid w:val="00984721"/>
    <w:rsid w:val="0098480C"/>
    <w:rsid w:val="0098491F"/>
    <w:rsid w:val="00984BDB"/>
    <w:rsid w:val="00985940"/>
    <w:rsid w:val="00985CC2"/>
    <w:rsid w:val="00986595"/>
    <w:rsid w:val="00986ADF"/>
    <w:rsid w:val="00987395"/>
    <w:rsid w:val="00987470"/>
    <w:rsid w:val="0099014C"/>
    <w:rsid w:val="00990932"/>
    <w:rsid w:val="00990A3A"/>
    <w:rsid w:val="00990D1B"/>
    <w:rsid w:val="00991043"/>
    <w:rsid w:val="00991F62"/>
    <w:rsid w:val="0099222B"/>
    <w:rsid w:val="009922A5"/>
    <w:rsid w:val="00992391"/>
    <w:rsid w:val="0099244C"/>
    <w:rsid w:val="00993017"/>
    <w:rsid w:val="00993390"/>
    <w:rsid w:val="0099379C"/>
    <w:rsid w:val="009937DA"/>
    <w:rsid w:val="00993BC0"/>
    <w:rsid w:val="00993C06"/>
    <w:rsid w:val="00993CA4"/>
    <w:rsid w:val="009947CC"/>
    <w:rsid w:val="00994958"/>
    <w:rsid w:val="00995183"/>
    <w:rsid w:val="0099594B"/>
    <w:rsid w:val="00995ACE"/>
    <w:rsid w:val="00996711"/>
    <w:rsid w:val="00996A58"/>
    <w:rsid w:val="00996E44"/>
    <w:rsid w:val="00996E8C"/>
    <w:rsid w:val="00997C5B"/>
    <w:rsid w:val="00997E82"/>
    <w:rsid w:val="009A01B5"/>
    <w:rsid w:val="009A025B"/>
    <w:rsid w:val="009A040F"/>
    <w:rsid w:val="009A07B8"/>
    <w:rsid w:val="009A099D"/>
    <w:rsid w:val="009A0CEA"/>
    <w:rsid w:val="009A0E21"/>
    <w:rsid w:val="009A103C"/>
    <w:rsid w:val="009A13DE"/>
    <w:rsid w:val="009A186E"/>
    <w:rsid w:val="009A18D7"/>
    <w:rsid w:val="009A2A9D"/>
    <w:rsid w:val="009A2F3E"/>
    <w:rsid w:val="009A3344"/>
    <w:rsid w:val="009A3C4C"/>
    <w:rsid w:val="009A3D14"/>
    <w:rsid w:val="009A3FCD"/>
    <w:rsid w:val="009A4E0D"/>
    <w:rsid w:val="009A4EEE"/>
    <w:rsid w:val="009A5799"/>
    <w:rsid w:val="009A5C3A"/>
    <w:rsid w:val="009A65DC"/>
    <w:rsid w:val="009A68AF"/>
    <w:rsid w:val="009A6975"/>
    <w:rsid w:val="009A6A1B"/>
    <w:rsid w:val="009A790F"/>
    <w:rsid w:val="009A7AAE"/>
    <w:rsid w:val="009B052C"/>
    <w:rsid w:val="009B0607"/>
    <w:rsid w:val="009B08DE"/>
    <w:rsid w:val="009B09F4"/>
    <w:rsid w:val="009B0A80"/>
    <w:rsid w:val="009B11F5"/>
    <w:rsid w:val="009B1627"/>
    <w:rsid w:val="009B16A1"/>
    <w:rsid w:val="009B1A08"/>
    <w:rsid w:val="009B1C24"/>
    <w:rsid w:val="009B29AF"/>
    <w:rsid w:val="009B2C6D"/>
    <w:rsid w:val="009B3132"/>
    <w:rsid w:val="009B34F7"/>
    <w:rsid w:val="009B4525"/>
    <w:rsid w:val="009B4A98"/>
    <w:rsid w:val="009B4D1B"/>
    <w:rsid w:val="009B4FCB"/>
    <w:rsid w:val="009B572B"/>
    <w:rsid w:val="009B5ED1"/>
    <w:rsid w:val="009B6312"/>
    <w:rsid w:val="009B631F"/>
    <w:rsid w:val="009B677E"/>
    <w:rsid w:val="009B69FF"/>
    <w:rsid w:val="009B6CBB"/>
    <w:rsid w:val="009B6CC9"/>
    <w:rsid w:val="009B6F33"/>
    <w:rsid w:val="009B75A4"/>
    <w:rsid w:val="009B7CA5"/>
    <w:rsid w:val="009C0AA5"/>
    <w:rsid w:val="009C0E4F"/>
    <w:rsid w:val="009C16AA"/>
    <w:rsid w:val="009C1754"/>
    <w:rsid w:val="009C1873"/>
    <w:rsid w:val="009C1FDA"/>
    <w:rsid w:val="009C213F"/>
    <w:rsid w:val="009C248B"/>
    <w:rsid w:val="009C24C5"/>
    <w:rsid w:val="009C273E"/>
    <w:rsid w:val="009C2A8D"/>
    <w:rsid w:val="009C2C1C"/>
    <w:rsid w:val="009C2DA8"/>
    <w:rsid w:val="009C2FC6"/>
    <w:rsid w:val="009C4476"/>
    <w:rsid w:val="009C4627"/>
    <w:rsid w:val="009C4894"/>
    <w:rsid w:val="009C4943"/>
    <w:rsid w:val="009C4D86"/>
    <w:rsid w:val="009C5299"/>
    <w:rsid w:val="009C5A80"/>
    <w:rsid w:val="009C5B9D"/>
    <w:rsid w:val="009C5E66"/>
    <w:rsid w:val="009C5FE5"/>
    <w:rsid w:val="009C6333"/>
    <w:rsid w:val="009C6585"/>
    <w:rsid w:val="009C6B9C"/>
    <w:rsid w:val="009C6D87"/>
    <w:rsid w:val="009C6EEA"/>
    <w:rsid w:val="009C77F8"/>
    <w:rsid w:val="009C7CAE"/>
    <w:rsid w:val="009D012F"/>
    <w:rsid w:val="009D02E0"/>
    <w:rsid w:val="009D08AF"/>
    <w:rsid w:val="009D09AE"/>
    <w:rsid w:val="009D0DBB"/>
    <w:rsid w:val="009D170F"/>
    <w:rsid w:val="009D1A7D"/>
    <w:rsid w:val="009D1AA5"/>
    <w:rsid w:val="009D1CC4"/>
    <w:rsid w:val="009D2EA0"/>
    <w:rsid w:val="009D31A5"/>
    <w:rsid w:val="009D3602"/>
    <w:rsid w:val="009D36F4"/>
    <w:rsid w:val="009D37F1"/>
    <w:rsid w:val="009D39E5"/>
    <w:rsid w:val="009D3A51"/>
    <w:rsid w:val="009D3DD0"/>
    <w:rsid w:val="009D4280"/>
    <w:rsid w:val="009D44AA"/>
    <w:rsid w:val="009D45C0"/>
    <w:rsid w:val="009D45DA"/>
    <w:rsid w:val="009D4F48"/>
    <w:rsid w:val="009D622D"/>
    <w:rsid w:val="009D692A"/>
    <w:rsid w:val="009D69EB"/>
    <w:rsid w:val="009D6E1B"/>
    <w:rsid w:val="009D70F0"/>
    <w:rsid w:val="009D74F3"/>
    <w:rsid w:val="009D77FC"/>
    <w:rsid w:val="009D7B0A"/>
    <w:rsid w:val="009D7D24"/>
    <w:rsid w:val="009E0064"/>
    <w:rsid w:val="009E0116"/>
    <w:rsid w:val="009E0263"/>
    <w:rsid w:val="009E031E"/>
    <w:rsid w:val="009E0BC2"/>
    <w:rsid w:val="009E21DE"/>
    <w:rsid w:val="009E25EF"/>
    <w:rsid w:val="009E30DE"/>
    <w:rsid w:val="009E334D"/>
    <w:rsid w:val="009E3819"/>
    <w:rsid w:val="009E3A2D"/>
    <w:rsid w:val="009E3BC5"/>
    <w:rsid w:val="009E4AE1"/>
    <w:rsid w:val="009E527E"/>
    <w:rsid w:val="009E52F3"/>
    <w:rsid w:val="009E5430"/>
    <w:rsid w:val="009E5874"/>
    <w:rsid w:val="009E5F05"/>
    <w:rsid w:val="009E6297"/>
    <w:rsid w:val="009E666A"/>
    <w:rsid w:val="009E6969"/>
    <w:rsid w:val="009F01A7"/>
    <w:rsid w:val="009F01E5"/>
    <w:rsid w:val="009F0455"/>
    <w:rsid w:val="009F0A71"/>
    <w:rsid w:val="009F105F"/>
    <w:rsid w:val="009F1EFE"/>
    <w:rsid w:val="009F253E"/>
    <w:rsid w:val="009F287C"/>
    <w:rsid w:val="009F2D63"/>
    <w:rsid w:val="009F34F0"/>
    <w:rsid w:val="009F364C"/>
    <w:rsid w:val="009F3CCC"/>
    <w:rsid w:val="009F40ED"/>
    <w:rsid w:val="009F43F3"/>
    <w:rsid w:val="009F4910"/>
    <w:rsid w:val="009F4ABC"/>
    <w:rsid w:val="009F52C4"/>
    <w:rsid w:val="009F56F9"/>
    <w:rsid w:val="009F5A48"/>
    <w:rsid w:val="009F5E85"/>
    <w:rsid w:val="009F5FC7"/>
    <w:rsid w:val="009F5FEB"/>
    <w:rsid w:val="009F6AA8"/>
    <w:rsid w:val="009F6B08"/>
    <w:rsid w:val="009F743B"/>
    <w:rsid w:val="009F77C0"/>
    <w:rsid w:val="009F78C9"/>
    <w:rsid w:val="009F7F39"/>
    <w:rsid w:val="009F7FFA"/>
    <w:rsid w:val="00A006BC"/>
    <w:rsid w:val="00A00CC6"/>
    <w:rsid w:val="00A00D1F"/>
    <w:rsid w:val="00A00DC6"/>
    <w:rsid w:val="00A011B0"/>
    <w:rsid w:val="00A012AB"/>
    <w:rsid w:val="00A0155F"/>
    <w:rsid w:val="00A01B19"/>
    <w:rsid w:val="00A01D71"/>
    <w:rsid w:val="00A01F77"/>
    <w:rsid w:val="00A029EE"/>
    <w:rsid w:val="00A02DA8"/>
    <w:rsid w:val="00A03F09"/>
    <w:rsid w:val="00A042C2"/>
    <w:rsid w:val="00A0523B"/>
    <w:rsid w:val="00A0524B"/>
    <w:rsid w:val="00A054A5"/>
    <w:rsid w:val="00A059B9"/>
    <w:rsid w:val="00A05CEF"/>
    <w:rsid w:val="00A05F6C"/>
    <w:rsid w:val="00A06649"/>
    <w:rsid w:val="00A0670E"/>
    <w:rsid w:val="00A075B7"/>
    <w:rsid w:val="00A07605"/>
    <w:rsid w:val="00A076AB"/>
    <w:rsid w:val="00A1061B"/>
    <w:rsid w:val="00A10E30"/>
    <w:rsid w:val="00A11B4A"/>
    <w:rsid w:val="00A11E6A"/>
    <w:rsid w:val="00A12DE2"/>
    <w:rsid w:val="00A1314F"/>
    <w:rsid w:val="00A13A63"/>
    <w:rsid w:val="00A13BF0"/>
    <w:rsid w:val="00A14137"/>
    <w:rsid w:val="00A1487F"/>
    <w:rsid w:val="00A148C3"/>
    <w:rsid w:val="00A14EEB"/>
    <w:rsid w:val="00A14FEB"/>
    <w:rsid w:val="00A1503A"/>
    <w:rsid w:val="00A151B2"/>
    <w:rsid w:val="00A152BD"/>
    <w:rsid w:val="00A15C48"/>
    <w:rsid w:val="00A160B2"/>
    <w:rsid w:val="00A165E6"/>
    <w:rsid w:val="00A1662D"/>
    <w:rsid w:val="00A166FF"/>
    <w:rsid w:val="00A16706"/>
    <w:rsid w:val="00A16FEA"/>
    <w:rsid w:val="00A17235"/>
    <w:rsid w:val="00A205E7"/>
    <w:rsid w:val="00A20A7E"/>
    <w:rsid w:val="00A2138F"/>
    <w:rsid w:val="00A213A5"/>
    <w:rsid w:val="00A214C1"/>
    <w:rsid w:val="00A215BE"/>
    <w:rsid w:val="00A21BEE"/>
    <w:rsid w:val="00A22218"/>
    <w:rsid w:val="00A22653"/>
    <w:rsid w:val="00A22865"/>
    <w:rsid w:val="00A22A05"/>
    <w:rsid w:val="00A22B26"/>
    <w:rsid w:val="00A22C46"/>
    <w:rsid w:val="00A23360"/>
    <w:rsid w:val="00A236A9"/>
    <w:rsid w:val="00A23B3B"/>
    <w:rsid w:val="00A24E49"/>
    <w:rsid w:val="00A24FC6"/>
    <w:rsid w:val="00A25064"/>
    <w:rsid w:val="00A25FC8"/>
    <w:rsid w:val="00A26023"/>
    <w:rsid w:val="00A26368"/>
    <w:rsid w:val="00A26640"/>
    <w:rsid w:val="00A268D0"/>
    <w:rsid w:val="00A26996"/>
    <w:rsid w:val="00A26B82"/>
    <w:rsid w:val="00A26E00"/>
    <w:rsid w:val="00A274FC"/>
    <w:rsid w:val="00A2755B"/>
    <w:rsid w:val="00A27759"/>
    <w:rsid w:val="00A27793"/>
    <w:rsid w:val="00A279D8"/>
    <w:rsid w:val="00A27BE4"/>
    <w:rsid w:val="00A30658"/>
    <w:rsid w:val="00A30A46"/>
    <w:rsid w:val="00A30B9E"/>
    <w:rsid w:val="00A30F17"/>
    <w:rsid w:val="00A31032"/>
    <w:rsid w:val="00A3117D"/>
    <w:rsid w:val="00A31408"/>
    <w:rsid w:val="00A31720"/>
    <w:rsid w:val="00A31C5B"/>
    <w:rsid w:val="00A322BA"/>
    <w:rsid w:val="00A324A8"/>
    <w:rsid w:val="00A328E1"/>
    <w:rsid w:val="00A32BC7"/>
    <w:rsid w:val="00A32CAD"/>
    <w:rsid w:val="00A33083"/>
    <w:rsid w:val="00A330BE"/>
    <w:rsid w:val="00A333FB"/>
    <w:rsid w:val="00A3452C"/>
    <w:rsid w:val="00A34C72"/>
    <w:rsid w:val="00A350BB"/>
    <w:rsid w:val="00A3511B"/>
    <w:rsid w:val="00A35825"/>
    <w:rsid w:val="00A3588E"/>
    <w:rsid w:val="00A35A4D"/>
    <w:rsid w:val="00A3609A"/>
    <w:rsid w:val="00A360FB"/>
    <w:rsid w:val="00A37626"/>
    <w:rsid w:val="00A37B77"/>
    <w:rsid w:val="00A37C86"/>
    <w:rsid w:val="00A40370"/>
    <w:rsid w:val="00A407B8"/>
    <w:rsid w:val="00A40C28"/>
    <w:rsid w:val="00A41043"/>
    <w:rsid w:val="00A416B3"/>
    <w:rsid w:val="00A418FB"/>
    <w:rsid w:val="00A41B7B"/>
    <w:rsid w:val="00A41D73"/>
    <w:rsid w:val="00A41E28"/>
    <w:rsid w:val="00A42386"/>
    <w:rsid w:val="00A4261D"/>
    <w:rsid w:val="00A43005"/>
    <w:rsid w:val="00A436A7"/>
    <w:rsid w:val="00A43C55"/>
    <w:rsid w:val="00A43D15"/>
    <w:rsid w:val="00A43DE2"/>
    <w:rsid w:val="00A447E6"/>
    <w:rsid w:val="00A4496A"/>
    <w:rsid w:val="00A44A0A"/>
    <w:rsid w:val="00A44ACE"/>
    <w:rsid w:val="00A44BDD"/>
    <w:rsid w:val="00A44CB5"/>
    <w:rsid w:val="00A45288"/>
    <w:rsid w:val="00A45DD4"/>
    <w:rsid w:val="00A46092"/>
    <w:rsid w:val="00A46243"/>
    <w:rsid w:val="00A46C9B"/>
    <w:rsid w:val="00A475A4"/>
    <w:rsid w:val="00A47745"/>
    <w:rsid w:val="00A47A80"/>
    <w:rsid w:val="00A47B0A"/>
    <w:rsid w:val="00A47CB4"/>
    <w:rsid w:val="00A47F1D"/>
    <w:rsid w:val="00A500C3"/>
    <w:rsid w:val="00A502E7"/>
    <w:rsid w:val="00A50394"/>
    <w:rsid w:val="00A507E8"/>
    <w:rsid w:val="00A508AA"/>
    <w:rsid w:val="00A50A02"/>
    <w:rsid w:val="00A51789"/>
    <w:rsid w:val="00A52018"/>
    <w:rsid w:val="00A53567"/>
    <w:rsid w:val="00A5356B"/>
    <w:rsid w:val="00A53671"/>
    <w:rsid w:val="00A536C8"/>
    <w:rsid w:val="00A539EC"/>
    <w:rsid w:val="00A54040"/>
    <w:rsid w:val="00A54199"/>
    <w:rsid w:val="00A55565"/>
    <w:rsid w:val="00A55BF7"/>
    <w:rsid w:val="00A5680E"/>
    <w:rsid w:val="00A56B8F"/>
    <w:rsid w:val="00A56E41"/>
    <w:rsid w:val="00A57324"/>
    <w:rsid w:val="00A575EE"/>
    <w:rsid w:val="00A57F3C"/>
    <w:rsid w:val="00A57FBF"/>
    <w:rsid w:val="00A6045B"/>
    <w:rsid w:val="00A60C4B"/>
    <w:rsid w:val="00A60C4F"/>
    <w:rsid w:val="00A610FC"/>
    <w:rsid w:val="00A615DB"/>
    <w:rsid w:val="00A6193E"/>
    <w:rsid w:val="00A61AD1"/>
    <w:rsid w:val="00A61E50"/>
    <w:rsid w:val="00A61F74"/>
    <w:rsid w:val="00A61F76"/>
    <w:rsid w:val="00A6205E"/>
    <w:rsid w:val="00A62383"/>
    <w:rsid w:val="00A6265B"/>
    <w:rsid w:val="00A627A6"/>
    <w:rsid w:val="00A62BDF"/>
    <w:rsid w:val="00A63127"/>
    <w:rsid w:val="00A635E9"/>
    <w:rsid w:val="00A63806"/>
    <w:rsid w:val="00A642A6"/>
    <w:rsid w:val="00A64E9B"/>
    <w:rsid w:val="00A64FF6"/>
    <w:rsid w:val="00A652AD"/>
    <w:rsid w:val="00A653CB"/>
    <w:rsid w:val="00A655D7"/>
    <w:rsid w:val="00A6653C"/>
    <w:rsid w:val="00A66B51"/>
    <w:rsid w:val="00A66C7C"/>
    <w:rsid w:val="00A66DFD"/>
    <w:rsid w:val="00A671E1"/>
    <w:rsid w:val="00A67AE4"/>
    <w:rsid w:val="00A67C95"/>
    <w:rsid w:val="00A67DAA"/>
    <w:rsid w:val="00A703CD"/>
    <w:rsid w:val="00A704AB"/>
    <w:rsid w:val="00A70C1C"/>
    <w:rsid w:val="00A70F43"/>
    <w:rsid w:val="00A716F6"/>
    <w:rsid w:val="00A71B6B"/>
    <w:rsid w:val="00A71D37"/>
    <w:rsid w:val="00A71D73"/>
    <w:rsid w:val="00A72905"/>
    <w:rsid w:val="00A72A9F"/>
    <w:rsid w:val="00A72C4C"/>
    <w:rsid w:val="00A7311B"/>
    <w:rsid w:val="00A73555"/>
    <w:rsid w:val="00A74160"/>
    <w:rsid w:val="00A744D9"/>
    <w:rsid w:val="00A7491A"/>
    <w:rsid w:val="00A74CF5"/>
    <w:rsid w:val="00A752FE"/>
    <w:rsid w:val="00A75622"/>
    <w:rsid w:val="00A75778"/>
    <w:rsid w:val="00A7596E"/>
    <w:rsid w:val="00A759EE"/>
    <w:rsid w:val="00A75A06"/>
    <w:rsid w:val="00A75A07"/>
    <w:rsid w:val="00A75B5E"/>
    <w:rsid w:val="00A75CC8"/>
    <w:rsid w:val="00A7619F"/>
    <w:rsid w:val="00A764E2"/>
    <w:rsid w:val="00A76685"/>
    <w:rsid w:val="00A7689D"/>
    <w:rsid w:val="00A777A7"/>
    <w:rsid w:val="00A7782E"/>
    <w:rsid w:val="00A80003"/>
    <w:rsid w:val="00A805F3"/>
    <w:rsid w:val="00A80768"/>
    <w:rsid w:val="00A80BA4"/>
    <w:rsid w:val="00A81705"/>
    <w:rsid w:val="00A818F8"/>
    <w:rsid w:val="00A81B96"/>
    <w:rsid w:val="00A81D00"/>
    <w:rsid w:val="00A82D1D"/>
    <w:rsid w:val="00A82F63"/>
    <w:rsid w:val="00A82FB3"/>
    <w:rsid w:val="00A8380A"/>
    <w:rsid w:val="00A83B0B"/>
    <w:rsid w:val="00A83FFF"/>
    <w:rsid w:val="00A8415E"/>
    <w:rsid w:val="00A8449F"/>
    <w:rsid w:val="00A84827"/>
    <w:rsid w:val="00A84CF4"/>
    <w:rsid w:val="00A84E02"/>
    <w:rsid w:val="00A85008"/>
    <w:rsid w:val="00A85352"/>
    <w:rsid w:val="00A856C3"/>
    <w:rsid w:val="00A85FE0"/>
    <w:rsid w:val="00A8650C"/>
    <w:rsid w:val="00A87072"/>
    <w:rsid w:val="00A876CC"/>
    <w:rsid w:val="00A90530"/>
    <w:rsid w:val="00A9057D"/>
    <w:rsid w:val="00A90843"/>
    <w:rsid w:val="00A90C77"/>
    <w:rsid w:val="00A90EAB"/>
    <w:rsid w:val="00A91281"/>
    <w:rsid w:val="00A922B2"/>
    <w:rsid w:val="00A92498"/>
    <w:rsid w:val="00A92895"/>
    <w:rsid w:val="00A9395D"/>
    <w:rsid w:val="00A94403"/>
    <w:rsid w:val="00A94758"/>
    <w:rsid w:val="00A951DE"/>
    <w:rsid w:val="00A95668"/>
    <w:rsid w:val="00A957D9"/>
    <w:rsid w:val="00A95A81"/>
    <w:rsid w:val="00A96155"/>
    <w:rsid w:val="00A966D2"/>
    <w:rsid w:val="00A9706E"/>
    <w:rsid w:val="00A971E5"/>
    <w:rsid w:val="00A97BA7"/>
    <w:rsid w:val="00A97BDF"/>
    <w:rsid w:val="00AA0019"/>
    <w:rsid w:val="00AA01AA"/>
    <w:rsid w:val="00AA02B9"/>
    <w:rsid w:val="00AA0508"/>
    <w:rsid w:val="00AA0817"/>
    <w:rsid w:val="00AA0AAC"/>
    <w:rsid w:val="00AA0DB9"/>
    <w:rsid w:val="00AA14BF"/>
    <w:rsid w:val="00AA1663"/>
    <w:rsid w:val="00AA16FE"/>
    <w:rsid w:val="00AA1D05"/>
    <w:rsid w:val="00AA1D4E"/>
    <w:rsid w:val="00AA2674"/>
    <w:rsid w:val="00AA2E16"/>
    <w:rsid w:val="00AA361A"/>
    <w:rsid w:val="00AA3D2A"/>
    <w:rsid w:val="00AA40F5"/>
    <w:rsid w:val="00AA4330"/>
    <w:rsid w:val="00AA459A"/>
    <w:rsid w:val="00AA4810"/>
    <w:rsid w:val="00AA4A18"/>
    <w:rsid w:val="00AA4C74"/>
    <w:rsid w:val="00AA4EFE"/>
    <w:rsid w:val="00AA52A9"/>
    <w:rsid w:val="00AA5B76"/>
    <w:rsid w:val="00AA5B8F"/>
    <w:rsid w:val="00AA5DE4"/>
    <w:rsid w:val="00AA5ED4"/>
    <w:rsid w:val="00AA5FAD"/>
    <w:rsid w:val="00AA609C"/>
    <w:rsid w:val="00AA61F8"/>
    <w:rsid w:val="00AA6981"/>
    <w:rsid w:val="00AA6ADB"/>
    <w:rsid w:val="00AA6E05"/>
    <w:rsid w:val="00AA6E75"/>
    <w:rsid w:val="00AA7A93"/>
    <w:rsid w:val="00AA7B64"/>
    <w:rsid w:val="00AA7CBB"/>
    <w:rsid w:val="00AB03C4"/>
    <w:rsid w:val="00AB0415"/>
    <w:rsid w:val="00AB0652"/>
    <w:rsid w:val="00AB134F"/>
    <w:rsid w:val="00AB1827"/>
    <w:rsid w:val="00AB24A6"/>
    <w:rsid w:val="00AB24AE"/>
    <w:rsid w:val="00AB2883"/>
    <w:rsid w:val="00AB31B0"/>
    <w:rsid w:val="00AB3463"/>
    <w:rsid w:val="00AB4F01"/>
    <w:rsid w:val="00AB4F51"/>
    <w:rsid w:val="00AB4F77"/>
    <w:rsid w:val="00AB4FB9"/>
    <w:rsid w:val="00AB5000"/>
    <w:rsid w:val="00AB5E38"/>
    <w:rsid w:val="00AB64F7"/>
    <w:rsid w:val="00AB6936"/>
    <w:rsid w:val="00AB6986"/>
    <w:rsid w:val="00AB6F00"/>
    <w:rsid w:val="00AB7A00"/>
    <w:rsid w:val="00AB7A2E"/>
    <w:rsid w:val="00AB7A5C"/>
    <w:rsid w:val="00AC0297"/>
    <w:rsid w:val="00AC079D"/>
    <w:rsid w:val="00AC0DC5"/>
    <w:rsid w:val="00AC1971"/>
    <w:rsid w:val="00AC1ED6"/>
    <w:rsid w:val="00AC27E2"/>
    <w:rsid w:val="00AC2B8D"/>
    <w:rsid w:val="00AC2BEC"/>
    <w:rsid w:val="00AC3AEE"/>
    <w:rsid w:val="00AC3B37"/>
    <w:rsid w:val="00AC4151"/>
    <w:rsid w:val="00AC47F8"/>
    <w:rsid w:val="00AC4AED"/>
    <w:rsid w:val="00AC4CF2"/>
    <w:rsid w:val="00AC556C"/>
    <w:rsid w:val="00AC5DFA"/>
    <w:rsid w:val="00AC64D5"/>
    <w:rsid w:val="00AC6BC2"/>
    <w:rsid w:val="00AC6DAF"/>
    <w:rsid w:val="00AC703D"/>
    <w:rsid w:val="00AC75D9"/>
    <w:rsid w:val="00AC760F"/>
    <w:rsid w:val="00AC7975"/>
    <w:rsid w:val="00AD016A"/>
    <w:rsid w:val="00AD02E5"/>
    <w:rsid w:val="00AD069E"/>
    <w:rsid w:val="00AD0C15"/>
    <w:rsid w:val="00AD0F2B"/>
    <w:rsid w:val="00AD1668"/>
    <w:rsid w:val="00AD1C58"/>
    <w:rsid w:val="00AD1EE5"/>
    <w:rsid w:val="00AD2851"/>
    <w:rsid w:val="00AD2B1E"/>
    <w:rsid w:val="00AD31AB"/>
    <w:rsid w:val="00AD3EB5"/>
    <w:rsid w:val="00AD5847"/>
    <w:rsid w:val="00AD5F98"/>
    <w:rsid w:val="00AD6178"/>
    <w:rsid w:val="00AD6537"/>
    <w:rsid w:val="00AD6B53"/>
    <w:rsid w:val="00AD6FE9"/>
    <w:rsid w:val="00AD7217"/>
    <w:rsid w:val="00AD7313"/>
    <w:rsid w:val="00AD7437"/>
    <w:rsid w:val="00AD7479"/>
    <w:rsid w:val="00AD76EB"/>
    <w:rsid w:val="00AD7E60"/>
    <w:rsid w:val="00AE003F"/>
    <w:rsid w:val="00AE0187"/>
    <w:rsid w:val="00AE0A39"/>
    <w:rsid w:val="00AE0BBA"/>
    <w:rsid w:val="00AE1089"/>
    <w:rsid w:val="00AE11A9"/>
    <w:rsid w:val="00AE144B"/>
    <w:rsid w:val="00AE1B1B"/>
    <w:rsid w:val="00AE1B30"/>
    <w:rsid w:val="00AE1C7D"/>
    <w:rsid w:val="00AE1E12"/>
    <w:rsid w:val="00AE2267"/>
    <w:rsid w:val="00AE2813"/>
    <w:rsid w:val="00AE2A79"/>
    <w:rsid w:val="00AE2DCD"/>
    <w:rsid w:val="00AE38B2"/>
    <w:rsid w:val="00AE3A68"/>
    <w:rsid w:val="00AE3D9A"/>
    <w:rsid w:val="00AE3EE0"/>
    <w:rsid w:val="00AE4324"/>
    <w:rsid w:val="00AE465A"/>
    <w:rsid w:val="00AE4A9E"/>
    <w:rsid w:val="00AE4DDA"/>
    <w:rsid w:val="00AE4F4A"/>
    <w:rsid w:val="00AE5624"/>
    <w:rsid w:val="00AE5CE9"/>
    <w:rsid w:val="00AE5F60"/>
    <w:rsid w:val="00AE622F"/>
    <w:rsid w:val="00AE642C"/>
    <w:rsid w:val="00AE668C"/>
    <w:rsid w:val="00AE68DA"/>
    <w:rsid w:val="00AE7B80"/>
    <w:rsid w:val="00AF01A8"/>
    <w:rsid w:val="00AF0367"/>
    <w:rsid w:val="00AF0C19"/>
    <w:rsid w:val="00AF0F98"/>
    <w:rsid w:val="00AF14E1"/>
    <w:rsid w:val="00AF16D4"/>
    <w:rsid w:val="00AF183C"/>
    <w:rsid w:val="00AF379F"/>
    <w:rsid w:val="00AF3AEB"/>
    <w:rsid w:val="00AF4CEF"/>
    <w:rsid w:val="00AF4E2B"/>
    <w:rsid w:val="00AF55D0"/>
    <w:rsid w:val="00AF5A57"/>
    <w:rsid w:val="00AF5FAE"/>
    <w:rsid w:val="00AF6129"/>
    <w:rsid w:val="00AF6165"/>
    <w:rsid w:val="00AF6579"/>
    <w:rsid w:val="00AF675B"/>
    <w:rsid w:val="00AF6940"/>
    <w:rsid w:val="00AF6F8F"/>
    <w:rsid w:val="00AF709B"/>
    <w:rsid w:val="00AF71C1"/>
    <w:rsid w:val="00AF7407"/>
    <w:rsid w:val="00AF7A31"/>
    <w:rsid w:val="00AF7A6E"/>
    <w:rsid w:val="00AF7BE2"/>
    <w:rsid w:val="00AF7F5B"/>
    <w:rsid w:val="00B00776"/>
    <w:rsid w:val="00B00F91"/>
    <w:rsid w:val="00B0135E"/>
    <w:rsid w:val="00B02B4D"/>
    <w:rsid w:val="00B02EB6"/>
    <w:rsid w:val="00B0311F"/>
    <w:rsid w:val="00B03306"/>
    <w:rsid w:val="00B03407"/>
    <w:rsid w:val="00B03444"/>
    <w:rsid w:val="00B036AA"/>
    <w:rsid w:val="00B03960"/>
    <w:rsid w:val="00B03BB9"/>
    <w:rsid w:val="00B03C0E"/>
    <w:rsid w:val="00B04787"/>
    <w:rsid w:val="00B048FD"/>
    <w:rsid w:val="00B04FD6"/>
    <w:rsid w:val="00B04FE1"/>
    <w:rsid w:val="00B0530C"/>
    <w:rsid w:val="00B056DB"/>
    <w:rsid w:val="00B059B6"/>
    <w:rsid w:val="00B05ACA"/>
    <w:rsid w:val="00B05BFA"/>
    <w:rsid w:val="00B05C29"/>
    <w:rsid w:val="00B05E8E"/>
    <w:rsid w:val="00B060DC"/>
    <w:rsid w:val="00B063BE"/>
    <w:rsid w:val="00B06823"/>
    <w:rsid w:val="00B06C9D"/>
    <w:rsid w:val="00B07532"/>
    <w:rsid w:val="00B07E00"/>
    <w:rsid w:val="00B111AF"/>
    <w:rsid w:val="00B11203"/>
    <w:rsid w:val="00B11845"/>
    <w:rsid w:val="00B11C93"/>
    <w:rsid w:val="00B124BB"/>
    <w:rsid w:val="00B124D2"/>
    <w:rsid w:val="00B12537"/>
    <w:rsid w:val="00B126ED"/>
    <w:rsid w:val="00B1282F"/>
    <w:rsid w:val="00B12BF2"/>
    <w:rsid w:val="00B12DEC"/>
    <w:rsid w:val="00B133CB"/>
    <w:rsid w:val="00B13ABF"/>
    <w:rsid w:val="00B141C5"/>
    <w:rsid w:val="00B14399"/>
    <w:rsid w:val="00B1481C"/>
    <w:rsid w:val="00B148AA"/>
    <w:rsid w:val="00B1562B"/>
    <w:rsid w:val="00B15BEB"/>
    <w:rsid w:val="00B15DA9"/>
    <w:rsid w:val="00B15F8D"/>
    <w:rsid w:val="00B167B4"/>
    <w:rsid w:val="00B168A2"/>
    <w:rsid w:val="00B16A6A"/>
    <w:rsid w:val="00B17665"/>
    <w:rsid w:val="00B17819"/>
    <w:rsid w:val="00B17B1E"/>
    <w:rsid w:val="00B20A07"/>
    <w:rsid w:val="00B212F7"/>
    <w:rsid w:val="00B214A3"/>
    <w:rsid w:val="00B21683"/>
    <w:rsid w:val="00B21AB8"/>
    <w:rsid w:val="00B220EC"/>
    <w:rsid w:val="00B22106"/>
    <w:rsid w:val="00B22190"/>
    <w:rsid w:val="00B2228F"/>
    <w:rsid w:val="00B22591"/>
    <w:rsid w:val="00B225C2"/>
    <w:rsid w:val="00B2273B"/>
    <w:rsid w:val="00B239AC"/>
    <w:rsid w:val="00B247BE"/>
    <w:rsid w:val="00B2495F"/>
    <w:rsid w:val="00B24C18"/>
    <w:rsid w:val="00B24CB6"/>
    <w:rsid w:val="00B255AE"/>
    <w:rsid w:val="00B2566D"/>
    <w:rsid w:val="00B25EE4"/>
    <w:rsid w:val="00B27142"/>
    <w:rsid w:val="00B271A5"/>
    <w:rsid w:val="00B27CFF"/>
    <w:rsid w:val="00B30616"/>
    <w:rsid w:val="00B30752"/>
    <w:rsid w:val="00B30DE1"/>
    <w:rsid w:val="00B311BA"/>
    <w:rsid w:val="00B31B22"/>
    <w:rsid w:val="00B31B9C"/>
    <w:rsid w:val="00B321DF"/>
    <w:rsid w:val="00B323FF"/>
    <w:rsid w:val="00B324E6"/>
    <w:rsid w:val="00B32FBC"/>
    <w:rsid w:val="00B33664"/>
    <w:rsid w:val="00B33871"/>
    <w:rsid w:val="00B33E3F"/>
    <w:rsid w:val="00B33F2A"/>
    <w:rsid w:val="00B34811"/>
    <w:rsid w:val="00B34DC0"/>
    <w:rsid w:val="00B35147"/>
    <w:rsid w:val="00B35869"/>
    <w:rsid w:val="00B35A4C"/>
    <w:rsid w:val="00B35E6C"/>
    <w:rsid w:val="00B369B4"/>
    <w:rsid w:val="00B36A97"/>
    <w:rsid w:val="00B36B62"/>
    <w:rsid w:val="00B36BC2"/>
    <w:rsid w:val="00B36C6C"/>
    <w:rsid w:val="00B371A7"/>
    <w:rsid w:val="00B378F5"/>
    <w:rsid w:val="00B402DD"/>
    <w:rsid w:val="00B40427"/>
    <w:rsid w:val="00B40595"/>
    <w:rsid w:val="00B405F3"/>
    <w:rsid w:val="00B40EC7"/>
    <w:rsid w:val="00B41821"/>
    <w:rsid w:val="00B41B75"/>
    <w:rsid w:val="00B41C5B"/>
    <w:rsid w:val="00B41DBE"/>
    <w:rsid w:val="00B41F37"/>
    <w:rsid w:val="00B421C9"/>
    <w:rsid w:val="00B427A9"/>
    <w:rsid w:val="00B42942"/>
    <w:rsid w:val="00B4307F"/>
    <w:rsid w:val="00B43347"/>
    <w:rsid w:val="00B434BE"/>
    <w:rsid w:val="00B4377D"/>
    <w:rsid w:val="00B444ED"/>
    <w:rsid w:val="00B44CAD"/>
    <w:rsid w:val="00B44D7A"/>
    <w:rsid w:val="00B44F8F"/>
    <w:rsid w:val="00B45497"/>
    <w:rsid w:val="00B454CE"/>
    <w:rsid w:val="00B45670"/>
    <w:rsid w:val="00B45A84"/>
    <w:rsid w:val="00B45DF0"/>
    <w:rsid w:val="00B460D6"/>
    <w:rsid w:val="00B4670D"/>
    <w:rsid w:val="00B468CE"/>
    <w:rsid w:val="00B46B8F"/>
    <w:rsid w:val="00B46F69"/>
    <w:rsid w:val="00B47904"/>
    <w:rsid w:val="00B5176F"/>
    <w:rsid w:val="00B5188B"/>
    <w:rsid w:val="00B51C00"/>
    <w:rsid w:val="00B52329"/>
    <w:rsid w:val="00B5250E"/>
    <w:rsid w:val="00B52607"/>
    <w:rsid w:val="00B52C1E"/>
    <w:rsid w:val="00B52C56"/>
    <w:rsid w:val="00B5369D"/>
    <w:rsid w:val="00B5382C"/>
    <w:rsid w:val="00B54D81"/>
    <w:rsid w:val="00B55264"/>
    <w:rsid w:val="00B55734"/>
    <w:rsid w:val="00B55ABE"/>
    <w:rsid w:val="00B55D13"/>
    <w:rsid w:val="00B55D71"/>
    <w:rsid w:val="00B561D4"/>
    <w:rsid w:val="00B566A2"/>
    <w:rsid w:val="00B566BA"/>
    <w:rsid w:val="00B56A5E"/>
    <w:rsid w:val="00B56AB4"/>
    <w:rsid w:val="00B56C2A"/>
    <w:rsid w:val="00B56F15"/>
    <w:rsid w:val="00B5753D"/>
    <w:rsid w:val="00B578D1"/>
    <w:rsid w:val="00B578E2"/>
    <w:rsid w:val="00B57A75"/>
    <w:rsid w:val="00B60270"/>
    <w:rsid w:val="00B60FE3"/>
    <w:rsid w:val="00B61940"/>
    <w:rsid w:val="00B61955"/>
    <w:rsid w:val="00B61D7A"/>
    <w:rsid w:val="00B623DB"/>
    <w:rsid w:val="00B62409"/>
    <w:rsid w:val="00B6266C"/>
    <w:rsid w:val="00B63261"/>
    <w:rsid w:val="00B634F8"/>
    <w:rsid w:val="00B6374C"/>
    <w:rsid w:val="00B63CEF"/>
    <w:rsid w:val="00B63D6F"/>
    <w:rsid w:val="00B63EDC"/>
    <w:rsid w:val="00B64C2D"/>
    <w:rsid w:val="00B652DE"/>
    <w:rsid w:val="00B65531"/>
    <w:rsid w:val="00B6561B"/>
    <w:rsid w:val="00B65A40"/>
    <w:rsid w:val="00B6631C"/>
    <w:rsid w:val="00B664F3"/>
    <w:rsid w:val="00B67D33"/>
    <w:rsid w:val="00B67FF5"/>
    <w:rsid w:val="00B706F8"/>
    <w:rsid w:val="00B708A9"/>
    <w:rsid w:val="00B71C59"/>
    <w:rsid w:val="00B71D5D"/>
    <w:rsid w:val="00B71F8E"/>
    <w:rsid w:val="00B7209E"/>
    <w:rsid w:val="00B722E1"/>
    <w:rsid w:val="00B7287A"/>
    <w:rsid w:val="00B72C11"/>
    <w:rsid w:val="00B72C34"/>
    <w:rsid w:val="00B72E7F"/>
    <w:rsid w:val="00B740F4"/>
    <w:rsid w:val="00B741EC"/>
    <w:rsid w:val="00B74522"/>
    <w:rsid w:val="00B748F0"/>
    <w:rsid w:val="00B74ED6"/>
    <w:rsid w:val="00B7544F"/>
    <w:rsid w:val="00B754A4"/>
    <w:rsid w:val="00B75608"/>
    <w:rsid w:val="00B766DF"/>
    <w:rsid w:val="00B77497"/>
    <w:rsid w:val="00B777FB"/>
    <w:rsid w:val="00B80031"/>
    <w:rsid w:val="00B80106"/>
    <w:rsid w:val="00B80183"/>
    <w:rsid w:val="00B801D0"/>
    <w:rsid w:val="00B80484"/>
    <w:rsid w:val="00B80764"/>
    <w:rsid w:val="00B80AD6"/>
    <w:rsid w:val="00B810E0"/>
    <w:rsid w:val="00B812EC"/>
    <w:rsid w:val="00B8133C"/>
    <w:rsid w:val="00B823CA"/>
    <w:rsid w:val="00B82441"/>
    <w:rsid w:val="00B82450"/>
    <w:rsid w:val="00B8292C"/>
    <w:rsid w:val="00B82CB3"/>
    <w:rsid w:val="00B83653"/>
    <w:rsid w:val="00B83BA3"/>
    <w:rsid w:val="00B83F72"/>
    <w:rsid w:val="00B841AC"/>
    <w:rsid w:val="00B84C52"/>
    <w:rsid w:val="00B85A1A"/>
    <w:rsid w:val="00B85CAC"/>
    <w:rsid w:val="00B85E1C"/>
    <w:rsid w:val="00B86D6D"/>
    <w:rsid w:val="00B8768E"/>
    <w:rsid w:val="00B877E5"/>
    <w:rsid w:val="00B879D3"/>
    <w:rsid w:val="00B87D96"/>
    <w:rsid w:val="00B901C1"/>
    <w:rsid w:val="00B907FF"/>
    <w:rsid w:val="00B90833"/>
    <w:rsid w:val="00B90A6E"/>
    <w:rsid w:val="00B9178B"/>
    <w:rsid w:val="00B91B1D"/>
    <w:rsid w:val="00B91BF2"/>
    <w:rsid w:val="00B9237E"/>
    <w:rsid w:val="00B9328A"/>
    <w:rsid w:val="00B93392"/>
    <w:rsid w:val="00B93E83"/>
    <w:rsid w:val="00B9446D"/>
    <w:rsid w:val="00B94602"/>
    <w:rsid w:val="00B94FA1"/>
    <w:rsid w:val="00B955C3"/>
    <w:rsid w:val="00B95969"/>
    <w:rsid w:val="00B95EBE"/>
    <w:rsid w:val="00B95F3A"/>
    <w:rsid w:val="00B964AF"/>
    <w:rsid w:val="00B965E1"/>
    <w:rsid w:val="00B965F9"/>
    <w:rsid w:val="00B96C19"/>
    <w:rsid w:val="00B97154"/>
    <w:rsid w:val="00B97989"/>
    <w:rsid w:val="00B97DF1"/>
    <w:rsid w:val="00BA0587"/>
    <w:rsid w:val="00BA08EB"/>
    <w:rsid w:val="00BA0C9C"/>
    <w:rsid w:val="00BA0E4C"/>
    <w:rsid w:val="00BA0F66"/>
    <w:rsid w:val="00BA125F"/>
    <w:rsid w:val="00BA1747"/>
    <w:rsid w:val="00BA1AFB"/>
    <w:rsid w:val="00BA1F99"/>
    <w:rsid w:val="00BA28CF"/>
    <w:rsid w:val="00BA2B0E"/>
    <w:rsid w:val="00BA3A34"/>
    <w:rsid w:val="00BA4070"/>
    <w:rsid w:val="00BA4095"/>
    <w:rsid w:val="00BA45E0"/>
    <w:rsid w:val="00BA5201"/>
    <w:rsid w:val="00BA5A26"/>
    <w:rsid w:val="00BA5F74"/>
    <w:rsid w:val="00BA6516"/>
    <w:rsid w:val="00BA73E2"/>
    <w:rsid w:val="00BA754A"/>
    <w:rsid w:val="00BA75B5"/>
    <w:rsid w:val="00BB0136"/>
    <w:rsid w:val="00BB0343"/>
    <w:rsid w:val="00BB0583"/>
    <w:rsid w:val="00BB068B"/>
    <w:rsid w:val="00BB087B"/>
    <w:rsid w:val="00BB0C04"/>
    <w:rsid w:val="00BB0DB2"/>
    <w:rsid w:val="00BB192E"/>
    <w:rsid w:val="00BB1D78"/>
    <w:rsid w:val="00BB1FB7"/>
    <w:rsid w:val="00BB1FE6"/>
    <w:rsid w:val="00BB2218"/>
    <w:rsid w:val="00BB2471"/>
    <w:rsid w:val="00BB2AE7"/>
    <w:rsid w:val="00BB2C13"/>
    <w:rsid w:val="00BB2D57"/>
    <w:rsid w:val="00BB2E09"/>
    <w:rsid w:val="00BB2FC7"/>
    <w:rsid w:val="00BB3187"/>
    <w:rsid w:val="00BB370C"/>
    <w:rsid w:val="00BB4109"/>
    <w:rsid w:val="00BB4B08"/>
    <w:rsid w:val="00BB519F"/>
    <w:rsid w:val="00BB5A92"/>
    <w:rsid w:val="00BB5D2F"/>
    <w:rsid w:val="00BB7146"/>
    <w:rsid w:val="00BB71EA"/>
    <w:rsid w:val="00BB757E"/>
    <w:rsid w:val="00BB7EC0"/>
    <w:rsid w:val="00BB7EDE"/>
    <w:rsid w:val="00BB7FA8"/>
    <w:rsid w:val="00BC0BF4"/>
    <w:rsid w:val="00BC1B16"/>
    <w:rsid w:val="00BC1CD3"/>
    <w:rsid w:val="00BC242E"/>
    <w:rsid w:val="00BC2628"/>
    <w:rsid w:val="00BC2853"/>
    <w:rsid w:val="00BC2936"/>
    <w:rsid w:val="00BC2A4F"/>
    <w:rsid w:val="00BC319E"/>
    <w:rsid w:val="00BC3542"/>
    <w:rsid w:val="00BC3A44"/>
    <w:rsid w:val="00BC3B81"/>
    <w:rsid w:val="00BC3BAB"/>
    <w:rsid w:val="00BC3C10"/>
    <w:rsid w:val="00BC3E35"/>
    <w:rsid w:val="00BC43D4"/>
    <w:rsid w:val="00BC4515"/>
    <w:rsid w:val="00BC45FD"/>
    <w:rsid w:val="00BC47CD"/>
    <w:rsid w:val="00BC4890"/>
    <w:rsid w:val="00BC4FAB"/>
    <w:rsid w:val="00BC505B"/>
    <w:rsid w:val="00BC51C7"/>
    <w:rsid w:val="00BC525A"/>
    <w:rsid w:val="00BC5663"/>
    <w:rsid w:val="00BC5DFD"/>
    <w:rsid w:val="00BC6154"/>
    <w:rsid w:val="00BC68E4"/>
    <w:rsid w:val="00BC6A67"/>
    <w:rsid w:val="00BC6FDC"/>
    <w:rsid w:val="00BC714C"/>
    <w:rsid w:val="00BC71BD"/>
    <w:rsid w:val="00BC71C8"/>
    <w:rsid w:val="00BC7388"/>
    <w:rsid w:val="00BC779C"/>
    <w:rsid w:val="00BD0A4A"/>
    <w:rsid w:val="00BD0D7C"/>
    <w:rsid w:val="00BD17E1"/>
    <w:rsid w:val="00BD1808"/>
    <w:rsid w:val="00BD1C9F"/>
    <w:rsid w:val="00BD1D68"/>
    <w:rsid w:val="00BD1E31"/>
    <w:rsid w:val="00BD2172"/>
    <w:rsid w:val="00BD24D3"/>
    <w:rsid w:val="00BD435A"/>
    <w:rsid w:val="00BD4824"/>
    <w:rsid w:val="00BD531B"/>
    <w:rsid w:val="00BD5B7E"/>
    <w:rsid w:val="00BD5BB4"/>
    <w:rsid w:val="00BD6647"/>
    <w:rsid w:val="00BD6E31"/>
    <w:rsid w:val="00BD715B"/>
    <w:rsid w:val="00BD7604"/>
    <w:rsid w:val="00BD7989"/>
    <w:rsid w:val="00BD7C81"/>
    <w:rsid w:val="00BE02A9"/>
    <w:rsid w:val="00BE0603"/>
    <w:rsid w:val="00BE0D42"/>
    <w:rsid w:val="00BE1259"/>
    <w:rsid w:val="00BE12B3"/>
    <w:rsid w:val="00BE1C0F"/>
    <w:rsid w:val="00BE21A8"/>
    <w:rsid w:val="00BE2561"/>
    <w:rsid w:val="00BE29A4"/>
    <w:rsid w:val="00BE2A3B"/>
    <w:rsid w:val="00BE305C"/>
    <w:rsid w:val="00BE33B3"/>
    <w:rsid w:val="00BE3486"/>
    <w:rsid w:val="00BE3903"/>
    <w:rsid w:val="00BE4735"/>
    <w:rsid w:val="00BE4896"/>
    <w:rsid w:val="00BE4D9B"/>
    <w:rsid w:val="00BE506E"/>
    <w:rsid w:val="00BE5552"/>
    <w:rsid w:val="00BE5B66"/>
    <w:rsid w:val="00BE61AF"/>
    <w:rsid w:val="00BE64FE"/>
    <w:rsid w:val="00BE6772"/>
    <w:rsid w:val="00BE6A1B"/>
    <w:rsid w:val="00BE6B97"/>
    <w:rsid w:val="00BE7584"/>
    <w:rsid w:val="00BE7E4C"/>
    <w:rsid w:val="00BF04A9"/>
    <w:rsid w:val="00BF0C13"/>
    <w:rsid w:val="00BF149F"/>
    <w:rsid w:val="00BF14B5"/>
    <w:rsid w:val="00BF18EB"/>
    <w:rsid w:val="00BF1F75"/>
    <w:rsid w:val="00BF3526"/>
    <w:rsid w:val="00BF383A"/>
    <w:rsid w:val="00BF3899"/>
    <w:rsid w:val="00BF464E"/>
    <w:rsid w:val="00BF55BE"/>
    <w:rsid w:val="00BF5609"/>
    <w:rsid w:val="00BF5B79"/>
    <w:rsid w:val="00BF6081"/>
    <w:rsid w:val="00BF6273"/>
    <w:rsid w:val="00BF6730"/>
    <w:rsid w:val="00BF68FC"/>
    <w:rsid w:val="00BF725D"/>
    <w:rsid w:val="00BF7270"/>
    <w:rsid w:val="00C00304"/>
    <w:rsid w:val="00C00AD7"/>
    <w:rsid w:val="00C00BBC"/>
    <w:rsid w:val="00C00F6A"/>
    <w:rsid w:val="00C010C8"/>
    <w:rsid w:val="00C017EC"/>
    <w:rsid w:val="00C02183"/>
    <w:rsid w:val="00C02781"/>
    <w:rsid w:val="00C0278A"/>
    <w:rsid w:val="00C02D45"/>
    <w:rsid w:val="00C02F34"/>
    <w:rsid w:val="00C02FD7"/>
    <w:rsid w:val="00C030BD"/>
    <w:rsid w:val="00C03102"/>
    <w:rsid w:val="00C031C0"/>
    <w:rsid w:val="00C031D1"/>
    <w:rsid w:val="00C0329D"/>
    <w:rsid w:val="00C03954"/>
    <w:rsid w:val="00C03BAC"/>
    <w:rsid w:val="00C03D35"/>
    <w:rsid w:val="00C04246"/>
    <w:rsid w:val="00C044A9"/>
    <w:rsid w:val="00C044FC"/>
    <w:rsid w:val="00C0499A"/>
    <w:rsid w:val="00C04A7C"/>
    <w:rsid w:val="00C04AFF"/>
    <w:rsid w:val="00C04D82"/>
    <w:rsid w:val="00C04E48"/>
    <w:rsid w:val="00C04E7C"/>
    <w:rsid w:val="00C05504"/>
    <w:rsid w:val="00C055A2"/>
    <w:rsid w:val="00C05600"/>
    <w:rsid w:val="00C059B4"/>
    <w:rsid w:val="00C05C6D"/>
    <w:rsid w:val="00C067BB"/>
    <w:rsid w:val="00C068D2"/>
    <w:rsid w:val="00C068FA"/>
    <w:rsid w:val="00C06D62"/>
    <w:rsid w:val="00C0724D"/>
    <w:rsid w:val="00C072E3"/>
    <w:rsid w:val="00C07E7A"/>
    <w:rsid w:val="00C10666"/>
    <w:rsid w:val="00C10823"/>
    <w:rsid w:val="00C108B5"/>
    <w:rsid w:val="00C10A94"/>
    <w:rsid w:val="00C10B21"/>
    <w:rsid w:val="00C10E35"/>
    <w:rsid w:val="00C10ED9"/>
    <w:rsid w:val="00C11090"/>
    <w:rsid w:val="00C11607"/>
    <w:rsid w:val="00C11642"/>
    <w:rsid w:val="00C11F39"/>
    <w:rsid w:val="00C124FF"/>
    <w:rsid w:val="00C12524"/>
    <w:rsid w:val="00C133E5"/>
    <w:rsid w:val="00C1348E"/>
    <w:rsid w:val="00C13C1F"/>
    <w:rsid w:val="00C13C73"/>
    <w:rsid w:val="00C13D69"/>
    <w:rsid w:val="00C13F97"/>
    <w:rsid w:val="00C140DD"/>
    <w:rsid w:val="00C1430D"/>
    <w:rsid w:val="00C1448E"/>
    <w:rsid w:val="00C14CB0"/>
    <w:rsid w:val="00C14ECC"/>
    <w:rsid w:val="00C14F9B"/>
    <w:rsid w:val="00C152A3"/>
    <w:rsid w:val="00C15E1A"/>
    <w:rsid w:val="00C16DE6"/>
    <w:rsid w:val="00C17194"/>
    <w:rsid w:val="00C17429"/>
    <w:rsid w:val="00C205E7"/>
    <w:rsid w:val="00C20650"/>
    <w:rsid w:val="00C20880"/>
    <w:rsid w:val="00C20B8C"/>
    <w:rsid w:val="00C20BB4"/>
    <w:rsid w:val="00C20DBB"/>
    <w:rsid w:val="00C21802"/>
    <w:rsid w:val="00C21833"/>
    <w:rsid w:val="00C21D90"/>
    <w:rsid w:val="00C221DF"/>
    <w:rsid w:val="00C2240E"/>
    <w:rsid w:val="00C2281F"/>
    <w:rsid w:val="00C229CA"/>
    <w:rsid w:val="00C22CD0"/>
    <w:rsid w:val="00C22E22"/>
    <w:rsid w:val="00C22E38"/>
    <w:rsid w:val="00C249D6"/>
    <w:rsid w:val="00C2555A"/>
    <w:rsid w:val="00C25694"/>
    <w:rsid w:val="00C25F50"/>
    <w:rsid w:val="00C26BBE"/>
    <w:rsid w:val="00C26C07"/>
    <w:rsid w:val="00C26CAA"/>
    <w:rsid w:val="00C275DA"/>
    <w:rsid w:val="00C27E81"/>
    <w:rsid w:val="00C27FAC"/>
    <w:rsid w:val="00C30019"/>
    <w:rsid w:val="00C3047F"/>
    <w:rsid w:val="00C30E40"/>
    <w:rsid w:val="00C3163B"/>
    <w:rsid w:val="00C3163F"/>
    <w:rsid w:val="00C31C7C"/>
    <w:rsid w:val="00C31DDE"/>
    <w:rsid w:val="00C32145"/>
    <w:rsid w:val="00C321C4"/>
    <w:rsid w:val="00C322D6"/>
    <w:rsid w:val="00C32409"/>
    <w:rsid w:val="00C32E31"/>
    <w:rsid w:val="00C33087"/>
    <w:rsid w:val="00C330C7"/>
    <w:rsid w:val="00C3373E"/>
    <w:rsid w:val="00C33C2F"/>
    <w:rsid w:val="00C33C4D"/>
    <w:rsid w:val="00C34B3C"/>
    <w:rsid w:val="00C34B90"/>
    <w:rsid w:val="00C34BAC"/>
    <w:rsid w:val="00C34F74"/>
    <w:rsid w:val="00C35258"/>
    <w:rsid w:val="00C3584A"/>
    <w:rsid w:val="00C35A6A"/>
    <w:rsid w:val="00C35E25"/>
    <w:rsid w:val="00C36AE5"/>
    <w:rsid w:val="00C37420"/>
    <w:rsid w:val="00C37674"/>
    <w:rsid w:val="00C37AA8"/>
    <w:rsid w:val="00C4066A"/>
    <w:rsid w:val="00C40813"/>
    <w:rsid w:val="00C419D3"/>
    <w:rsid w:val="00C420CD"/>
    <w:rsid w:val="00C42249"/>
    <w:rsid w:val="00C42752"/>
    <w:rsid w:val="00C4282B"/>
    <w:rsid w:val="00C42BE3"/>
    <w:rsid w:val="00C4378A"/>
    <w:rsid w:val="00C43AFC"/>
    <w:rsid w:val="00C4430A"/>
    <w:rsid w:val="00C445F7"/>
    <w:rsid w:val="00C4563F"/>
    <w:rsid w:val="00C45AFA"/>
    <w:rsid w:val="00C45C42"/>
    <w:rsid w:val="00C45EA2"/>
    <w:rsid w:val="00C46261"/>
    <w:rsid w:val="00C4699F"/>
    <w:rsid w:val="00C469CB"/>
    <w:rsid w:val="00C46D1A"/>
    <w:rsid w:val="00C46E70"/>
    <w:rsid w:val="00C47076"/>
    <w:rsid w:val="00C472F5"/>
    <w:rsid w:val="00C47BE4"/>
    <w:rsid w:val="00C47DAB"/>
    <w:rsid w:val="00C47ECA"/>
    <w:rsid w:val="00C5037B"/>
    <w:rsid w:val="00C50796"/>
    <w:rsid w:val="00C5098F"/>
    <w:rsid w:val="00C51123"/>
    <w:rsid w:val="00C513F1"/>
    <w:rsid w:val="00C51BF2"/>
    <w:rsid w:val="00C52352"/>
    <w:rsid w:val="00C5250B"/>
    <w:rsid w:val="00C5293A"/>
    <w:rsid w:val="00C52CCA"/>
    <w:rsid w:val="00C52DA6"/>
    <w:rsid w:val="00C531FD"/>
    <w:rsid w:val="00C533EC"/>
    <w:rsid w:val="00C535D4"/>
    <w:rsid w:val="00C536D3"/>
    <w:rsid w:val="00C53D60"/>
    <w:rsid w:val="00C53E23"/>
    <w:rsid w:val="00C54EA6"/>
    <w:rsid w:val="00C552A8"/>
    <w:rsid w:val="00C56021"/>
    <w:rsid w:val="00C56A0F"/>
    <w:rsid w:val="00C56C27"/>
    <w:rsid w:val="00C56F88"/>
    <w:rsid w:val="00C5749D"/>
    <w:rsid w:val="00C577D7"/>
    <w:rsid w:val="00C577EB"/>
    <w:rsid w:val="00C578A0"/>
    <w:rsid w:val="00C601AB"/>
    <w:rsid w:val="00C604BA"/>
    <w:rsid w:val="00C6060E"/>
    <w:rsid w:val="00C60676"/>
    <w:rsid w:val="00C60697"/>
    <w:rsid w:val="00C608FD"/>
    <w:rsid w:val="00C6102F"/>
    <w:rsid w:val="00C612B4"/>
    <w:rsid w:val="00C61C3C"/>
    <w:rsid w:val="00C61EED"/>
    <w:rsid w:val="00C621C6"/>
    <w:rsid w:val="00C62CB9"/>
    <w:rsid w:val="00C63772"/>
    <w:rsid w:val="00C63932"/>
    <w:rsid w:val="00C63E8D"/>
    <w:rsid w:val="00C64109"/>
    <w:rsid w:val="00C64E93"/>
    <w:rsid w:val="00C65165"/>
    <w:rsid w:val="00C658EF"/>
    <w:rsid w:val="00C65D7D"/>
    <w:rsid w:val="00C66035"/>
    <w:rsid w:val="00C66095"/>
    <w:rsid w:val="00C660D9"/>
    <w:rsid w:val="00C66604"/>
    <w:rsid w:val="00C66799"/>
    <w:rsid w:val="00C667B8"/>
    <w:rsid w:val="00C66993"/>
    <w:rsid w:val="00C66CAF"/>
    <w:rsid w:val="00C66EB7"/>
    <w:rsid w:val="00C66FF0"/>
    <w:rsid w:val="00C6741D"/>
    <w:rsid w:val="00C7018A"/>
    <w:rsid w:val="00C705B4"/>
    <w:rsid w:val="00C70697"/>
    <w:rsid w:val="00C7071C"/>
    <w:rsid w:val="00C707FF"/>
    <w:rsid w:val="00C70AC4"/>
    <w:rsid w:val="00C70ADC"/>
    <w:rsid w:val="00C70D63"/>
    <w:rsid w:val="00C70DCF"/>
    <w:rsid w:val="00C70FEC"/>
    <w:rsid w:val="00C71469"/>
    <w:rsid w:val="00C714F1"/>
    <w:rsid w:val="00C71A6C"/>
    <w:rsid w:val="00C724D0"/>
    <w:rsid w:val="00C73676"/>
    <w:rsid w:val="00C73724"/>
    <w:rsid w:val="00C73D5D"/>
    <w:rsid w:val="00C74BE7"/>
    <w:rsid w:val="00C74EB7"/>
    <w:rsid w:val="00C751BC"/>
    <w:rsid w:val="00C760BC"/>
    <w:rsid w:val="00C760D2"/>
    <w:rsid w:val="00C765F1"/>
    <w:rsid w:val="00C767DA"/>
    <w:rsid w:val="00C76F62"/>
    <w:rsid w:val="00C77080"/>
    <w:rsid w:val="00C770E0"/>
    <w:rsid w:val="00C77102"/>
    <w:rsid w:val="00C7713C"/>
    <w:rsid w:val="00C7725E"/>
    <w:rsid w:val="00C77BCF"/>
    <w:rsid w:val="00C77E2F"/>
    <w:rsid w:val="00C8007B"/>
    <w:rsid w:val="00C8045F"/>
    <w:rsid w:val="00C804CE"/>
    <w:rsid w:val="00C809E8"/>
    <w:rsid w:val="00C80F78"/>
    <w:rsid w:val="00C81217"/>
    <w:rsid w:val="00C81468"/>
    <w:rsid w:val="00C81512"/>
    <w:rsid w:val="00C82535"/>
    <w:rsid w:val="00C828E9"/>
    <w:rsid w:val="00C82C8E"/>
    <w:rsid w:val="00C83198"/>
    <w:rsid w:val="00C8396C"/>
    <w:rsid w:val="00C839C7"/>
    <w:rsid w:val="00C8475B"/>
    <w:rsid w:val="00C8548D"/>
    <w:rsid w:val="00C85BA7"/>
    <w:rsid w:val="00C86046"/>
    <w:rsid w:val="00C86301"/>
    <w:rsid w:val="00C87075"/>
    <w:rsid w:val="00C875FF"/>
    <w:rsid w:val="00C87E9B"/>
    <w:rsid w:val="00C90427"/>
    <w:rsid w:val="00C90792"/>
    <w:rsid w:val="00C908EF"/>
    <w:rsid w:val="00C90ADE"/>
    <w:rsid w:val="00C90D38"/>
    <w:rsid w:val="00C90E6D"/>
    <w:rsid w:val="00C91C18"/>
    <w:rsid w:val="00C91F48"/>
    <w:rsid w:val="00C921B5"/>
    <w:rsid w:val="00C925ED"/>
    <w:rsid w:val="00C92772"/>
    <w:rsid w:val="00C92E55"/>
    <w:rsid w:val="00C92E5A"/>
    <w:rsid w:val="00C93559"/>
    <w:rsid w:val="00C942D5"/>
    <w:rsid w:val="00C948F1"/>
    <w:rsid w:val="00C94A69"/>
    <w:rsid w:val="00C94CA1"/>
    <w:rsid w:val="00C94D50"/>
    <w:rsid w:val="00C94E16"/>
    <w:rsid w:val="00C94F31"/>
    <w:rsid w:val="00C95680"/>
    <w:rsid w:val="00C95E0B"/>
    <w:rsid w:val="00C96B8C"/>
    <w:rsid w:val="00C96CB1"/>
    <w:rsid w:val="00C9742B"/>
    <w:rsid w:val="00C974FB"/>
    <w:rsid w:val="00CA0584"/>
    <w:rsid w:val="00CA0832"/>
    <w:rsid w:val="00CA0BEB"/>
    <w:rsid w:val="00CA0CC3"/>
    <w:rsid w:val="00CA1194"/>
    <w:rsid w:val="00CA1307"/>
    <w:rsid w:val="00CA13DA"/>
    <w:rsid w:val="00CA1689"/>
    <w:rsid w:val="00CA1762"/>
    <w:rsid w:val="00CA22F2"/>
    <w:rsid w:val="00CA2C1D"/>
    <w:rsid w:val="00CA2F00"/>
    <w:rsid w:val="00CA36C1"/>
    <w:rsid w:val="00CA3B4B"/>
    <w:rsid w:val="00CA4084"/>
    <w:rsid w:val="00CA4251"/>
    <w:rsid w:val="00CA43AF"/>
    <w:rsid w:val="00CA4C57"/>
    <w:rsid w:val="00CA51BE"/>
    <w:rsid w:val="00CA5C1C"/>
    <w:rsid w:val="00CA5F13"/>
    <w:rsid w:val="00CA5F20"/>
    <w:rsid w:val="00CA5FD9"/>
    <w:rsid w:val="00CA60EE"/>
    <w:rsid w:val="00CA6138"/>
    <w:rsid w:val="00CA65B7"/>
    <w:rsid w:val="00CA68D0"/>
    <w:rsid w:val="00CA6E42"/>
    <w:rsid w:val="00CA75A7"/>
    <w:rsid w:val="00CA76FF"/>
    <w:rsid w:val="00CB045F"/>
    <w:rsid w:val="00CB16C9"/>
    <w:rsid w:val="00CB171B"/>
    <w:rsid w:val="00CB181C"/>
    <w:rsid w:val="00CB1DF4"/>
    <w:rsid w:val="00CB255E"/>
    <w:rsid w:val="00CB26F7"/>
    <w:rsid w:val="00CB2966"/>
    <w:rsid w:val="00CB2D04"/>
    <w:rsid w:val="00CB3784"/>
    <w:rsid w:val="00CB3CEF"/>
    <w:rsid w:val="00CB3F01"/>
    <w:rsid w:val="00CB405E"/>
    <w:rsid w:val="00CB4347"/>
    <w:rsid w:val="00CB4BB1"/>
    <w:rsid w:val="00CB5187"/>
    <w:rsid w:val="00CB5399"/>
    <w:rsid w:val="00CB544A"/>
    <w:rsid w:val="00CB55E9"/>
    <w:rsid w:val="00CB5876"/>
    <w:rsid w:val="00CB62E0"/>
    <w:rsid w:val="00CB6463"/>
    <w:rsid w:val="00CB6803"/>
    <w:rsid w:val="00CB7963"/>
    <w:rsid w:val="00CB7AFC"/>
    <w:rsid w:val="00CC00BF"/>
    <w:rsid w:val="00CC0FCB"/>
    <w:rsid w:val="00CC124B"/>
    <w:rsid w:val="00CC13B2"/>
    <w:rsid w:val="00CC16E7"/>
    <w:rsid w:val="00CC1F2E"/>
    <w:rsid w:val="00CC2195"/>
    <w:rsid w:val="00CC2868"/>
    <w:rsid w:val="00CC2E03"/>
    <w:rsid w:val="00CC359E"/>
    <w:rsid w:val="00CC3779"/>
    <w:rsid w:val="00CC3E50"/>
    <w:rsid w:val="00CC4383"/>
    <w:rsid w:val="00CC45FC"/>
    <w:rsid w:val="00CC4E10"/>
    <w:rsid w:val="00CC4F3E"/>
    <w:rsid w:val="00CC527F"/>
    <w:rsid w:val="00CC5464"/>
    <w:rsid w:val="00CC5692"/>
    <w:rsid w:val="00CC5BBC"/>
    <w:rsid w:val="00CC5E79"/>
    <w:rsid w:val="00CC6064"/>
    <w:rsid w:val="00CC60EE"/>
    <w:rsid w:val="00CC6A74"/>
    <w:rsid w:val="00CC6B3A"/>
    <w:rsid w:val="00CC6B51"/>
    <w:rsid w:val="00CC6DD7"/>
    <w:rsid w:val="00CC6FB7"/>
    <w:rsid w:val="00CC714F"/>
    <w:rsid w:val="00CC7223"/>
    <w:rsid w:val="00CC762F"/>
    <w:rsid w:val="00CD0485"/>
    <w:rsid w:val="00CD0662"/>
    <w:rsid w:val="00CD0E47"/>
    <w:rsid w:val="00CD1474"/>
    <w:rsid w:val="00CD1587"/>
    <w:rsid w:val="00CD1750"/>
    <w:rsid w:val="00CD19E7"/>
    <w:rsid w:val="00CD2072"/>
    <w:rsid w:val="00CD28C3"/>
    <w:rsid w:val="00CD2E40"/>
    <w:rsid w:val="00CD3172"/>
    <w:rsid w:val="00CD33BF"/>
    <w:rsid w:val="00CD36DE"/>
    <w:rsid w:val="00CD3C56"/>
    <w:rsid w:val="00CD43E6"/>
    <w:rsid w:val="00CD4450"/>
    <w:rsid w:val="00CD499B"/>
    <w:rsid w:val="00CD4FD6"/>
    <w:rsid w:val="00CD5661"/>
    <w:rsid w:val="00CD5BDF"/>
    <w:rsid w:val="00CD5DA7"/>
    <w:rsid w:val="00CD70F8"/>
    <w:rsid w:val="00CD73B0"/>
    <w:rsid w:val="00CD7721"/>
    <w:rsid w:val="00CD78AE"/>
    <w:rsid w:val="00CD7F33"/>
    <w:rsid w:val="00CE00B9"/>
    <w:rsid w:val="00CE0304"/>
    <w:rsid w:val="00CE0679"/>
    <w:rsid w:val="00CE0791"/>
    <w:rsid w:val="00CE0A54"/>
    <w:rsid w:val="00CE0E82"/>
    <w:rsid w:val="00CE1CD6"/>
    <w:rsid w:val="00CE1D88"/>
    <w:rsid w:val="00CE21A2"/>
    <w:rsid w:val="00CE23C6"/>
    <w:rsid w:val="00CE2A95"/>
    <w:rsid w:val="00CE2F41"/>
    <w:rsid w:val="00CE3525"/>
    <w:rsid w:val="00CE355A"/>
    <w:rsid w:val="00CE3837"/>
    <w:rsid w:val="00CE3F99"/>
    <w:rsid w:val="00CE3FDF"/>
    <w:rsid w:val="00CE4565"/>
    <w:rsid w:val="00CE480F"/>
    <w:rsid w:val="00CE5495"/>
    <w:rsid w:val="00CE55B0"/>
    <w:rsid w:val="00CE6094"/>
    <w:rsid w:val="00CE6170"/>
    <w:rsid w:val="00CE6228"/>
    <w:rsid w:val="00CE62F3"/>
    <w:rsid w:val="00CE682D"/>
    <w:rsid w:val="00CE6B77"/>
    <w:rsid w:val="00CE7B0B"/>
    <w:rsid w:val="00CE7FE8"/>
    <w:rsid w:val="00CF0AA3"/>
    <w:rsid w:val="00CF0D7B"/>
    <w:rsid w:val="00CF1799"/>
    <w:rsid w:val="00CF1854"/>
    <w:rsid w:val="00CF19DC"/>
    <w:rsid w:val="00CF1B70"/>
    <w:rsid w:val="00CF1C2F"/>
    <w:rsid w:val="00CF1F6A"/>
    <w:rsid w:val="00CF2774"/>
    <w:rsid w:val="00CF431D"/>
    <w:rsid w:val="00CF4362"/>
    <w:rsid w:val="00CF46C6"/>
    <w:rsid w:val="00CF4E47"/>
    <w:rsid w:val="00CF4E9D"/>
    <w:rsid w:val="00CF5346"/>
    <w:rsid w:val="00CF536D"/>
    <w:rsid w:val="00CF5E00"/>
    <w:rsid w:val="00CF5E35"/>
    <w:rsid w:val="00CF620A"/>
    <w:rsid w:val="00CF66C6"/>
    <w:rsid w:val="00CF6C9F"/>
    <w:rsid w:val="00CF6E2C"/>
    <w:rsid w:val="00CF7149"/>
    <w:rsid w:val="00CF72FA"/>
    <w:rsid w:val="00CF767B"/>
    <w:rsid w:val="00CF7716"/>
    <w:rsid w:val="00CF7740"/>
    <w:rsid w:val="00CF799B"/>
    <w:rsid w:val="00D00B87"/>
    <w:rsid w:val="00D00CEF"/>
    <w:rsid w:val="00D00DCA"/>
    <w:rsid w:val="00D011D5"/>
    <w:rsid w:val="00D015DA"/>
    <w:rsid w:val="00D01695"/>
    <w:rsid w:val="00D02CE1"/>
    <w:rsid w:val="00D0376F"/>
    <w:rsid w:val="00D038AA"/>
    <w:rsid w:val="00D038F4"/>
    <w:rsid w:val="00D043CA"/>
    <w:rsid w:val="00D04D43"/>
    <w:rsid w:val="00D04FC7"/>
    <w:rsid w:val="00D05414"/>
    <w:rsid w:val="00D05FF0"/>
    <w:rsid w:val="00D066DF"/>
    <w:rsid w:val="00D06AA2"/>
    <w:rsid w:val="00D10489"/>
    <w:rsid w:val="00D10BFD"/>
    <w:rsid w:val="00D110D7"/>
    <w:rsid w:val="00D11384"/>
    <w:rsid w:val="00D11F60"/>
    <w:rsid w:val="00D12B1A"/>
    <w:rsid w:val="00D1346D"/>
    <w:rsid w:val="00D134A3"/>
    <w:rsid w:val="00D135B4"/>
    <w:rsid w:val="00D13831"/>
    <w:rsid w:val="00D140C9"/>
    <w:rsid w:val="00D14327"/>
    <w:rsid w:val="00D1432A"/>
    <w:rsid w:val="00D14351"/>
    <w:rsid w:val="00D143F3"/>
    <w:rsid w:val="00D14647"/>
    <w:rsid w:val="00D14AA2"/>
    <w:rsid w:val="00D158B6"/>
    <w:rsid w:val="00D16052"/>
    <w:rsid w:val="00D16385"/>
    <w:rsid w:val="00D1661F"/>
    <w:rsid w:val="00D16A77"/>
    <w:rsid w:val="00D16FE5"/>
    <w:rsid w:val="00D1728C"/>
    <w:rsid w:val="00D17CD1"/>
    <w:rsid w:val="00D2010B"/>
    <w:rsid w:val="00D20136"/>
    <w:rsid w:val="00D20678"/>
    <w:rsid w:val="00D209F8"/>
    <w:rsid w:val="00D20D04"/>
    <w:rsid w:val="00D21069"/>
    <w:rsid w:val="00D214AF"/>
    <w:rsid w:val="00D21957"/>
    <w:rsid w:val="00D21D41"/>
    <w:rsid w:val="00D2227F"/>
    <w:rsid w:val="00D227EB"/>
    <w:rsid w:val="00D22816"/>
    <w:rsid w:val="00D23046"/>
    <w:rsid w:val="00D232A4"/>
    <w:rsid w:val="00D23567"/>
    <w:rsid w:val="00D2385B"/>
    <w:rsid w:val="00D23CAA"/>
    <w:rsid w:val="00D23EB4"/>
    <w:rsid w:val="00D23FBC"/>
    <w:rsid w:val="00D243B6"/>
    <w:rsid w:val="00D2472D"/>
    <w:rsid w:val="00D25170"/>
    <w:rsid w:val="00D25207"/>
    <w:rsid w:val="00D25276"/>
    <w:rsid w:val="00D256E4"/>
    <w:rsid w:val="00D25CC5"/>
    <w:rsid w:val="00D25D52"/>
    <w:rsid w:val="00D261FB"/>
    <w:rsid w:val="00D2627C"/>
    <w:rsid w:val="00D2633F"/>
    <w:rsid w:val="00D269BF"/>
    <w:rsid w:val="00D26AEC"/>
    <w:rsid w:val="00D26B9E"/>
    <w:rsid w:val="00D26C93"/>
    <w:rsid w:val="00D26EE3"/>
    <w:rsid w:val="00D26FF8"/>
    <w:rsid w:val="00D2701E"/>
    <w:rsid w:val="00D270CE"/>
    <w:rsid w:val="00D273C0"/>
    <w:rsid w:val="00D273DE"/>
    <w:rsid w:val="00D27B73"/>
    <w:rsid w:val="00D3038D"/>
    <w:rsid w:val="00D30DE7"/>
    <w:rsid w:val="00D31417"/>
    <w:rsid w:val="00D31864"/>
    <w:rsid w:val="00D31B76"/>
    <w:rsid w:val="00D31F37"/>
    <w:rsid w:val="00D325B4"/>
    <w:rsid w:val="00D327FA"/>
    <w:rsid w:val="00D32DC3"/>
    <w:rsid w:val="00D32E9C"/>
    <w:rsid w:val="00D332C4"/>
    <w:rsid w:val="00D33AB8"/>
    <w:rsid w:val="00D3466A"/>
    <w:rsid w:val="00D348CF"/>
    <w:rsid w:val="00D34990"/>
    <w:rsid w:val="00D34C57"/>
    <w:rsid w:val="00D34DE7"/>
    <w:rsid w:val="00D350F8"/>
    <w:rsid w:val="00D35CEA"/>
    <w:rsid w:val="00D36188"/>
    <w:rsid w:val="00D36250"/>
    <w:rsid w:val="00D36C11"/>
    <w:rsid w:val="00D376B6"/>
    <w:rsid w:val="00D37E97"/>
    <w:rsid w:val="00D407DF"/>
    <w:rsid w:val="00D40BEA"/>
    <w:rsid w:val="00D40F85"/>
    <w:rsid w:val="00D41207"/>
    <w:rsid w:val="00D41A21"/>
    <w:rsid w:val="00D41FF5"/>
    <w:rsid w:val="00D42BB7"/>
    <w:rsid w:val="00D42C9D"/>
    <w:rsid w:val="00D43045"/>
    <w:rsid w:val="00D4315C"/>
    <w:rsid w:val="00D434F4"/>
    <w:rsid w:val="00D43582"/>
    <w:rsid w:val="00D43903"/>
    <w:rsid w:val="00D441C3"/>
    <w:rsid w:val="00D44E7F"/>
    <w:rsid w:val="00D45011"/>
    <w:rsid w:val="00D45488"/>
    <w:rsid w:val="00D4593B"/>
    <w:rsid w:val="00D46346"/>
    <w:rsid w:val="00D463A7"/>
    <w:rsid w:val="00D46AF0"/>
    <w:rsid w:val="00D46BE7"/>
    <w:rsid w:val="00D46CF8"/>
    <w:rsid w:val="00D46F4E"/>
    <w:rsid w:val="00D47CD5"/>
    <w:rsid w:val="00D47D0D"/>
    <w:rsid w:val="00D5016A"/>
    <w:rsid w:val="00D50BC6"/>
    <w:rsid w:val="00D50FF2"/>
    <w:rsid w:val="00D511A8"/>
    <w:rsid w:val="00D51280"/>
    <w:rsid w:val="00D518EE"/>
    <w:rsid w:val="00D51C06"/>
    <w:rsid w:val="00D51D1D"/>
    <w:rsid w:val="00D52483"/>
    <w:rsid w:val="00D52BB8"/>
    <w:rsid w:val="00D52C65"/>
    <w:rsid w:val="00D53191"/>
    <w:rsid w:val="00D531C1"/>
    <w:rsid w:val="00D53322"/>
    <w:rsid w:val="00D53973"/>
    <w:rsid w:val="00D54D2A"/>
    <w:rsid w:val="00D54DB8"/>
    <w:rsid w:val="00D5546B"/>
    <w:rsid w:val="00D556BF"/>
    <w:rsid w:val="00D55FF4"/>
    <w:rsid w:val="00D56243"/>
    <w:rsid w:val="00D5653A"/>
    <w:rsid w:val="00D5683F"/>
    <w:rsid w:val="00D5689E"/>
    <w:rsid w:val="00D56E36"/>
    <w:rsid w:val="00D574AF"/>
    <w:rsid w:val="00D57BB4"/>
    <w:rsid w:val="00D60229"/>
    <w:rsid w:val="00D60265"/>
    <w:rsid w:val="00D602AC"/>
    <w:rsid w:val="00D603DD"/>
    <w:rsid w:val="00D6063A"/>
    <w:rsid w:val="00D60A88"/>
    <w:rsid w:val="00D60FE4"/>
    <w:rsid w:val="00D61024"/>
    <w:rsid w:val="00D610CF"/>
    <w:rsid w:val="00D61898"/>
    <w:rsid w:val="00D6189B"/>
    <w:rsid w:val="00D622EB"/>
    <w:rsid w:val="00D62DE0"/>
    <w:rsid w:val="00D63235"/>
    <w:rsid w:val="00D6338C"/>
    <w:rsid w:val="00D635B2"/>
    <w:rsid w:val="00D637FB"/>
    <w:rsid w:val="00D639BE"/>
    <w:rsid w:val="00D640B0"/>
    <w:rsid w:val="00D6423F"/>
    <w:rsid w:val="00D64E65"/>
    <w:rsid w:val="00D65270"/>
    <w:rsid w:val="00D6566B"/>
    <w:rsid w:val="00D65685"/>
    <w:rsid w:val="00D656BC"/>
    <w:rsid w:val="00D65728"/>
    <w:rsid w:val="00D65CA6"/>
    <w:rsid w:val="00D65CE2"/>
    <w:rsid w:val="00D66043"/>
    <w:rsid w:val="00D66739"/>
    <w:rsid w:val="00D66CAB"/>
    <w:rsid w:val="00D66D0B"/>
    <w:rsid w:val="00D67498"/>
    <w:rsid w:val="00D67536"/>
    <w:rsid w:val="00D67638"/>
    <w:rsid w:val="00D67746"/>
    <w:rsid w:val="00D679FA"/>
    <w:rsid w:val="00D67DCA"/>
    <w:rsid w:val="00D67DFA"/>
    <w:rsid w:val="00D70A85"/>
    <w:rsid w:val="00D70F4A"/>
    <w:rsid w:val="00D713DB"/>
    <w:rsid w:val="00D71559"/>
    <w:rsid w:val="00D71C62"/>
    <w:rsid w:val="00D724DE"/>
    <w:rsid w:val="00D728FB"/>
    <w:rsid w:val="00D7296A"/>
    <w:rsid w:val="00D72EF9"/>
    <w:rsid w:val="00D732EA"/>
    <w:rsid w:val="00D735B4"/>
    <w:rsid w:val="00D73960"/>
    <w:rsid w:val="00D73FB3"/>
    <w:rsid w:val="00D756F1"/>
    <w:rsid w:val="00D75CBC"/>
    <w:rsid w:val="00D76344"/>
    <w:rsid w:val="00D76385"/>
    <w:rsid w:val="00D76656"/>
    <w:rsid w:val="00D766B0"/>
    <w:rsid w:val="00D76777"/>
    <w:rsid w:val="00D76905"/>
    <w:rsid w:val="00D76A6E"/>
    <w:rsid w:val="00D77112"/>
    <w:rsid w:val="00D7773D"/>
    <w:rsid w:val="00D778F8"/>
    <w:rsid w:val="00D819D9"/>
    <w:rsid w:val="00D81D89"/>
    <w:rsid w:val="00D82FF5"/>
    <w:rsid w:val="00D83051"/>
    <w:rsid w:val="00D83091"/>
    <w:rsid w:val="00D83395"/>
    <w:rsid w:val="00D83647"/>
    <w:rsid w:val="00D83846"/>
    <w:rsid w:val="00D847E7"/>
    <w:rsid w:val="00D85695"/>
    <w:rsid w:val="00D865C6"/>
    <w:rsid w:val="00D8667A"/>
    <w:rsid w:val="00D87193"/>
    <w:rsid w:val="00D871BB"/>
    <w:rsid w:val="00D8723C"/>
    <w:rsid w:val="00D87323"/>
    <w:rsid w:val="00D87711"/>
    <w:rsid w:val="00D87800"/>
    <w:rsid w:val="00D87ED6"/>
    <w:rsid w:val="00D90126"/>
    <w:rsid w:val="00D9075D"/>
    <w:rsid w:val="00D90846"/>
    <w:rsid w:val="00D90C32"/>
    <w:rsid w:val="00D90DAA"/>
    <w:rsid w:val="00D90F48"/>
    <w:rsid w:val="00D91339"/>
    <w:rsid w:val="00D91843"/>
    <w:rsid w:val="00D92292"/>
    <w:rsid w:val="00D923AD"/>
    <w:rsid w:val="00D92D5E"/>
    <w:rsid w:val="00D92F1B"/>
    <w:rsid w:val="00D930EF"/>
    <w:rsid w:val="00D9356A"/>
    <w:rsid w:val="00D93967"/>
    <w:rsid w:val="00D942B1"/>
    <w:rsid w:val="00D94BE1"/>
    <w:rsid w:val="00D9509F"/>
    <w:rsid w:val="00D956C3"/>
    <w:rsid w:val="00D95AF3"/>
    <w:rsid w:val="00D963F1"/>
    <w:rsid w:val="00D964ED"/>
    <w:rsid w:val="00D965D1"/>
    <w:rsid w:val="00D96744"/>
    <w:rsid w:val="00D96D47"/>
    <w:rsid w:val="00D971C8"/>
    <w:rsid w:val="00D97336"/>
    <w:rsid w:val="00D97747"/>
    <w:rsid w:val="00D97A2E"/>
    <w:rsid w:val="00D97FC3"/>
    <w:rsid w:val="00DA035B"/>
    <w:rsid w:val="00DA0B85"/>
    <w:rsid w:val="00DA0CA3"/>
    <w:rsid w:val="00DA0F30"/>
    <w:rsid w:val="00DA139F"/>
    <w:rsid w:val="00DA1559"/>
    <w:rsid w:val="00DA1EC1"/>
    <w:rsid w:val="00DA1F2B"/>
    <w:rsid w:val="00DA31E5"/>
    <w:rsid w:val="00DA3763"/>
    <w:rsid w:val="00DA3F9A"/>
    <w:rsid w:val="00DA4177"/>
    <w:rsid w:val="00DA4875"/>
    <w:rsid w:val="00DA5185"/>
    <w:rsid w:val="00DA522B"/>
    <w:rsid w:val="00DA5587"/>
    <w:rsid w:val="00DA59A4"/>
    <w:rsid w:val="00DA5D9F"/>
    <w:rsid w:val="00DA66AB"/>
    <w:rsid w:val="00DA6B14"/>
    <w:rsid w:val="00DA6B97"/>
    <w:rsid w:val="00DA727D"/>
    <w:rsid w:val="00DA766B"/>
    <w:rsid w:val="00DA7F7A"/>
    <w:rsid w:val="00DB0009"/>
    <w:rsid w:val="00DB00F9"/>
    <w:rsid w:val="00DB0C9C"/>
    <w:rsid w:val="00DB0E5F"/>
    <w:rsid w:val="00DB1DCF"/>
    <w:rsid w:val="00DB213B"/>
    <w:rsid w:val="00DB2306"/>
    <w:rsid w:val="00DB2677"/>
    <w:rsid w:val="00DB281D"/>
    <w:rsid w:val="00DB3764"/>
    <w:rsid w:val="00DB3C2D"/>
    <w:rsid w:val="00DB3FCF"/>
    <w:rsid w:val="00DB404F"/>
    <w:rsid w:val="00DB460A"/>
    <w:rsid w:val="00DB4A5F"/>
    <w:rsid w:val="00DB4A84"/>
    <w:rsid w:val="00DB4DD8"/>
    <w:rsid w:val="00DB4F25"/>
    <w:rsid w:val="00DB4F4D"/>
    <w:rsid w:val="00DB5071"/>
    <w:rsid w:val="00DB52A8"/>
    <w:rsid w:val="00DB542A"/>
    <w:rsid w:val="00DB5556"/>
    <w:rsid w:val="00DB5B42"/>
    <w:rsid w:val="00DB5F40"/>
    <w:rsid w:val="00DB6411"/>
    <w:rsid w:val="00DB661B"/>
    <w:rsid w:val="00DB6960"/>
    <w:rsid w:val="00DB6E24"/>
    <w:rsid w:val="00DB7A69"/>
    <w:rsid w:val="00DC00F9"/>
    <w:rsid w:val="00DC0922"/>
    <w:rsid w:val="00DC0DDA"/>
    <w:rsid w:val="00DC1012"/>
    <w:rsid w:val="00DC1272"/>
    <w:rsid w:val="00DC12D8"/>
    <w:rsid w:val="00DC1699"/>
    <w:rsid w:val="00DC1F7C"/>
    <w:rsid w:val="00DC24C2"/>
    <w:rsid w:val="00DC251A"/>
    <w:rsid w:val="00DC2562"/>
    <w:rsid w:val="00DC27BD"/>
    <w:rsid w:val="00DC2A40"/>
    <w:rsid w:val="00DC2DA8"/>
    <w:rsid w:val="00DC3009"/>
    <w:rsid w:val="00DC30A4"/>
    <w:rsid w:val="00DC3328"/>
    <w:rsid w:val="00DC3BAF"/>
    <w:rsid w:val="00DC3F63"/>
    <w:rsid w:val="00DC4891"/>
    <w:rsid w:val="00DC50A8"/>
    <w:rsid w:val="00DC5FA7"/>
    <w:rsid w:val="00DC602C"/>
    <w:rsid w:val="00DC61EC"/>
    <w:rsid w:val="00DC6354"/>
    <w:rsid w:val="00DC6993"/>
    <w:rsid w:val="00DC775B"/>
    <w:rsid w:val="00DC781E"/>
    <w:rsid w:val="00DC798D"/>
    <w:rsid w:val="00DC79BF"/>
    <w:rsid w:val="00DC7E5D"/>
    <w:rsid w:val="00DD011A"/>
    <w:rsid w:val="00DD0459"/>
    <w:rsid w:val="00DD0DBA"/>
    <w:rsid w:val="00DD1434"/>
    <w:rsid w:val="00DD198C"/>
    <w:rsid w:val="00DD1999"/>
    <w:rsid w:val="00DD19EB"/>
    <w:rsid w:val="00DD1A35"/>
    <w:rsid w:val="00DD1DB7"/>
    <w:rsid w:val="00DD2065"/>
    <w:rsid w:val="00DD22E4"/>
    <w:rsid w:val="00DD246D"/>
    <w:rsid w:val="00DD24FA"/>
    <w:rsid w:val="00DD26A5"/>
    <w:rsid w:val="00DD26A7"/>
    <w:rsid w:val="00DD28D6"/>
    <w:rsid w:val="00DD2930"/>
    <w:rsid w:val="00DD2D1D"/>
    <w:rsid w:val="00DD2F53"/>
    <w:rsid w:val="00DD3292"/>
    <w:rsid w:val="00DD350D"/>
    <w:rsid w:val="00DD3B19"/>
    <w:rsid w:val="00DD419E"/>
    <w:rsid w:val="00DD4401"/>
    <w:rsid w:val="00DD4636"/>
    <w:rsid w:val="00DD4AFE"/>
    <w:rsid w:val="00DD5488"/>
    <w:rsid w:val="00DD67AC"/>
    <w:rsid w:val="00DD67F5"/>
    <w:rsid w:val="00DD6D65"/>
    <w:rsid w:val="00DD6D88"/>
    <w:rsid w:val="00DD74A8"/>
    <w:rsid w:val="00DD7D27"/>
    <w:rsid w:val="00DE013C"/>
    <w:rsid w:val="00DE0F35"/>
    <w:rsid w:val="00DE105C"/>
    <w:rsid w:val="00DE15D5"/>
    <w:rsid w:val="00DE1C40"/>
    <w:rsid w:val="00DE1CCE"/>
    <w:rsid w:val="00DE1D0D"/>
    <w:rsid w:val="00DE2557"/>
    <w:rsid w:val="00DE2949"/>
    <w:rsid w:val="00DE2F5C"/>
    <w:rsid w:val="00DE30DA"/>
    <w:rsid w:val="00DE32A1"/>
    <w:rsid w:val="00DE358F"/>
    <w:rsid w:val="00DE35D8"/>
    <w:rsid w:val="00DE3635"/>
    <w:rsid w:val="00DE36E5"/>
    <w:rsid w:val="00DE37B5"/>
    <w:rsid w:val="00DE3CF2"/>
    <w:rsid w:val="00DE3CFA"/>
    <w:rsid w:val="00DE3DB9"/>
    <w:rsid w:val="00DE4CAD"/>
    <w:rsid w:val="00DE4F77"/>
    <w:rsid w:val="00DE5982"/>
    <w:rsid w:val="00DE5B01"/>
    <w:rsid w:val="00DE5F9A"/>
    <w:rsid w:val="00DE67D6"/>
    <w:rsid w:val="00DE6825"/>
    <w:rsid w:val="00DE6DEB"/>
    <w:rsid w:val="00DE7472"/>
    <w:rsid w:val="00DE75AD"/>
    <w:rsid w:val="00DF0213"/>
    <w:rsid w:val="00DF0646"/>
    <w:rsid w:val="00DF0EC0"/>
    <w:rsid w:val="00DF0FF4"/>
    <w:rsid w:val="00DF14EE"/>
    <w:rsid w:val="00DF1761"/>
    <w:rsid w:val="00DF17BD"/>
    <w:rsid w:val="00DF17E3"/>
    <w:rsid w:val="00DF2191"/>
    <w:rsid w:val="00DF250B"/>
    <w:rsid w:val="00DF2C0E"/>
    <w:rsid w:val="00DF2CB1"/>
    <w:rsid w:val="00DF2F4A"/>
    <w:rsid w:val="00DF3004"/>
    <w:rsid w:val="00DF322B"/>
    <w:rsid w:val="00DF33F1"/>
    <w:rsid w:val="00DF34DD"/>
    <w:rsid w:val="00DF37D3"/>
    <w:rsid w:val="00DF3892"/>
    <w:rsid w:val="00DF3E7F"/>
    <w:rsid w:val="00DF4088"/>
    <w:rsid w:val="00DF4545"/>
    <w:rsid w:val="00DF4718"/>
    <w:rsid w:val="00DF4F9B"/>
    <w:rsid w:val="00DF51C7"/>
    <w:rsid w:val="00DF62D1"/>
    <w:rsid w:val="00DF784D"/>
    <w:rsid w:val="00DF78A2"/>
    <w:rsid w:val="00DF7DF5"/>
    <w:rsid w:val="00E0019B"/>
    <w:rsid w:val="00E005D7"/>
    <w:rsid w:val="00E00A84"/>
    <w:rsid w:val="00E00C8A"/>
    <w:rsid w:val="00E00DAA"/>
    <w:rsid w:val="00E012B1"/>
    <w:rsid w:val="00E01362"/>
    <w:rsid w:val="00E017C5"/>
    <w:rsid w:val="00E018FC"/>
    <w:rsid w:val="00E01A0C"/>
    <w:rsid w:val="00E01CF0"/>
    <w:rsid w:val="00E02504"/>
    <w:rsid w:val="00E03443"/>
    <w:rsid w:val="00E0383C"/>
    <w:rsid w:val="00E03B1F"/>
    <w:rsid w:val="00E03B48"/>
    <w:rsid w:val="00E03C27"/>
    <w:rsid w:val="00E03CD0"/>
    <w:rsid w:val="00E046B7"/>
    <w:rsid w:val="00E0494B"/>
    <w:rsid w:val="00E04F4B"/>
    <w:rsid w:val="00E05236"/>
    <w:rsid w:val="00E0545E"/>
    <w:rsid w:val="00E056CB"/>
    <w:rsid w:val="00E05715"/>
    <w:rsid w:val="00E05E9C"/>
    <w:rsid w:val="00E05ED6"/>
    <w:rsid w:val="00E05F1B"/>
    <w:rsid w:val="00E066C1"/>
    <w:rsid w:val="00E06763"/>
    <w:rsid w:val="00E0678D"/>
    <w:rsid w:val="00E06DF1"/>
    <w:rsid w:val="00E07171"/>
    <w:rsid w:val="00E079B0"/>
    <w:rsid w:val="00E1001B"/>
    <w:rsid w:val="00E10475"/>
    <w:rsid w:val="00E1058B"/>
    <w:rsid w:val="00E1063B"/>
    <w:rsid w:val="00E10854"/>
    <w:rsid w:val="00E10CA7"/>
    <w:rsid w:val="00E1109F"/>
    <w:rsid w:val="00E1139D"/>
    <w:rsid w:val="00E115B9"/>
    <w:rsid w:val="00E11623"/>
    <w:rsid w:val="00E11784"/>
    <w:rsid w:val="00E120A8"/>
    <w:rsid w:val="00E12A91"/>
    <w:rsid w:val="00E12A92"/>
    <w:rsid w:val="00E132E0"/>
    <w:rsid w:val="00E13BF3"/>
    <w:rsid w:val="00E13C11"/>
    <w:rsid w:val="00E147B9"/>
    <w:rsid w:val="00E14963"/>
    <w:rsid w:val="00E14C7E"/>
    <w:rsid w:val="00E15637"/>
    <w:rsid w:val="00E15EF8"/>
    <w:rsid w:val="00E16091"/>
    <w:rsid w:val="00E164CC"/>
    <w:rsid w:val="00E16958"/>
    <w:rsid w:val="00E16CAA"/>
    <w:rsid w:val="00E1701C"/>
    <w:rsid w:val="00E170BD"/>
    <w:rsid w:val="00E17D21"/>
    <w:rsid w:val="00E17D99"/>
    <w:rsid w:val="00E17F29"/>
    <w:rsid w:val="00E2041B"/>
    <w:rsid w:val="00E204EA"/>
    <w:rsid w:val="00E2146E"/>
    <w:rsid w:val="00E21AD8"/>
    <w:rsid w:val="00E2217D"/>
    <w:rsid w:val="00E222BE"/>
    <w:rsid w:val="00E227F1"/>
    <w:rsid w:val="00E22857"/>
    <w:rsid w:val="00E234F5"/>
    <w:rsid w:val="00E23BF0"/>
    <w:rsid w:val="00E23D1C"/>
    <w:rsid w:val="00E23D8A"/>
    <w:rsid w:val="00E24003"/>
    <w:rsid w:val="00E244AD"/>
    <w:rsid w:val="00E25783"/>
    <w:rsid w:val="00E2581F"/>
    <w:rsid w:val="00E25C25"/>
    <w:rsid w:val="00E25D80"/>
    <w:rsid w:val="00E25F32"/>
    <w:rsid w:val="00E268A3"/>
    <w:rsid w:val="00E2691C"/>
    <w:rsid w:val="00E272C0"/>
    <w:rsid w:val="00E27328"/>
    <w:rsid w:val="00E27436"/>
    <w:rsid w:val="00E27C6E"/>
    <w:rsid w:val="00E30097"/>
    <w:rsid w:val="00E30B29"/>
    <w:rsid w:val="00E30EC4"/>
    <w:rsid w:val="00E30FA8"/>
    <w:rsid w:val="00E30FF8"/>
    <w:rsid w:val="00E3110A"/>
    <w:rsid w:val="00E3137A"/>
    <w:rsid w:val="00E3146A"/>
    <w:rsid w:val="00E31A27"/>
    <w:rsid w:val="00E324C5"/>
    <w:rsid w:val="00E32952"/>
    <w:rsid w:val="00E32B60"/>
    <w:rsid w:val="00E32C82"/>
    <w:rsid w:val="00E3326E"/>
    <w:rsid w:val="00E3440D"/>
    <w:rsid w:val="00E34A38"/>
    <w:rsid w:val="00E34EDE"/>
    <w:rsid w:val="00E35C5B"/>
    <w:rsid w:val="00E3636B"/>
    <w:rsid w:val="00E365C8"/>
    <w:rsid w:val="00E367CF"/>
    <w:rsid w:val="00E36A4A"/>
    <w:rsid w:val="00E36BFF"/>
    <w:rsid w:val="00E374D2"/>
    <w:rsid w:val="00E37811"/>
    <w:rsid w:val="00E40610"/>
    <w:rsid w:val="00E408D7"/>
    <w:rsid w:val="00E40B33"/>
    <w:rsid w:val="00E40F05"/>
    <w:rsid w:val="00E40F80"/>
    <w:rsid w:val="00E410C3"/>
    <w:rsid w:val="00E417FC"/>
    <w:rsid w:val="00E41D7C"/>
    <w:rsid w:val="00E4214B"/>
    <w:rsid w:val="00E4291E"/>
    <w:rsid w:val="00E431C2"/>
    <w:rsid w:val="00E44003"/>
    <w:rsid w:val="00E45221"/>
    <w:rsid w:val="00E4562A"/>
    <w:rsid w:val="00E45E66"/>
    <w:rsid w:val="00E4687D"/>
    <w:rsid w:val="00E46B81"/>
    <w:rsid w:val="00E46B92"/>
    <w:rsid w:val="00E46EE4"/>
    <w:rsid w:val="00E4792F"/>
    <w:rsid w:val="00E502A4"/>
    <w:rsid w:val="00E5050F"/>
    <w:rsid w:val="00E50FBB"/>
    <w:rsid w:val="00E510CD"/>
    <w:rsid w:val="00E511EF"/>
    <w:rsid w:val="00E513E4"/>
    <w:rsid w:val="00E514C0"/>
    <w:rsid w:val="00E516A9"/>
    <w:rsid w:val="00E5170F"/>
    <w:rsid w:val="00E51933"/>
    <w:rsid w:val="00E51B49"/>
    <w:rsid w:val="00E51C0C"/>
    <w:rsid w:val="00E51C87"/>
    <w:rsid w:val="00E51EB9"/>
    <w:rsid w:val="00E5236C"/>
    <w:rsid w:val="00E52CD2"/>
    <w:rsid w:val="00E52F3D"/>
    <w:rsid w:val="00E535D7"/>
    <w:rsid w:val="00E5367E"/>
    <w:rsid w:val="00E5394E"/>
    <w:rsid w:val="00E53B9C"/>
    <w:rsid w:val="00E53E89"/>
    <w:rsid w:val="00E5424D"/>
    <w:rsid w:val="00E55179"/>
    <w:rsid w:val="00E5586A"/>
    <w:rsid w:val="00E55C1B"/>
    <w:rsid w:val="00E55C8D"/>
    <w:rsid w:val="00E563C4"/>
    <w:rsid w:val="00E56548"/>
    <w:rsid w:val="00E568F2"/>
    <w:rsid w:val="00E56A9F"/>
    <w:rsid w:val="00E57BDE"/>
    <w:rsid w:val="00E600A0"/>
    <w:rsid w:val="00E606A4"/>
    <w:rsid w:val="00E60771"/>
    <w:rsid w:val="00E6087D"/>
    <w:rsid w:val="00E61314"/>
    <w:rsid w:val="00E6155B"/>
    <w:rsid w:val="00E61D36"/>
    <w:rsid w:val="00E621A4"/>
    <w:rsid w:val="00E62409"/>
    <w:rsid w:val="00E627DD"/>
    <w:rsid w:val="00E62A7B"/>
    <w:rsid w:val="00E62AEC"/>
    <w:rsid w:val="00E62F5E"/>
    <w:rsid w:val="00E63653"/>
    <w:rsid w:val="00E636DB"/>
    <w:rsid w:val="00E637F0"/>
    <w:rsid w:val="00E63F36"/>
    <w:rsid w:val="00E641DD"/>
    <w:rsid w:val="00E641FB"/>
    <w:rsid w:val="00E64F27"/>
    <w:rsid w:val="00E65852"/>
    <w:rsid w:val="00E65C00"/>
    <w:rsid w:val="00E65C90"/>
    <w:rsid w:val="00E66261"/>
    <w:rsid w:val="00E6735E"/>
    <w:rsid w:val="00E704A1"/>
    <w:rsid w:val="00E70BAD"/>
    <w:rsid w:val="00E70CF4"/>
    <w:rsid w:val="00E7160C"/>
    <w:rsid w:val="00E7175F"/>
    <w:rsid w:val="00E717DC"/>
    <w:rsid w:val="00E71ED6"/>
    <w:rsid w:val="00E721E8"/>
    <w:rsid w:val="00E72274"/>
    <w:rsid w:val="00E7231C"/>
    <w:rsid w:val="00E726A6"/>
    <w:rsid w:val="00E727F1"/>
    <w:rsid w:val="00E728CC"/>
    <w:rsid w:val="00E729EF"/>
    <w:rsid w:val="00E73331"/>
    <w:rsid w:val="00E73513"/>
    <w:rsid w:val="00E737F7"/>
    <w:rsid w:val="00E738A8"/>
    <w:rsid w:val="00E73ABE"/>
    <w:rsid w:val="00E741F9"/>
    <w:rsid w:val="00E74289"/>
    <w:rsid w:val="00E74436"/>
    <w:rsid w:val="00E748C9"/>
    <w:rsid w:val="00E75209"/>
    <w:rsid w:val="00E7533F"/>
    <w:rsid w:val="00E7572A"/>
    <w:rsid w:val="00E758B4"/>
    <w:rsid w:val="00E75B48"/>
    <w:rsid w:val="00E75B78"/>
    <w:rsid w:val="00E76CE3"/>
    <w:rsid w:val="00E76DB0"/>
    <w:rsid w:val="00E77262"/>
    <w:rsid w:val="00E776D0"/>
    <w:rsid w:val="00E777D0"/>
    <w:rsid w:val="00E779DA"/>
    <w:rsid w:val="00E802A3"/>
    <w:rsid w:val="00E802D4"/>
    <w:rsid w:val="00E804D6"/>
    <w:rsid w:val="00E8150E"/>
    <w:rsid w:val="00E815B5"/>
    <w:rsid w:val="00E8164C"/>
    <w:rsid w:val="00E816EA"/>
    <w:rsid w:val="00E8181B"/>
    <w:rsid w:val="00E81999"/>
    <w:rsid w:val="00E824BF"/>
    <w:rsid w:val="00E826C7"/>
    <w:rsid w:val="00E82813"/>
    <w:rsid w:val="00E83099"/>
    <w:rsid w:val="00E83283"/>
    <w:rsid w:val="00E83406"/>
    <w:rsid w:val="00E83485"/>
    <w:rsid w:val="00E83661"/>
    <w:rsid w:val="00E837DF"/>
    <w:rsid w:val="00E84417"/>
    <w:rsid w:val="00E84858"/>
    <w:rsid w:val="00E84861"/>
    <w:rsid w:val="00E849F8"/>
    <w:rsid w:val="00E84E14"/>
    <w:rsid w:val="00E84FB3"/>
    <w:rsid w:val="00E85103"/>
    <w:rsid w:val="00E855D3"/>
    <w:rsid w:val="00E85875"/>
    <w:rsid w:val="00E85D69"/>
    <w:rsid w:val="00E86227"/>
    <w:rsid w:val="00E86686"/>
    <w:rsid w:val="00E86819"/>
    <w:rsid w:val="00E86A15"/>
    <w:rsid w:val="00E86FE6"/>
    <w:rsid w:val="00E87208"/>
    <w:rsid w:val="00E87357"/>
    <w:rsid w:val="00E8768F"/>
    <w:rsid w:val="00E877AF"/>
    <w:rsid w:val="00E87EF2"/>
    <w:rsid w:val="00E903F1"/>
    <w:rsid w:val="00E90A44"/>
    <w:rsid w:val="00E90AA3"/>
    <w:rsid w:val="00E91158"/>
    <w:rsid w:val="00E915F0"/>
    <w:rsid w:val="00E91BB5"/>
    <w:rsid w:val="00E91FE5"/>
    <w:rsid w:val="00E9238A"/>
    <w:rsid w:val="00E92513"/>
    <w:rsid w:val="00E92B72"/>
    <w:rsid w:val="00E92F12"/>
    <w:rsid w:val="00E9308C"/>
    <w:rsid w:val="00E937AD"/>
    <w:rsid w:val="00E93BC6"/>
    <w:rsid w:val="00E9453D"/>
    <w:rsid w:val="00E95ABF"/>
    <w:rsid w:val="00E9641C"/>
    <w:rsid w:val="00E96E92"/>
    <w:rsid w:val="00E97426"/>
    <w:rsid w:val="00E97CF6"/>
    <w:rsid w:val="00EA0616"/>
    <w:rsid w:val="00EA07D6"/>
    <w:rsid w:val="00EA0862"/>
    <w:rsid w:val="00EA0E34"/>
    <w:rsid w:val="00EA0EEB"/>
    <w:rsid w:val="00EA168E"/>
    <w:rsid w:val="00EA1B99"/>
    <w:rsid w:val="00EA2844"/>
    <w:rsid w:val="00EA290F"/>
    <w:rsid w:val="00EA2AB0"/>
    <w:rsid w:val="00EA3069"/>
    <w:rsid w:val="00EA40CB"/>
    <w:rsid w:val="00EA4411"/>
    <w:rsid w:val="00EA4808"/>
    <w:rsid w:val="00EA4B9E"/>
    <w:rsid w:val="00EA56F2"/>
    <w:rsid w:val="00EA571B"/>
    <w:rsid w:val="00EA57D8"/>
    <w:rsid w:val="00EA5D4E"/>
    <w:rsid w:val="00EA616E"/>
    <w:rsid w:val="00EA62C7"/>
    <w:rsid w:val="00EA6C4C"/>
    <w:rsid w:val="00EA6E4A"/>
    <w:rsid w:val="00EA6F9E"/>
    <w:rsid w:val="00EA7286"/>
    <w:rsid w:val="00EA7458"/>
    <w:rsid w:val="00EA79EC"/>
    <w:rsid w:val="00EA7DBA"/>
    <w:rsid w:val="00EB0742"/>
    <w:rsid w:val="00EB0797"/>
    <w:rsid w:val="00EB092B"/>
    <w:rsid w:val="00EB0AFA"/>
    <w:rsid w:val="00EB0B25"/>
    <w:rsid w:val="00EB15BB"/>
    <w:rsid w:val="00EB167C"/>
    <w:rsid w:val="00EB1B53"/>
    <w:rsid w:val="00EB1BEF"/>
    <w:rsid w:val="00EB1F8B"/>
    <w:rsid w:val="00EB2759"/>
    <w:rsid w:val="00EB2875"/>
    <w:rsid w:val="00EB2D3E"/>
    <w:rsid w:val="00EB2E34"/>
    <w:rsid w:val="00EB3016"/>
    <w:rsid w:val="00EB37B7"/>
    <w:rsid w:val="00EB4954"/>
    <w:rsid w:val="00EB4ABC"/>
    <w:rsid w:val="00EB4E55"/>
    <w:rsid w:val="00EB4FF3"/>
    <w:rsid w:val="00EB59E2"/>
    <w:rsid w:val="00EB59EA"/>
    <w:rsid w:val="00EB657A"/>
    <w:rsid w:val="00EB6E19"/>
    <w:rsid w:val="00EB7349"/>
    <w:rsid w:val="00EB77F6"/>
    <w:rsid w:val="00EB782F"/>
    <w:rsid w:val="00EB7CAB"/>
    <w:rsid w:val="00EC016B"/>
    <w:rsid w:val="00EC02EA"/>
    <w:rsid w:val="00EC0798"/>
    <w:rsid w:val="00EC27D4"/>
    <w:rsid w:val="00EC2FE5"/>
    <w:rsid w:val="00EC3357"/>
    <w:rsid w:val="00EC37DD"/>
    <w:rsid w:val="00EC3DCA"/>
    <w:rsid w:val="00EC4113"/>
    <w:rsid w:val="00EC4B9A"/>
    <w:rsid w:val="00EC55C4"/>
    <w:rsid w:val="00EC6AAD"/>
    <w:rsid w:val="00EC6B33"/>
    <w:rsid w:val="00EC6D1C"/>
    <w:rsid w:val="00EC6DD9"/>
    <w:rsid w:val="00EC6F04"/>
    <w:rsid w:val="00EC6FD6"/>
    <w:rsid w:val="00ED0047"/>
    <w:rsid w:val="00ED0075"/>
    <w:rsid w:val="00ED017F"/>
    <w:rsid w:val="00ED06EA"/>
    <w:rsid w:val="00ED0A7C"/>
    <w:rsid w:val="00ED0B85"/>
    <w:rsid w:val="00ED1B1E"/>
    <w:rsid w:val="00ED1FFB"/>
    <w:rsid w:val="00ED22AF"/>
    <w:rsid w:val="00ED2490"/>
    <w:rsid w:val="00ED279F"/>
    <w:rsid w:val="00ED2B5F"/>
    <w:rsid w:val="00ED330C"/>
    <w:rsid w:val="00ED3348"/>
    <w:rsid w:val="00ED33CD"/>
    <w:rsid w:val="00ED368D"/>
    <w:rsid w:val="00ED3A44"/>
    <w:rsid w:val="00ED403E"/>
    <w:rsid w:val="00ED42C2"/>
    <w:rsid w:val="00ED438E"/>
    <w:rsid w:val="00ED4573"/>
    <w:rsid w:val="00ED4BA6"/>
    <w:rsid w:val="00ED4D5B"/>
    <w:rsid w:val="00ED4F77"/>
    <w:rsid w:val="00ED531E"/>
    <w:rsid w:val="00ED53F1"/>
    <w:rsid w:val="00ED581C"/>
    <w:rsid w:val="00ED5A09"/>
    <w:rsid w:val="00ED6C18"/>
    <w:rsid w:val="00ED6C51"/>
    <w:rsid w:val="00ED71D8"/>
    <w:rsid w:val="00ED71EE"/>
    <w:rsid w:val="00ED7428"/>
    <w:rsid w:val="00ED7662"/>
    <w:rsid w:val="00ED78C6"/>
    <w:rsid w:val="00ED7B25"/>
    <w:rsid w:val="00ED7EE8"/>
    <w:rsid w:val="00EE0462"/>
    <w:rsid w:val="00EE0688"/>
    <w:rsid w:val="00EE0CF5"/>
    <w:rsid w:val="00EE124B"/>
    <w:rsid w:val="00EE21FE"/>
    <w:rsid w:val="00EE22CA"/>
    <w:rsid w:val="00EE232D"/>
    <w:rsid w:val="00EE25BB"/>
    <w:rsid w:val="00EE26B8"/>
    <w:rsid w:val="00EE28F9"/>
    <w:rsid w:val="00EE312B"/>
    <w:rsid w:val="00EE37B2"/>
    <w:rsid w:val="00EE3A8A"/>
    <w:rsid w:val="00EE3CC0"/>
    <w:rsid w:val="00EE3FE8"/>
    <w:rsid w:val="00EE45A2"/>
    <w:rsid w:val="00EE522A"/>
    <w:rsid w:val="00EE5A3E"/>
    <w:rsid w:val="00EE5F86"/>
    <w:rsid w:val="00EE642E"/>
    <w:rsid w:val="00EE6611"/>
    <w:rsid w:val="00EE6830"/>
    <w:rsid w:val="00EE688D"/>
    <w:rsid w:val="00EE6A0D"/>
    <w:rsid w:val="00EE6C2B"/>
    <w:rsid w:val="00EE6E94"/>
    <w:rsid w:val="00EE76B9"/>
    <w:rsid w:val="00EE79A1"/>
    <w:rsid w:val="00EE7D7F"/>
    <w:rsid w:val="00EF007B"/>
    <w:rsid w:val="00EF00F3"/>
    <w:rsid w:val="00EF0408"/>
    <w:rsid w:val="00EF10A7"/>
    <w:rsid w:val="00EF10BB"/>
    <w:rsid w:val="00EF112F"/>
    <w:rsid w:val="00EF1388"/>
    <w:rsid w:val="00EF1817"/>
    <w:rsid w:val="00EF1C55"/>
    <w:rsid w:val="00EF1F35"/>
    <w:rsid w:val="00EF2009"/>
    <w:rsid w:val="00EF2464"/>
    <w:rsid w:val="00EF2760"/>
    <w:rsid w:val="00EF2C41"/>
    <w:rsid w:val="00EF3B10"/>
    <w:rsid w:val="00EF4008"/>
    <w:rsid w:val="00EF5263"/>
    <w:rsid w:val="00EF5BF1"/>
    <w:rsid w:val="00EF5DFB"/>
    <w:rsid w:val="00EF69FD"/>
    <w:rsid w:val="00EF6E5B"/>
    <w:rsid w:val="00EF6EC8"/>
    <w:rsid w:val="00EF7C85"/>
    <w:rsid w:val="00F00108"/>
    <w:rsid w:val="00F00130"/>
    <w:rsid w:val="00F0024D"/>
    <w:rsid w:val="00F00686"/>
    <w:rsid w:val="00F00895"/>
    <w:rsid w:val="00F00C8A"/>
    <w:rsid w:val="00F00E69"/>
    <w:rsid w:val="00F013F3"/>
    <w:rsid w:val="00F01BC7"/>
    <w:rsid w:val="00F025A0"/>
    <w:rsid w:val="00F025B3"/>
    <w:rsid w:val="00F0285B"/>
    <w:rsid w:val="00F03064"/>
    <w:rsid w:val="00F04253"/>
    <w:rsid w:val="00F04855"/>
    <w:rsid w:val="00F048F1"/>
    <w:rsid w:val="00F05580"/>
    <w:rsid w:val="00F059F6"/>
    <w:rsid w:val="00F06215"/>
    <w:rsid w:val="00F0634E"/>
    <w:rsid w:val="00F0636D"/>
    <w:rsid w:val="00F06E98"/>
    <w:rsid w:val="00F06FF6"/>
    <w:rsid w:val="00F071CA"/>
    <w:rsid w:val="00F074FF"/>
    <w:rsid w:val="00F07A2F"/>
    <w:rsid w:val="00F07F20"/>
    <w:rsid w:val="00F10B69"/>
    <w:rsid w:val="00F10BF0"/>
    <w:rsid w:val="00F1126A"/>
    <w:rsid w:val="00F115F7"/>
    <w:rsid w:val="00F11BAA"/>
    <w:rsid w:val="00F121A7"/>
    <w:rsid w:val="00F121CC"/>
    <w:rsid w:val="00F124E2"/>
    <w:rsid w:val="00F12A68"/>
    <w:rsid w:val="00F12D14"/>
    <w:rsid w:val="00F130BD"/>
    <w:rsid w:val="00F13215"/>
    <w:rsid w:val="00F13BD2"/>
    <w:rsid w:val="00F13F56"/>
    <w:rsid w:val="00F1470D"/>
    <w:rsid w:val="00F147A5"/>
    <w:rsid w:val="00F1503E"/>
    <w:rsid w:val="00F1509B"/>
    <w:rsid w:val="00F151F4"/>
    <w:rsid w:val="00F15C98"/>
    <w:rsid w:val="00F15F2E"/>
    <w:rsid w:val="00F1636D"/>
    <w:rsid w:val="00F17729"/>
    <w:rsid w:val="00F17862"/>
    <w:rsid w:val="00F17F0B"/>
    <w:rsid w:val="00F2013E"/>
    <w:rsid w:val="00F202D0"/>
    <w:rsid w:val="00F20690"/>
    <w:rsid w:val="00F20740"/>
    <w:rsid w:val="00F209A6"/>
    <w:rsid w:val="00F20C6D"/>
    <w:rsid w:val="00F20C8A"/>
    <w:rsid w:val="00F20DE2"/>
    <w:rsid w:val="00F20E8B"/>
    <w:rsid w:val="00F20EB0"/>
    <w:rsid w:val="00F20F84"/>
    <w:rsid w:val="00F213E6"/>
    <w:rsid w:val="00F2178B"/>
    <w:rsid w:val="00F21DDE"/>
    <w:rsid w:val="00F220F3"/>
    <w:rsid w:val="00F224F2"/>
    <w:rsid w:val="00F2277D"/>
    <w:rsid w:val="00F22A87"/>
    <w:rsid w:val="00F22DC7"/>
    <w:rsid w:val="00F23875"/>
    <w:rsid w:val="00F239FC"/>
    <w:rsid w:val="00F23BC2"/>
    <w:rsid w:val="00F2418D"/>
    <w:rsid w:val="00F24E2F"/>
    <w:rsid w:val="00F257B2"/>
    <w:rsid w:val="00F258CF"/>
    <w:rsid w:val="00F263A1"/>
    <w:rsid w:val="00F277F3"/>
    <w:rsid w:val="00F30162"/>
    <w:rsid w:val="00F3048F"/>
    <w:rsid w:val="00F31075"/>
    <w:rsid w:val="00F31223"/>
    <w:rsid w:val="00F314BF"/>
    <w:rsid w:val="00F31570"/>
    <w:rsid w:val="00F316D8"/>
    <w:rsid w:val="00F325ED"/>
    <w:rsid w:val="00F327D5"/>
    <w:rsid w:val="00F32999"/>
    <w:rsid w:val="00F32A3E"/>
    <w:rsid w:val="00F32F1E"/>
    <w:rsid w:val="00F32FDB"/>
    <w:rsid w:val="00F33A91"/>
    <w:rsid w:val="00F33B76"/>
    <w:rsid w:val="00F340DB"/>
    <w:rsid w:val="00F3549B"/>
    <w:rsid w:val="00F3579B"/>
    <w:rsid w:val="00F35B9E"/>
    <w:rsid w:val="00F36020"/>
    <w:rsid w:val="00F365D6"/>
    <w:rsid w:val="00F36621"/>
    <w:rsid w:val="00F366D2"/>
    <w:rsid w:val="00F367F8"/>
    <w:rsid w:val="00F3687F"/>
    <w:rsid w:val="00F3691D"/>
    <w:rsid w:val="00F3698C"/>
    <w:rsid w:val="00F36C7C"/>
    <w:rsid w:val="00F36D70"/>
    <w:rsid w:val="00F3711A"/>
    <w:rsid w:val="00F37275"/>
    <w:rsid w:val="00F3757E"/>
    <w:rsid w:val="00F37609"/>
    <w:rsid w:val="00F37913"/>
    <w:rsid w:val="00F37C19"/>
    <w:rsid w:val="00F40F45"/>
    <w:rsid w:val="00F4117C"/>
    <w:rsid w:val="00F4122C"/>
    <w:rsid w:val="00F416F4"/>
    <w:rsid w:val="00F41DEF"/>
    <w:rsid w:val="00F4245C"/>
    <w:rsid w:val="00F426DA"/>
    <w:rsid w:val="00F42919"/>
    <w:rsid w:val="00F42C4A"/>
    <w:rsid w:val="00F42C62"/>
    <w:rsid w:val="00F434AC"/>
    <w:rsid w:val="00F4361A"/>
    <w:rsid w:val="00F437FF"/>
    <w:rsid w:val="00F43BF3"/>
    <w:rsid w:val="00F44637"/>
    <w:rsid w:val="00F4497E"/>
    <w:rsid w:val="00F44C83"/>
    <w:rsid w:val="00F44EB4"/>
    <w:rsid w:val="00F451CB"/>
    <w:rsid w:val="00F451CF"/>
    <w:rsid w:val="00F4569B"/>
    <w:rsid w:val="00F457BB"/>
    <w:rsid w:val="00F47B8F"/>
    <w:rsid w:val="00F47C50"/>
    <w:rsid w:val="00F50013"/>
    <w:rsid w:val="00F50348"/>
    <w:rsid w:val="00F5088F"/>
    <w:rsid w:val="00F50A0E"/>
    <w:rsid w:val="00F521C6"/>
    <w:rsid w:val="00F521DF"/>
    <w:rsid w:val="00F52632"/>
    <w:rsid w:val="00F53475"/>
    <w:rsid w:val="00F5365D"/>
    <w:rsid w:val="00F53A05"/>
    <w:rsid w:val="00F5407C"/>
    <w:rsid w:val="00F542B4"/>
    <w:rsid w:val="00F54733"/>
    <w:rsid w:val="00F54AD4"/>
    <w:rsid w:val="00F54B4C"/>
    <w:rsid w:val="00F54C63"/>
    <w:rsid w:val="00F55DCA"/>
    <w:rsid w:val="00F564A2"/>
    <w:rsid w:val="00F56F93"/>
    <w:rsid w:val="00F575AB"/>
    <w:rsid w:val="00F57898"/>
    <w:rsid w:val="00F6001E"/>
    <w:rsid w:val="00F600C5"/>
    <w:rsid w:val="00F6038D"/>
    <w:rsid w:val="00F6118B"/>
    <w:rsid w:val="00F6118C"/>
    <w:rsid w:val="00F61516"/>
    <w:rsid w:val="00F61536"/>
    <w:rsid w:val="00F61BAA"/>
    <w:rsid w:val="00F6223D"/>
    <w:rsid w:val="00F625CE"/>
    <w:rsid w:val="00F627B3"/>
    <w:rsid w:val="00F638A4"/>
    <w:rsid w:val="00F63948"/>
    <w:rsid w:val="00F63E3D"/>
    <w:rsid w:val="00F64220"/>
    <w:rsid w:val="00F64459"/>
    <w:rsid w:val="00F647A0"/>
    <w:rsid w:val="00F6557D"/>
    <w:rsid w:val="00F65761"/>
    <w:rsid w:val="00F65B68"/>
    <w:rsid w:val="00F660ED"/>
    <w:rsid w:val="00F663EA"/>
    <w:rsid w:val="00F66A8D"/>
    <w:rsid w:val="00F66C6B"/>
    <w:rsid w:val="00F6709E"/>
    <w:rsid w:val="00F67257"/>
    <w:rsid w:val="00F676AD"/>
    <w:rsid w:val="00F67E92"/>
    <w:rsid w:val="00F70169"/>
    <w:rsid w:val="00F706FA"/>
    <w:rsid w:val="00F70E68"/>
    <w:rsid w:val="00F7101E"/>
    <w:rsid w:val="00F713E2"/>
    <w:rsid w:val="00F722E6"/>
    <w:rsid w:val="00F72358"/>
    <w:rsid w:val="00F728B1"/>
    <w:rsid w:val="00F73934"/>
    <w:rsid w:val="00F7394E"/>
    <w:rsid w:val="00F73A0B"/>
    <w:rsid w:val="00F73C5D"/>
    <w:rsid w:val="00F74002"/>
    <w:rsid w:val="00F74025"/>
    <w:rsid w:val="00F74999"/>
    <w:rsid w:val="00F74E99"/>
    <w:rsid w:val="00F74FB6"/>
    <w:rsid w:val="00F7513B"/>
    <w:rsid w:val="00F75B21"/>
    <w:rsid w:val="00F75C66"/>
    <w:rsid w:val="00F76748"/>
    <w:rsid w:val="00F76C2F"/>
    <w:rsid w:val="00F77BDD"/>
    <w:rsid w:val="00F805EB"/>
    <w:rsid w:val="00F80773"/>
    <w:rsid w:val="00F807CA"/>
    <w:rsid w:val="00F80D38"/>
    <w:rsid w:val="00F80DAF"/>
    <w:rsid w:val="00F812C7"/>
    <w:rsid w:val="00F81478"/>
    <w:rsid w:val="00F81D0E"/>
    <w:rsid w:val="00F81E1F"/>
    <w:rsid w:val="00F8266A"/>
    <w:rsid w:val="00F82ACF"/>
    <w:rsid w:val="00F82EA5"/>
    <w:rsid w:val="00F830EA"/>
    <w:rsid w:val="00F83298"/>
    <w:rsid w:val="00F8381A"/>
    <w:rsid w:val="00F83D62"/>
    <w:rsid w:val="00F83F4B"/>
    <w:rsid w:val="00F847FE"/>
    <w:rsid w:val="00F8507D"/>
    <w:rsid w:val="00F8515B"/>
    <w:rsid w:val="00F85267"/>
    <w:rsid w:val="00F854B8"/>
    <w:rsid w:val="00F85603"/>
    <w:rsid w:val="00F85A39"/>
    <w:rsid w:val="00F85A59"/>
    <w:rsid w:val="00F85BF6"/>
    <w:rsid w:val="00F85E73"/>
    <w:rsid w:val="00F863E6"/>
    <w:rsid w:val="00F8664E"/>
    <w:rsid w:val="00F867A6"/>
    <w:rsid w:val="00F86FAB"/>
    <w:rsid w:val="00F87315"/>
    <w:rsid w:val="00F87BEE"/>
    <w:rsid w:val="00F87C88"/>
    <w:rsid w:val="00F87CBF"/>
    <w:rsid w:val="00F87ED4"/>
    <w:rsid w:val="00F87F44"/>
    <w:rsid w:val="00F9065F"/>
    <w:rsid w:val="00F908CA"/>
    <w:rsid w:val="00F90999"/>
    <w:rsid w:val="00F909B6"/>
    <w:rsid w:val="00F913FD"/>
    <w:rsid w:val="00F91447"/>
    <w:rsid w:val="00F91457"/>
    <w:rsid w:val="00F914BA"/>
    <w:rsid w:val="00F916F8"/>
    <w:rsid w:val="00F917DD"/>
    <w:rsid w:val="00F91A08"/>
    <w:rsid w:val="00F91AE2"/>
    <w:rsid w:val="00F920EC"/>
    <w:rsid w:val="00F92492"/>
    <w:rsid w:val="00F925BE"/>
    <w:rsid w:val="00F92774"/>
    <w:rsid w:val="00F92D03"/>
    <w:rsid w:val="00F92DC4"/>
    <w:rsid w:val="00F92E98"/>
    <w:rsid w:val="00F933F5"/>
    <w:rsid w:val="00F9378E"/>
    <w:rsid w:val="00F93E46"/>
    <w:rsid w:val="00F94013"/>
    <w:rsid w:val="00F94618"/>
    <w:rsid w:val="00F9490B"/>
    <w:rsid w:val="00F94930"/>
    <w:rsid w:val="00F949A3"/>
    <w:rsid w:val="00F95A1A"/>
    <w:rsid w:val="00F95A8F"/>
    <w:rsid w:val="00F9613B"/>
    <w:rsid w:val="00F9639C"/>
    <w:rsid w:val="00F96456"/>
    <w:rsid w:val="00F96B6A"/>
    <w:rsid w:val="00F97216"/>
    <w:rsid w:val="00F9761F"/>
    <w:rsid w:val="00F97B14"/>
    <w:rsid w:val="00F97E44"/>
    <w:rsid w:val="00FA0397"/>
    <w:rsid w:val="00FA0784"/>
    <w:rsid w:val="00FA0B73"/>
    <w:rsid w:val="00FA0E3F"/>
    <w:rsid w:val="00FA26C5"/>
    <w:rsid w:val="00FA294E"/>
    <w:rsid w:val="00FA3A88"/>
    <w:rsid w:val="00FA459B"/>
    <w:rsid w:val="00FA481A"/>
    <w:rsid w:val="00FA4D8A"/>
    <w:rsid w:val="00FA50AB"/>
    <w:rsid w:val="00FA5338"/>
    <w:rsid w:val="00FA5446"/>
    <w:rsid w:val="00FA5A14"/>
    <w:rsid w:val="00FA6515"/>
    <w:rsid w:val="00FA7563"/>
    <w:rsid w:val="00FA7AE0"/>
    <w:rsid w:val="00FA7CCE"/>
    <w:rsid w:val="00FB0C47"/>
    <w:rsid w:val="00FB0CA1"/>
    <w:rsid w:val="00FB0FAD"/>
    <w:rsid w:val="00FB17EF"/>
    <w:rsid w:val="00FB252E"/>
    <w:rsid w:val="00FB2D6F"/>
    <w:rsid w:val="00FB2D9C"/>
    <w:rsid w:val="00FB3000"/>
    <w:rsid w:val="00FB3301"/>
    <w:rsid w:val="00FB36D9"/>
    <w:rsid w:val="00FB3A0D"/>
    <w:rsid w:val="00FB46BF"/>
    <w:rsid w:val="00FB46F6"/>
    <w:rsid w:val="00FB54A6"/>
    <w:rsid w:val="00FB54FA"/>
    <w:rsid w:val="00FB5689"/>
    <w:rsid w:val="00FB5B88"/>
    <w:rsid w:val="00FB6163"/>
    <w:rsid w:val="00FB6931"/>
    <w:rsid w:val="00FB6B39"/>
    <w:rsid w:val="00FB73E8"/>
    <w:rsid w:val="00FB7481"/>
    <w:rsid w:val="00FB7AD0"/>
    <w:rsid w:val="00FB7EDE"/>
    <w:rsid w:val="00FC126E"/>
    <w:rsid w:val="00FC19A6"/>
    <w:rsid w:val="00FC1DAB"/>
    <w:rsid w:val="00FC2367"/>
    <w:rsid w:val="00FC27EE"/>
    <w:rsid w:val="00FC346A"/>
    <w:rsid w:val="00FC3A6B"/>
    <w:rsid w:val="00FC3D5D"/>
    <w:rsid w:val="00FC3DFB"/>
    <w:rsid w:val="00FC3E55"/>
    <w:rsid w:val="00FC468A"/>
    <w:rsid w:val="00FC55AB"/>
    <w:rsid w:val="00FC5649"/>
    <w:rsid w:val="00FC579E"/>
    <w:rsid w:val="00FC5ED5"/>
    <w:rsid w:val="00FC6477"/>
    <w:rsid w:val="00FC6949"/>
    <w:rsid w:val="00FC705B"/>
    <w:rsid w:val="00FC78BC"/>
    <w:rsid w:val="00FC7973"/>
    <w:rsid w:val="00FD03C0"/>
    <w:rsid w:val="00FD0687"/>
    <w:rsid w:val="00FD0AD2"/>
    <w:rsid w:val="00FD0B3D"/>
    <w:rsid w:val="00FD0FEB"/>
    <w:rsid w:val="00FD10B0"/>
    <w:rsid w:val="00FD17DD"/>
    <w:rsid w:val="00FD1A31"/>
    <w:rsid w:val="00FD2059"/>
    <w:rsid w:val="00FD215D"/>
    <w:rsid w:val="00FD2396"/>
    <w:rsid w:val="00FD2D2D"/>
    <w:rsid w:val="00FD300B"/>
    <w:rsid w:val="00FD310B"/>
    <w:rsid w:val="00FD3AEF"/>
    <w:rsid w:val="00FD3D4F"/>
    <w:rsid w:val="00FD401C"/>
    <w:rsid w:val="00FD4B45"/>
    <w:rsid w:val="00FD4DD5"/>
    <w:rsid w:val="00FD4FAF"/>
    <w:rsid w:val="00FD522A"/>
    <w:rsid w:val="00FD5332"/>
    <w:rsid w:val="00FD60E3"/>
    <w:rsid w:val="00FD649D"/>
    <w:rsid w:val="00FD67A7"/>
    <w:rsid w:val="00FD738A"/>
    <w:rsid w:val="00FD7F37"/>
    <w:rsid w:val="00FE0636"/>
    <w:rsid w:val="00FE08D3"/>
    <w:rsid w:val="00FE0D1E"/>
    <w:rsid w:val="00FE0F0B"/>
    <w:rsid w:val="00FE1037"/>
    <w:rsid w:val="00FE1BEC"/>
    <w:rsid w:val="00FE1D26"/>
    <w:rsid w:val="00FE2116"/>
    <w:rsid w:val="00FE29DB"/>
    <w:rsid w:val="00FE2ABC"/>
    <w:rsid w:val="00FE2E70"/>
    <w:rsid w:val="00FE399B"/>
    <w:rsid w:val="00FE3B43"/>
    <w:rsid w:val="00FE4695"/>
    <w:rsid w:val="00FE4A3F"/>
    <w:rsid w:val="00FE4EE2"/>
    <w:rsid w:val="00FE55E5"/>
    <w:rsid w:val="00FE5C00"/>
    <w:rsid w:val="00FE5D90"/>
    <w:rsid w:val="00FE6418"/>
    <w:rsid w:val="00FE67EF"/>
    <w:rsid w:val="00FE67F8"/>
    <w:rsid w:val="00FE6A0C"/>
    <w:rsid w:val="00FE70F6"/>
    <w:rsid w:val="00FE7862"/>
    <w:rsid w:val="00FE7BF7"/>
    <w:rsid w:val="00FF032B"/>
    <w:rsid w:val="00FF03F7"/>
    <w:rsid w:val="00FF05C0"/>
    <w:rsid w:val="00FF098C"/>
    <w:rsid w:val="00FF0E6A"/>
    <w:rsid w:val="00FF103B"/>
    <w:rsid w:val="00FF12EA"/>
    <w:rsid w:val="00FF133B"/>
    <w:rsid w:val="00FF1505"/>
    <w:rsid w:val="00FF174D"/>
    <w:rsid w:val="00FF1896"/>
    <w:rsid w:val="00FF227B"/>
    <w:rsid w:val="00FF2322"/>
    <w:rsid w:val="00FF23DB"/>
    <w:rsid w:val="00FF240A"/>
    <w:rsid w:val="00FF2410"/>
    <w:rsid w:val="00FF2916"/>
    <w:rsid w:val="00FF2D8E"/>
    <w:rsid w:val="00FF2F4E"/>
    <w:rsid w:val="00FF2F7B"/>
    <w:rsid w:val="00FF3066"/>
    <w:rsid w:val="00FF3187"/>
    <w:rsid w:val="00FF3313"/>
    <w:rsid w:val="00FF3341"/>
    <w:rsid w:val="00FF37D0"/>
    <w:rsid w:val="00FF3881"/>
    <w:rsid w:val="00FF3DC8"/>
    <w:rsid w:val="00FF3FE0"/>
    <w:rsid w:val="00FF40E7"/>
    <w:rsid w:val="00FF432F"/>
    <w:rsid w:val="00FF45F1"/>
    <w:rsid w:val="00FF4724"/>
    <w:rsid w:val="00FF47BF"/>
    <w:rsid w:val="00FF4A98"/>
    <w:rsid w:val="00FF4BC7"/>
    <w:rsid w:val="00FF4BC8"/>
    <w:rsid w:val="00FF53E5"/>
    <w:rsid w:val="00FF5559"/>
    <w:rsid w:val="00FF5760"/>
    <w:rsid w:val="00FF5977"/>
    <w:rsid w:val="00FF5D34"/>
    <w:rsid w:val="00FF5FDC"/>
    <w:rsid w:val="00FF6246"/>
    <w:rsid w:val="00FF67B2"/>
    <w:rsid w:val="00FF6D9B"/>
    <w:rsid w:val="00FF70F6"/>
    <w:rsid w:val="00FF713D"/>
    <w:rsid w:val="00FF767C"/>
    <w:rsid w:val="00FF7955"/>
    <w:rsid w:val="00FF7B4C"/>
    <w:rsid w:val="00FF7BF0"/>
    <w:rsid w:val="029D5A15"/>
    <w:rsid w:val="06EA08E8"/>
    <w:rsid w:val="0F5628F5"/>
    <w:rsid w:val="122D336B"/>
    <w:rsid w:val="167B40FC"/>
    <w:rsid w:val="17A3345B"/>
    <w:rsid w:val="1C4352BA"/>
    <w:rsid w:val="31584683"/>
    <w:rsid w:val="33A7116C"/>
    <w:rsid w:val="39A02B73"/>
    <w:rsid w:val="3B7263A3"/>
    <w:rsid w:val="44972756"/>
    <w:rsid w:val="66BB48A2"/>
    <w:rsid w:val="69B97751"/>
    <w:rsid w:val="6C8F3230"/>
    <w:rsid w:val="71411B5D"/>
    <w:rsid w:val="782751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99"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autoRedefine/>
    <w:qFormat/>
    <w:uiPriority w:val="0"/>
    <w:pPr>
      <w:keepNext/>
      <w:keepLines/>
      <w:spacing w:before="340" w:line="578" w:lineRule="auto"/>
      <w:jc w:val="center"/>
      <w:outlineLvl w:val="0"/>
    </w:pPr>
    <w:rPr>
      <w:rFonts w:eastAsia="黑体"/>
      <w:b/>
      <w:bCs/>
      <w:color w:val="000000"/>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4"/>
    <w:qFormat/>
    <w:uiPriority w:val="99"/>
    <w:pPr>
      <w:keepNext/>
      <w:outlineLvl w:val="2"/>
    </w:pPr>
    <w:rPr>
      <w:rFonts w:ascii="楷体_GB2312" w:hAnsi="宋体" w:eastAsia="楷体_GB2312"/>
      <w:b/>
      <w:bCs/>
      <w:sz w:val="32"/>
    </w:rPr>
  </w:style>
  <w:style w:type="paragraph" w:styleId="5">
    <w:name w:val="heading 4"/>
    <w:basedOn w:val="1"/>
    <w:next w:val="1"/>
    <w:link w:val="45"/>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99"/>
    <w:pPr>
      <w:ind w:left="1260"/>
      <w:jc w:val="left"/>
    </w:pPr>
    <w:rPr>
      <w:szCs w:val="21"/>
    </w:rPr>
  </w:style>
  <w:style w:type="paragraph" w:styleId="7">
    <w:name w:val="Normal Indent"/>
    <w:basedOn w:val="1"/>
    <w:link w:val="46"/>
    <w:autoRedefine/>
    <w:qFormat/>
    <w:uiPriority w:val="0"/>
    <w:pPr>
      <w:widowControl/>
      <w:ind w:firstLine="420"/>
    </w:pPr>
    <w:rPr>
      <w:rFonts w:eastAsia="仿宋_GB2312"/>
      <w:sz w:val="30"/>
      <w:szCs w:val="20"/>
    </w:rPr>
  </w:style>
  <w:style w:type="paragraph" w:styleId="8">
    <w:name w:val="caption"/>
    <w:basedOn w:val="1"/>
    <w:next w:val="1"/>
    <w:qFormat/>
    <w:uiPriority w:val="99"/>
    <w:rPr>
      <w:rFonts w:ascii="Arial" w:hAnsi="Arial" w:eastAsia="黑体" w:cs="Arial"/>
      <w:sz w:val="20"/>
      <w:szCs w:val="20"/>
    </w:rPr>
  </w:style>
  <w:style w:type="paragraph" w:styleId="9">
    <w:name w:val="Document Map"/>
    <w:basedOn w:val="1"/>
    <w:link w:val="47"/>
    <w:autoRedefine/>
    <w:semiHidden/>
    <w:qFormat/>
    <w:uiPriority w:val="99"/>
    <w:pPr>
      <w:shd w:val="clear" w:color="auto" w:fill="000080"/>
    </w:pPr>
  </w:style>
  <w:style w:type="paragraph" w:styleId="10">
    <w:name w:val="annotation text"/>
    <w:basedOn w:val="1"/>
    <w:link w:val="48"/>
    <w:autoRedefine/>
    <w:qFormat/>
    <w:uiPriority w:val="0"/>
    <w:pPr>
      <w:jc w:val="left"/>
    </w:pPr>
  </w:style>
  <w:style w:type="paragraph" w:styleId="11">
    <w:name w:val="Salutation"/>
    <w:basedOn w:val="1"/>
    <w:next w:val="1"/>
    <w:link w:val="49"/>
    <w:autoRedefine/>
    <w:qFormat/>
    <w:uiPriority w:val="99"/>
    <w:pPr>
      <w:widowControl/>
      <w:jc w:val="left"/>
    </w:pPr>
    <w:rPr>
      <w:kern w:val="0"/>
      <w:sz w:val="20"/>
      <w:szCs w:val="20"/>
    </w:rPr>
  </w:style>
  <w:style w:type="paragraph" w:styleId="12">
    <w:name w:val="Body Text 3"/>
    <w:basedOn w:val="1"/>
    <w:link w:val="50"/>
    <w:qFormat/>
    <w:uiPriority w:val="99"/>
    <w:pPr>
      <w:spacing w:after="120"/>
    </w:pPr>
    <w:rPr>
      <w:sz w:val="16"/>
      <w:szCs w:val="16"/>
    </w:rPr>
  </w:style>
  <w:style w:type="paragraph" w:styleId="13">
    <w:name w:val="Body Text"/>
    <w:basedOn w:val="1"/>
    <w:link w:val="51"/>
    <w:autoRedefine/>
    <w:qFormat/>
    <w:uiPriority w:val="0"/>
    <w:rPr>
      <w:sz w:val="24"/>
    </w:rPr>
  </w:style>
  <w:style w:type="paragraph" w:styleId="14">
    <w:name w:val="Body Text Indent"/>
    <w:basedOn w:val="1"/>
    <w:link w:val="52"/>
    <w:autoRedefine/>
    <w:qFormat/>
    <w:uiPriority w:val="0"/>
    <w:pPr>
      <w:ind w:firstLine="570"/>
    </w:pPr>
    <w:rPr>
      <w:rFonts w:ascii="宋体" w:hAnsi="宋体"/>
      <w:sz w:val="28"/>
      <w:szCs w:val="20"/>
    </w:rPr>
  </w:style>
  <w:style w:type="paragraph" w:styleId="15">
    <w:name w:val="toc 5"/>
    <w:basedOn w:val="1"/>
    <w:next w:val="1"/>
    <w:autoRedefine/>
    <w:semiHidden/>
    <w:qFormat/>
    <w:uiPriority w:val="99"/>
    <w:pPr>
      <w:ind w:left="840"/>
      <w:jc w:val="left"/>
    </w:pPr>
    <w:rPr>
      <w:szCs w:val="21"/>
    </w:rPr>
  </w:style>
  <w:style w:type="paragraph" w:styleId="16">
    <w:name w:val="toc 3"/>
    <w:basedOn w:val="1"/>
    <w:next w:val="1"/>
    <w:semiHidden/>
    <w:qFormat/>
    <w:uiPriority w:val="99"/>
    <w:pPr>
      <w:ind w:left="420"/>
      <w:jc w:val="left"/>
    </w:pPr>
    <w:rPr>
      <w:i/>
      <w:iCs/>
    </w:rPr>
  </w:style>
  <w:style w:type="paragraph" w:styleId="17">
    <w:name w:val="Plain Text"/>
    <w:basedOn w:val="1"/>
    <w:link w:val="53"/>
    <w:autoRedefine/>
    <w:qFormat/>
    <w:uiPriority w:val="0"/>
    <w:rPr>
      <w:rFonts w:ascii="宋体" w:hAnsi="Courier New"/>
      <w:szCs w:val="20"/>
    </w:rPr>
  </w:style>
  <w:style w:type="paragraph" w:styleId="18">
    <w:name w:val="toc 8"/>
    <w:basedOn w:val="1"/>
    <w:next w:val="1"/>
    <w:autoRedefine/>
    <w:semiHidden/>
    <w:qFormat/>
    <w:uiPriority w:val="99"/>
    <w:pPr>
      <w:ind w:left="1470"/>
      <w:jc w:val="left"/>
    </w:pPr>
    <w:rPr>
      <w:szCs w:val="21"/>
    </w:rPr>
  </w:style>
  <w:style w:type="paragraph" w:styleId="19">
    <w:name w:val="Date"/>
    <w:basedOn w:val="1"/>
    <w:next w:val="1"/>
    <w:link w:val="54"/>
    <w:autoRedefine/>
    <w:qFormat/>
    <w:uiPriority w:val="99"/>
    <w:pPr>
      <w:ind w:left="100" w:leftChars="2500"/>
    </w:pPr>
    <w:rPr>
      <w:rFonts w:ascii="宋体" w:hAnsi="宋体"/>
      <w:b/>
      <w:bCs/>
      <w:color w:val="000000"/>
      <w:sz w:val="36"/>
    </w:rPr>
  </w:style>
  <w:style w:type="paragraph" w:styleId="20">
    <w:name w:val="Body Text Indent 2"/>
    <w:basedOn w:val="1"/>
    <w:link w:val="55"/>
    <w:autoRedefine/>
    <w:qFormat/>
    <w:uiPriority w:val="99"/>
    <w:pPr>
      <w:spacing w:line="480" w:lineRule="auto"/>
      <w:ind w:firstLine="480" w:firstLineChars="200"/>
    </w:pPr>
    <w:rPr>
      <w:rFonts w:ascii="宋体" w:hAnsi="宋体"/>
      <w:sz w:val="24"/>
    </w:rPr>
  </w:style>
  <w:style w:type="paragraph" w:styleId="21">
    <w:name w:val="Balloon Text"/>
    <w:basedOn w:val="1"/>
    <w:link w:val="56"/>
    <w:autoRedefine/>
    <w:semiHidden/>
    <w:qFormat/>
    <w:uiPriority w:val="99"/>
    <w:rPr>
      <w:sz w:val="18"/>
      <w:szCs w:val="18"/>
    </w:rPr>
  </w:style>
  <w:style w:type="paragraph" w:styleId="22">
    <w:name w:val="footer"/>
    <w:basedOn w:val="1"/>
    <w:link w:val="57"/>
    <w:autoRedefine/>
    <w:qFormat/>
    <w:uiPriority w:val="99"/>
    <w:pPr>
      <w:tabs>
        <w:tab w:val="center" w:pos="4153"/>
        <w:tab w:val="right" w:pos="8306"/>
      </w:tabs>
      <w:snapToGrid w:val="0"/>
      <w:jc w:val="left"/>
    </w:pPr>
    <w:rPr>
      <w:sz w:val="18"/>
      <w:szCs w:val="18"/>
    </w:rPr>
  </w:style>
  <w:style w:type="paragraph" w:styleId="23">
    <w:name w:val="header"/>
    <w:basedOn w:val="1"/>
    <w:link w:val="58"/>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tabs>
        <w:tab w:val="left" w:pos="1050"/>
        <w:tab w:val="right" w:leader="middleDot" w:pos="9232"/>
      </w:tabs>
      <w:spacing w:before="120" w:after="120" w:line="360" w:lineRule="auto"/>
      <w:jc w:val="left"/>
    </w:pPr>
    <w:rPr>
      <w:rFonts w:ascii="黑体" w:eastAsia="黑体"/>
    </w:rPr>
  </w:style>
  <w:style w:type="paragraph" w:styleId="25">
    <w:name w:val="toc 4"/>
    <w:basedOn w:val="1"/>
    <w:next w:val="1"/>
    <w:autoRedefine/>
    <w:semiHidden/>
    <w:qFormat/>
    <w:uiPriority w:val="99"/>
    <w:pPr>
      <w:ind w:left="630"/>
      <w:jc w:val="left"/>
    </w:pPr>
    <w:rPr>
      <w:szCs w:val="21"/>
    </w:rPr>
  </w:style>
  <w:style w:type="paragraph" w:styleId="26">
    <w:name w:val="index heading"/>
    <w:basedOn w:val="1"/>
    <w:next w:val="27"/>
    <w:autoRedefine/>
    <w:semiHidden/>
    <w:qFormat/>
    <w:uiPriority w:val="99"/>
    <w:rPr>
      <w:szCs w:val="20"/>
    </w:rPr>
  </w:style>
  <w:style w:type="paragraph" w:styleId="27">
    <w:name w:val="index 1"/>
    <w:basedOn w:val="1"/>
    <w:next w:val="1"/>
    <w:autoRedefine/>
    <w:semiHidden/>
    <w:qFormat/>
    <w:uiPriority w:val="99"/>
  </w:style>
  <w:style w:type="paragraph" w:styleId="28">
    <w:name w:val="toc 6"/>
    <w:basedOn w:val="1"/>
    <w:next w:val="1"/>
    <w:autoRedefine/>
    <w:semiHidden/>
    <w:qFormat/>
    <w:uiPriority w:val="99"/>
    <w:pPr>
      <w:ind w:left="1050"/>
      <w:jc w:val="left"/>
    </w:pPr>
    <w:rPr>
      <w:szCs w:val="21"/>
    </w:rPr>
  </w:style>
  <w:style w:type="paragraph" w:styleId="29">
    <w:name w:val="Body Text Indent 3"/>
    <w:basedOn w:val="1"/>
    <w:link w:val="59"/>
    <w:autoRedefine/>
    <w:qFormat/>
    <w:uiPriority w:val="99"/>
    <w:pPr>
      <w:spacing w:line="360" w:lineRule="auto"/>
      <w:ind w:left="1260" w:leftChars="600"/>
    </w:pPr>
    <w:rPr>
      <w:rFonts w:ascii="宋体" w:hAnsi="宋体"/>
      <w:b/>
      <w:bCs/>
      <w:sz w:val="24"/>
    </w:rPr>
  </w:style>
  <w:style w:type="paragraph" w:styleId="30">
    <w:name w:val="toc 2"/>
    <w:basedOn w:val="1"/>
    <w:next w:val="1"/>
    <w:autoRedefine/>
    <w:semiHidden/>
    <w:qFormat/>
    <w:uiPriority w:val="99"/>
    <w:pPr>
      <w:ind w:left="210"/>
      <w:jc w:val="left"/>
    </w:pPr>
    <w:rPr>
      <w:smallCaps/>
    </w:rPr>
  </w:style>
  <w:style w:type="paragraph" w:styleId="31">
    <w:name w:val="toc 9"/>
    <w:basedOn w:val="1"/>
    <w:next w:val="1"/>
    <w:autoRedefine/>
    <w:semiHidden/>
    <w:qFormat/>
    <w:uiPriority w:val="99"/>
    <w:pPr>
      <w:ind w:left="1680"/>
      <w:jc w:val="left"/>
    </w:pPr>
    <w:rPr>
      <w:szCs w:val="21"/>
    </w:rPr>
  </w:style>
  <w:style w:type="paragraph" w:styleId="32">
    <w:name w:val="Normal (Web)"/>
    <w:basedOn w:val="1"/>
    <w:qFormat/>
    <w:uiPriority w:val="0"/>
    <w:pPr>
      <w:widowControl/>
      <w:spacing w:before="100" w:beforeAutospacing="1" w:after="100" w:afterAutospacing="1"/>
      <w:jc w:val="left"/>
    </w:pPr>
    <w:rPr>
      <w:rFonts w:ascii="宋体" w:hAnsi="宋体"/>
      <w:kern w:val="0"/>
      <w:sz w:val="24"/>
    </w:rPr>
  </w:style>
  <w:style w:type="paragraph" w:styleId="33">
    <w:name w:val="Title"/>
    <w:basedOn w:val="1"/>
    <w:link w:val="60"/>
    <w:autoRedefine/>
    <w:qFormat/>
    <w:uiPriority w:val="99"/>
    <w:pPr>
      <w:spacing w:before="240" w:after="60"/>
      <w:jc w:val="center"/>
      <w:outlineLvl w:val="0"/>
    </w:pPr>
    <w:rPr>
      <w:rFonts w:ascii="Arial" w:hAnsi="Arial"/>
      <w:b/>
      <w:bCs/>
      <w:sz w:val="32"/>
      <w:szCs w:val="32"/>
    </w:rPr>
  </w:style>
  <w:style w:type="paragraph" w:styleId="34">
    <w:name w:val="annotation subject"/>
    <w:basedOn w:val="10"/>
    <w:next w:val="10"/>
    <w:link w:val="61"/>
    <w:autoRedefine/>
    <w:semiHidden/>
    <w:qFormat/>
    <w:uiPriority w:val="99"/>
    <w:rPr>
      <w:b/>
      <w:bCs/>
    </w:rPr>
  </w:style>
  <w:style w:type="paragraph" w:styleId="35">
    <w:name w:val="Body Text First Indent"/>
    <w:basedOn w:val="13"/>
    <w:link w:val="62"/>
    <w:autoRedefine/>
    <w:qFormat/>
    <w:uiPriority w:val="99"/>
    <w:pPr>
      <w:spacing w:after="120"/>
      <w:ind w:firstLine="420" w:firstLineChars="100"/>
    </w:pPr>
    <w:rPr>
      <w:sz w:val="21"/>
    </w:rPr>
  </w:style>
  <w:style w:type="table" w:styleId="37">
    <w:name w:val="Table Grid"/>
    <w:basedOn w:val="3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Hyperlink"/>
    <w:autoRedefine/>
    <w:qFormat/>
    <w:uiPriority w:val="99"/>
    <w:rPr>
      <w:color w:val="0000FF"/>
      <w:u w:val="single"/>
    </w:rPr>
  </w:style>
  <w:style w:type="character" w:styleId="42">
    <w:name w:val="annotation reference"/>
    <w:qFormat/>
    <w:uiPriority w:val="0"/>
    <w:rPr>
      <w:sz w:val="21"/>
      <w:szCs w:val="21"/>
    </w:rPr>
  </w:style>
  <w:style w:type="character" w:customStyle="1" w:styleId="43">
    <w:name w:val="标题 1 Char"/>
    <w:link w:val="2"/>
    <w:autoRedefine/>
    <w:qFormat/>
    <w:uiPriority w:val="0"/>
    <w:rPr>
      <w:rFonts w:eastAsia="黑体"/>
      <w:b/>
      <w:bCs/>
      <w:color w:val="000000"/>
      <w:kern w:val="44"/>
      <w:sz w:val="44"/>
      <w:szCs w:val="44"/>
    </w:rPr>
  </w:style>
  <w:style w:type="character" w:customStyle="1" w:styleId="44">
    <w:name w:val="标题 3 Char"/>
    <w:link w:val="4"/>
    <w:autoRedefine/>
    <w:qFormat/>
    <w:uiPriority w:val="99"/>
    <w:rPr>
      <w:rFonts w:ascii="楷体_GB2312" w:hAnsi="宋体" w:eastAsia="楷体_GB2312"/>
      <w:b/>
      <w:bCs/>
      <w:kern w:val="2"/>
      <w:sz w:val="32"/>
      <w:szCs w:val="24"/>
      <w:lang w:val="en-US" w:eastAsia="zh-CN" w:bidi="ar-SA"/>
    </w:rPr>
  </w:style>
  <w:style w:type="character" w:customStyle="1" w:styleId="45">
    <w:name w:val="标题 4 Char"/>
    <w:link w:val="5"/>
    <w:autoRedefine/>
    <w:qFormat/>
    <w:uiPriority w:val="0"/>
    <w:rPr>
      <w:rFonts w:ascii="Arial" w:hAnsi="Arial" w:eastAsia="黑体"/>
      <w:b/>
      <w:bCs/>
      <w:kern w:val="2"/>
      <w:sz w:val="28"/>
      <w:szCs w:val="28"/>
    </w:rPr>
  </w:style>
  <w:style w:type="character" w:customStyle="1" w:styleId="46">
    <w:name w:val="正文缩进 Char"/>
    <w:link w:val="7"/>
    <w:autoRedefine/>
    <w:qFormat/>
    <w:uiPriority w:val="0"/>
    <w:rPr>
      <w:rFonts w:eastAsia="仿宋_GB2312"/>
      <w:kern w:val="2"/>
      <w:sz w:val="30"/>
      <w:lang w:val="en-US" w:eastAsia="zh-CN" w:bidi="ar-SA"/>
    </w:rPr>
  </w:style>
  <w:style w:type="character" w:customStyle="1" w:styleId="47">
    <w:name w:val="文档结构图 Char"/>
    <w:link w:val="9"/>
    <w:autoRedefine/>
    <w:semiHidden/>
    <w:qFormat/>
    <w:uiPriority w:val="99"/>
    <w:rPr>
      <w:kern w:val="2"/>
      <w:sz w:val="21"/>
      <w:szCs w:val="24"/>
      <w:shd w:val="clear" w:color="auto" w:fill="000080"/>
    </w:rPr>
  </w:style>
  <w:style w:type="character" w:customStyle="1" w:styleId="48">
    <w:name w:val="批注文字 Char"/>
    <w:link w:val="10"/>
    <w:autoRedefine/>
    <w:qFormat/>
    <w:uiPriority w:val="0"/>
    <w:rPr>
      <w:kern w:val="2"/>
      <w:sz w:val="21"/>
      <w:szCs w:val="24"/>
    </w:rPr>
  </w:style>
  <w:style w:type="character" w:customStyle="1" w:styleId="49">
    <w:name w:val="称呼 Char"/>
    <w:basedOn w:val="38"/>
    <w:link w:val="11"/>
    <w:autoRedefine/>
    <w:qFormat/>
    <w:uiPriority w:val="99"/>
  </w:style>
  <w:style w:type="character" w:customStyle="1" w:styleId="50">
    <w:name w:val="正文文本 3 Char"/>
    <w:link w:val="12"/>
    <w:autoRedefine/>
    <w:qFormat/>
    <w:uiPriority w:val="99"/>
    <w:rPr>
      <w:kern w:val="2"/>
      <w:sz w:val="16"/>
      <w:szCs w:val="16"/>
    </w:rPr>
  </w:style>
  <w:style w:type="character" w:customStyle="1" w:styleId="51">
    <w:name w:val="正文文本 Char1"/>
    <w:link w:val="13"/>
    <w:autoRedefine/>
    <w:qFormat/>
    <w:locked/>
    <w:uiPriority w:val="0"/>
    <w:rPr>
      <w:kern w:val="2"/>
      <w:sz w:val="24"/>
      <w:szCs w:val="24"/>
    </w:rPr>
  </w:style>
  <w:style w:type="character" w:customStyle="1" w:styleId="52">
    <w:name w:val="正文文本缩进 Char"/>
    <w:link w:val="14"/>
    <w:autoRedefine/>
    <w:qFormat/>
    <w:locked/>
    <w:uiPriority w:val="0"/>
    <w:rPr>
      <w:rFonts w:ascii="宋体" w:hAnsi="宋体"/>
      <w:kern w:val="2"/>
      <w:sz w:val="28"/>
    </w:rPr>
  </w:style>
  <w:style w:type="character" w:customStyle="1" w:styleId="53">
    <w:name w:val="纯文本 Char1"/>
    <w:link w:val="17"/>
    <w:autoRedefine/>
    <w:qFormat/>
    <w:uiPriority w:val="0"/>
    <w:rPr>
      <w:rFonts w:ascii="宋体" w:hAnsi="Courier New" w:eastAsia="宋体"/>
      <w:kern w:val="2"/>
      <w:sz w:val="21"/>
      <w:lang w:val="en-US" w:eastAsia="zh-CN" w:bidi="ar-SA"/>
    </w:rPr>
  </w:style>
  <w:style w:type="character" w:customStyle="1" w:styleId="54">
    <w:name w:val="日期 Char"/>
    <w:link w:val="19"/>
    <w:qFormat/>
    <w:uiPriority w:val="99"/>
    <w:rPr>
      <w:rFonts w:ascii="宋体" w:hAnsi="宋体"/>
      <w:b/>
      <w:bCs/>
      <w:color w:val="000000"/>
      <w:kern w:val="2"/>
      <w:sz w:val="36"/>
      <w:szCs w:val="24"/>
    </w:rPr>
  </w:style>
  <w:style w:type="character" w:customStyle="1" w:styleId="55">
    <w:name w:val="正文文本缩进 2 Char"/>
    <w:link w:val="20"/>
    <w:qFormat/>
    <w:uiPriority w:val="99"/>
    <w:rPr>
      <w:rFonts w:ascii="宋体" w:hAnsi="宋体"/>
      <w:kern w:val="2"/>
      <w:sz w:val="24"/>
      <w:szCs w:val="24"/>
    </w:rPr>
  </w:style>
  <w:style w:type="character" w:customStyle="1" w:styleId="56">
    <w:name w:val="批注框文本 Char"/>
    <w:link w:val="21"/>
    <w:autoRedefine/>
    <w:semiHidden/>
    <w:qFormat/>
    <w:uiPriority w:val="99"/>
    <w:rPr>
      <w:kern w:val="2"/>
      <w:sz w:val="18"/>
      <w:szCs w:val="18"/>
    </w:rPr>
  </w:style>
  <w:style w:type="character" w:customStyle="1" w:styleId="57">
    <w:name w:val="页脚 Char"/>
    <w:link w:val="22"/>
    <w:qFormat/>
    <w:uiPriority w:val="99"/>
    <w:rPr>
      <w:rFonts w:eastAsia="宋体"/>
      <w:kern w:val="2"/>
      <w:sz w:val="18"/>
      <w:szCs w:val="18"/>
      <w:lang w:val="en-US" w:eastAsia="zh-CN" w:bidi="ar-SA"/>
    </w:rPr>
  </w:style>
  <w:style w:type="character" w:customStyle="1" w:styleId="58">
    <w:name w:val="页眉 Char"/>
    <w:link w:val="23"/>
    <w:autoRedefine/>
    <w:qFormat/>
    <w:uiPriority w:val="0"/>
    <w:rPr>
      <w:kern w:val="2"/>
      <w:sz w:val="18"/>
      <w:szCs w:val="18"/>
    </w:rPr>
  </w:style>
  <w:style w:type="character" w:customStyle="1" w:styleId="59">
    <w:name w:val="正文文本缩进 3 Char"/>
    <w:link w:val="29"/>
    <w:autoRedefine/>
    <w:qFormat/>
    <w:uiPriority w:val="99"/>
    <w:rPr>
      <w:rFonts w:ascii="宋体" w:hAnsi="宋体"/>
      <w:b/>
      <w:bCs/>
      <w:kern w:val="2"/>
      <w:sz w:val="24"/>
      <w:szCs w:val="24"/>
    </w:rPr>
  </w:style>
  <w:style w:type="character" w:customStyle="1" w:styleId="60">
    <w:name w:val="标题 Char"/>
    <w:link w:val="33"/>
    <w:autoRedefine/>
    <w:qFormat/>
    <w:uiPriority w:val="99"/>
    <w:rPr>
      <w:rFonts w:ascii="Arial" w:hAnsi="Arial" w:cs="Arial"/>
      <w:b/>
      <w:bCs/>
      <w:kern w:val="2"/>
      <w:sz w:val="32"/>
      <w:szCs w:val="32"/>
    </w:rPr>
  </w:style>
  <w:style w:type="character" w:customStyle="1" w:styleId="61">
    <w:name w:val="批注主题 Char"/>
    <w:link w:val="34"/>
    <w:autoRedefine/>
    <w:semiHidden/>
    <w:qFormat/>
    <w:uiPriority w:val="99"/>
    <w:rPr>
      <w:b/>
      <w:bCs/>
      <w:kern w:val="2"/>
      <w:sz w:val="21"/>
      <w:szCs w:val="24"/>
    </w:rPr>
  </w:style>
  <w:style w:type="character" w:customStyle="1" w:styleId="62">
    <w:name w:val="正文首行缩进 Char"/>
    <w:link w:val="35"/>
    <w:autoRedefine/>
    <w:qFormat/>
    <w:uiPriority w:val="99"/>
    <w:rPr>
      <w:kern w:val="2"/>
      <w:sz w:val="21"/>
      <w:szCs w:val="24"/>
    </w:rPr>
  </w:style>
  <w:style w:type="character" w:customStyle="1" w:styleId="63">
    <w:name w:val="b-121"/>
    <w:autoRedefine/>
    <w:qFormat/>
    <w:uiPriority w:val="0"/>
    <w:rPr>
      <w:rFonts w:hint="default"/>
      <w:spacing w:val="330"/>
      <w:sz w:val="18"/>
      <w:szCs w:val="18"/>
      <w:u w:val="none"/>
    </w:rPr>
  </w:style>
  <w:style w:type="paragraph" w:customStyle="1" w:styleId="64">
    <w:name w:val="表格"/>
    <w:basedOn w:val="1"/>
    <w:autoRedefine/>
    <w:qFormat/>
    <w:uiPriority w:val="99"/>
    <w:pPr>
      <w:spacing w:line="420" w:lineRule="exact"/>
      <w:ind w:left="84" w:leftChars="40"/>
      <w:jc w:val="center"/>
    </w:pPr>
    <w:rPr>
      <w:rFonts w:ascii="宋体" w:hAnsi="宋体"/>
      <w:bCs/>
      <w:spacing w:val="-12"/>
    </w:rPr>
  </w:style>
  <w:style w:type="paragraph" w:customStyle="1" w:styleId="65">
    <w:name w:val="head"/>
    <w:basedOn w:val="1"/>
    <w:autoRedefine/>
    <w:qFormat/>
    <w:uiPriority w:val="99"/>
    <w:pPr>
      <w:widowControl/>
      <w:spacing w:before="100" w:beforeAutospacing="1" w:after="100" w:afterAutospacing="1"/>
      <w:jc w:val="center"/>
    </w:pPr>
    <w:rPr>
      <w:rFonts w:hint="eastAsia" w:ascii="黑体" w:hAnsi="宋体" w:eastAsia="黑体"/>
      <w:b/>
      <w:bCs/>
      <w:kern w:val="0"/>
      <w:sz w:val="28"/>
      <w:szCs w:val="28"/>
    </w:rPr>
  </w:style>
  <w:style w:type="paragraph" w:customStyle="1" w:styleId="66">
    <w:name w:val="图"/>
    <w:basedOn w:val="1"/>
    <w:autoRedefine/>
    <w:qFormat/>
    <w:uiPriority w:val="99"/>
    <w:pPr>
      <w:keepNext/>
      <w:adjustRightInd w:val="0"/>
      <w:spacing w:before="60" w:after="60" w:line="300" w:lineRule="auto"/>
      <w:jc w:val="center"/>
      <w:textAlignment w:val="center"/>
    </w:pPr>
    <w:rPr>
      <w:snapToGrid/>
      <w:spacing w:val="20"/>
      <w:kern w:val="0"/>
      <w:sz w:val="24"/>
      <w:szCs w:val="20"/>
    </w:rPr>
  </w:style>
  <w:style w:type="paragraph" w:customStyle="1" w:styleId="67">
    <w:name w:val="xl29"/>
    <w:basedOn w:val="1"/>
    <w:autoRedefine/>
    <w:qFormat/>
    <w:uiPriority w:val="99"/>
    <w:pPr>
      <w:widowControl/>
      <w:spacing w:before="100" w:beforeAutospacing="1" w:after="100" w:afterAutospacing="1"/>
      <w:jc w:val="center"/>
    </w:pPr>
    <w:rPr>
      <w:rFonts w:ascii="宋体" w:hAnsi="宋体"/>
      <w:kern w:val="0"/>
      <w:sz w:val="28"/>
      <w:szCs w:val="28"/>
    </w:rPr>
  </w:style>
  <w:style w:type="character" w:customStyle="1" w:styleId="68">
    <w:name w:val="已访问的超链接1"/>
    <w:autoRedefine/>
    <w:qFormat/>
    <w:uiPriority w:val="0"/>
    <w:rPr>
      <w:color w:val="800080"/>
      <w:u w:val="single"/>
    </w:rPr>
  </w:style>
  <w:style w:type="character" w:customStyle="1" w:styleId="69">
    <w:name w:val="14"/>
    <w:basedOn w:val="38"/>
    <w:autoRedefine/>
    <w:qFormat/>
    <w:uiPriority w:val="0"/>
  </w:style>
  <w:style w:type="character" w:customStyle="1" w:styleId="70">
    <w:name w:val="style11"/>
    <w:autoRedefine/>
    <w:qFormat/>
    <w:uiPriority w:val="0"/>
    <w:rPr>
      <w:rFonts w:hint="default" w:ascii="Arial" w:hAnsi="Arial" w:cs="Arial"/>
    </w:rPr>
  </w:style>
  <w:style w:type="character" w:customStyle="1" w:styleId="71">
    <w:name w:val="kleintab1"/>
    <w:autoRedefine/>
    <w:qFormat/>
    <w:uiPriority w:val="0"/>
    <w:rPr>
      <w:color w:val="999999"/>
      <w:sz w:val="9"/>
      <w:szCs w:val="9"/>
    </w:rPr>
  </w:style>
  <w:style w:type="paragraph" w:customStyle="1" w:styleId="72">
    <w:name w:val="Char Char Char Char Char Char Char Char Char Char"/>
    <w:basedOn w:val="1"/>
    <w:autoRedefine/>
    <w:qFormat/>
    <w:uiPriority w:val="99"/>
    <w:rPr>
      <w:rFonts w:ascii="Tahoma" w:hAnsi="Tahoma"/>
      <w:sz w:val="24"/>
      <w:szCs w:val="20"/>
    </w:rPr>
  </w:style>
  <w:style w:type="paragraph" w:styleId="73">
    <w:name w:val="List Paragraph"/>
    <w:basedOn w:val="1"/>
    <w:link w:val="74"/>
    <w:autoRedefine/>
    <w:qFormat/>
    <w:uiPriority w:val="34"/>
    <w:pPr>
      <w:widowControl/>
      <w:ind w:firstLine="420" w:firstLineChars="200"/>
      <w:jc w:val="left"/>
    </w:pPr>
    <w:rPr>
      <w:kern w:val="0"/>
      <w:sz w:val="20"/>
      <w:szCs w:val="20"/>
    </w:rPr>
  </w:style>
  <w:style w:type="character" w:customStyle="1" w:styleId="74">
    <w:name w:val="列出段落 Char"/>
    <w:link w:val="73"/>
    <w:autoRedefine/>
    <w:qFormat/>
    <w:uiPriority w:val="34"/>
  </w:style>
  <w:style w:type="paragraph" w:customStyle="1" w:styleId="75">
    <w:name w:val="Char Char Char Char Char"/>
    <w:basedOn w:val="1"/>
    <w:autoRedefine/>
    <w:qFormat/>
    <w:uiPriority w:val="99"/>
    <w:pPr>
      <w:widowControl/>
      <w:spacing w:line="400" w:lineRule="exact"/>
      <w:jc w:val="center"/>
    </w:pPr>
    <w:rPr>
      <w:rFonts w:ascii="Verdana" w:hAnsi="Verdana"/>
      <w:kern w:val="0"/>
      <w:szCs w:val="20"/>
      <w:lang w:eastAsia="en-US"/>
    </w:rPr>
  </w:style>
  <w:style w:type="paragraph" w:customStyle="1" w:styleId="76">
    <w:name w:val="Char Char Char Char Char Char Char Char Char"/>
    <w:basedOn w:val="1"/>
    <w:autoRedefine/>
    <w:qFormat/>
    <w:uiPriority w:val="99"/>
    <w:pPr>
      <w:widowControl/>
      <w:spacing w:line="400" w:lineRule="exact"/>
      <w:jc w:val="center"/>
    </w:pPr>
    <w:rPr>
      <w:rFonts w:ascii="Verdana" w:hAnsi="Verdana"/>
      <w:kern w:val="0"/>
      <w:szCs w:val="20"/>
      <w:lang w:eastAsia="en-US"/>
    </w:rPr>
  </w:style>
  <w:style w:type="paragraph" w:customStyle="1" w:styleId="77">
    <w:name w:val="无间距"/>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78">
    <w:name w:val="默认段落字体 Para Char Char Char Char"/>
    <w:basedOn w:val="1"/>
    <w:autoRedefine/>
    <w:qFormat/>
    <w:uiPriority w:val="99"/>
  </w:style>
  <w:style w:type="paragraph" w:customStyle="1" w:styleId="79">
    <w:name w:val="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80">
    <w:name w:val="默认段落字体 Para Char"/>
    <w:basedOn w:val="1"/>
    <w:autoRedefine/>
    <w:qFormat/>
    <w:uiPriority w:val="99"/>
    <w:rPr>
      <w:rFonts w:ascii="宋体" w:hAnsi="宋体"/>
      <w:b/>
      <w:sz w:val="28"/>
      <w:szCs w:val="28"/>
    </w:rPr>
  </w:style>
  <w:style w:type="paragraph" w:customStyle="1" w:styleId="81">
    <w:name w:val="xl25"/>
    <w:basedOn w:val="1"/>
    <w:autoRedefine/>
    <w:qFormat/>
    <w:uiPriority w:val="99"/>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82">
    <w:name w:val="表格文字"/>
    <w:basedOn w:val="1"/>
    <w:autoRedefine/>
    <w:qFormat/>
    <w:uiPriority w:val="0"/>
    <w:pPr>
      <w:spacing w:before="25" w:after="25"/>
      <w:jc w:val="left"/>
    </w:pPr>
    <w:rPr>
      <w:bCs/>
      <w:spacing w:val="10"/>
      <w:kern w:val="0"/>
      <w:sz w:val="24"/>
      <w:szCs w:val="20"/>
    </w:rPr>
  </w:style>
  <w:style w:type="paragraph" w:customStyle="1" w:styleId="83">
    <w:name w:val="题注5"/>
    <w:basedOn w:val="1"/>
    <w:next w:val="8"/>
    <w:autoRedefine/>
    <w:qFormat/>
    <w:uiPriority w:val="99"/>
    <w:pPr>
      <w:jc w:val="center"/>
    </w:pPr>
    <w:rPr>
      <w:b/>
      <w:color w:val="000000"/>
      <w:sz w:val="24"/>
      <w:szCs w:val="21"/>
    </w:rPr>
  </w:style>
  <w:style w:type="paragraph" w:customStyle="1" w:styleId="84">
    <w:name w:val="Char Char Char Char Char Char Char"/>
    <w:basedOn w:val="1"/>
    <w:autoRedefine/>
    <w:qFormat/>
    <w:uiPriority w:val="99"/>
    <w:pPr>
      <w:tabs>
        <w:tab w:val="left" w:pos="425"/>
      </w:tabs>
      <w:ind w:left="425" w:hanging="425"/>
    </w:pPr>
    <w:rPr>
      <w:rFonts w:eastAsia="仿宋_GB2312"/>
      <w:kern w:val="24"/>
      <w:sz w:val="24"/>
    </w:rPr>
  </w:style>
  <w:style w:type="paragraph" w:customStyle="1" w:styleId="85">
    <w:name w:val="题注4"/>
    <w:basedOn w:val="1"/>
    <w:next w:val="8"/>
    <w:autoRedefine/>
    <w:qFormat/>
    <w:uiPriority w:val="99"/>
    <w:pPr>
      <w:ind w:left="-132" w:leftChars="-64" w:right="-105" w:rightChars="-50" w:hanging="2"/>
      <w:jc w:val="center"/>
    </w:pPr>
    <w:rPr>
      <w:b/>
      <w:color w:val="FF0000"/>
      <w:szCs w:val="21"/>
      <w:lang w:val="en-GB"/>
    </w:rPr>
  </w:style>
  <w:style w:type="character" w:customStyle="1" w:styleId="86">
    <w:name w:val="标题 2 Char"/>
    <w:autoRedefine/>
    <w:qFormat/>
    <w:uiPriority w:val="0"/>
    <w:rPr>
      <w:rFonts w:ascii="Arial" w:hAnsi="Arial" w:eastAsia="黑体"/>
      <w:b/>
      <w:bCs/>
      <w:kern w:val="2"/>
      <w:sz w:val="32"/>
      <w:szCs w:val="32"/>
      <w:lang w:val="en-US" w:eastAsia="zh-CN" w:bidi="ar-SA"/>
    </w:rPr>
  </w:style>
  <w:style w:type="paragraph" w:customStyle="1" w:styleId="87">
    <w:name w:val="Char Char2 Char"/>
    <w:basedOn w:val="1"/>
    <w:autoRedefine/>
    <w:qFormat/>
    <w:uiPriority w:val="99"/>
    <w:rPr>
      <w:rFonts w:ascii="宋体" w:hAnsi="宋体"/>
      <w:b/>
      <w:sz w:val="28"/>
      <w:szCs w:val="28"/>
    </w:rPr>
  </w:style>
  <w:style w:type="paragraph" w:customStyle="1" w:styleId="88">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9">
    <w:name w:val="普通 (Web)"/>
    <w:basedOn w:val="1"/>
    <w:autoRedefine/>
    <w:qFormat/>
    <w:uiPriority w:val="99"/>
    <w:pPr>
      <w:widowControl/>
      <w:spacing w:before="100" w:beforeAutospacing="1" w:after="100" w:afterAutospacing="1"/>
      <w:jc w:val="left"/>
    </w:pPr>
    <w:rPr>
      <w:rFonts w:ascii="宋体" w:hAnsi="宋体"/>
      <w:kern w:val="0"/>
      <w:sz w:val="24"/>
      <w:szCs w:val="20"/>
    </w:rPr>
  </w:style>
  <w:style w:type="paragraph" w:customStyle="1" w:styleId="90">
    <w:name w:val="办公自动化专用标题"/>
    <w:basedOn w:val="33"/>
    <w:autoRedefine/>
    <w:qFormat/>
    <w:uiPriority w:val="99"/>
    <w:pPr>
      <w:spacing w:line="560" w:lineRule="atLeast"/>
    </w:pPr>
    <w:rPr>
      <w:rFonts w:ascii="宋体"/>
      <w:bCs w:val="0"/>
      <w:sz w:val="44"/>
      <w:szCs w:val="20"/>
    </w:rPr>
  </w:style>
  <w:style w:type="paragraph" w:customStyle="1" w:styleId="91">
    <w:name w:val="Char Char1"/>
    <w:basedOn w:val="1"/>
    <w:autoRedefine/>
    <w:qFormat/>
    <w:uiPriority w:val="0"/>
    <w:rPr>
      <w:rFonts w:ascii="宋体" w:hAnsi="宋体"/>
      <w:b/>
      <w:sz w:val="28"/>
      <w:szCs w:val="28"/>
    </w:rPr>
  </w:style>
  <w:style w:type="character" w:customStyle="1" w:styleId="92">
    <w:name w:val="p141"/>
    <w:autoRedefine/>
    <w:qFormat/>
    <w:uiPriority w:val="0"/>
    <w:rPr>
      <w:sz w:val="21"/>
      <w:szCs w:val="21"/>
    </w:rPr>
  </w:style>
  <w:style w:type="paragraph" w:customStyle="1" w:styleId="93">
    <w:name w:val="p0"/>
    <w:basedOn w:val="1"/>
    <w:autoRedefine/>
    <w:qFormat/>
    <w:uiPriority w:val="99"/>
    <w:pPr>
      <w:widowControl/>
    </w:pPr>
    <w:rPr>
      <w:kern w:val="0"/>
      <w:szCs w:val="21"/>
    </w:rPr>
  </w:style>
  <w:style w:type="character" w:customStyle="1" w:styleId="94">
    <w:name w:val="apple-converted-space"/>
    <w:basedOn w:val="38"/>
    <w:autoRedefine/>
    <w:qFormat/>
    <w:uiPriority w:val="0"/>
  </w:style>
  <w:style w:type="paragraph" w:customStyle="1" w:styleId="95">
    <w:name w:val="pa-2"/>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96">
    <w:name w:val="pa-3"/>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97">
    <w:name w:val="pa-0"/>
    <w:basedOn w:val="1"/>
    <w:autoRedefine/>
    <w:qFormat/>
    <w:uiPriority w:val="99"/>
    <w:pPr>
      <w:widowControl/>
      <w:spacing w:before="100" w:beforeAutospacing="1" w:after="100" w:afterAutospacing="1"/>
      <w:jc w:val="left"/>
    </w:pPr>
    <w:rPr>
      <w:rFonts w:ascii="宋体" w:hAnsi="宋体" w:cs="宋体"/>
      <w:kern w:val="0"/>
      <w:sz w:val="24"/>
    </w:rPr>
  </w:style>
  <w:style w:type="character" w:customStyle="1" w:styleId="98">
    <w:name w:val="ca-2"/>
    <w:basedOn w:val="38"/>
    <w:autoRedefine/>
    <w:qFormat/>
    <w:uiPriority w:val="0"/>
  </w:style>
  <w:style w:type="character" w:customStyle="1" w:styleId="99">
    <w:name w:val="ca-3"/>
    <w:basedOn w:val="38"/>
    <w:autoRedefine/>
    <w:qFormat/>
    <w:uiPriority w:val="0"/>
  </w:style>
  <w:style w:type="character" w:customStyle="1" w:styleId="100">
    <w:name w:val="ca-0"/>
    <w:basedOn w:val="38"/>
    <w:autoRedefine/>
    <w:qFormat/>
    <w:uiPriority w:val="0"/>
  </w:style>
  <w:style w:type="character" w:customStyle="1" w:styleId="101">
    <w:name w:val="ca-1"/>
    <w:basedOn w:val="38"/>
    <w:autoRedefine/>
    <w:qFormat/>
    <w:uiPriority w:val="0"/>
  </w:style>
  <w:style w:type="character" w:customStyle="1" w:styleId="102">
    <w:name w:val="ca-5"/>
    <w:basedOn w:val="38"/>
    <w:autoRedefine/>
    <w:qFormat/>
    <w:uiPriority w:val="0"/>
  </w:style>
  <w:style w:type="character" w:customStyle="1" w:styleId="103">
    <w:name w:val="ca-6"/>
    <w:basedOn w:val="38"/>
    <w:autoRedefine/>
    <w:qFormat/>
    <w:uiPriority w:val="0"/>
  </w:style>
  <w:style w:type="character" w:customStyle="1" w:styleId="104">
    <w:name w:val="ca-7"/>
    <w:basedOn w:val="38"/>
    <w:autoRedefine/>
    <w:qFormat/>
    <w:uiPriority w:val="0"/>
  </w:style>
  <w:style w:type="character" w:customStyle="1" w:styleId="105">
    <w:name w:val="ca-9"/>
    <w:basedOn w:val="38"/>
    <w:autoRedefine/>
    <w:qFormat/>
    <w:uiPriority w:val="0"/>
  </w:style>
  <w:style w:type="character" w:customStyle="1" w:styleId="106">
    <w:name w:val="ca-10"/>
    <w:basedOn w:val="38"/>
    <w:autoRedefine/>
    <w:qFormat/>
    <w:uiPriority w:val="0"/>
  </w:style>
  <w:style w:type="paragraph" w:customStyle="1" w:styleId="107">
    <w:name w:val="列出段落1"/>
    <w:basedOn w:val="1"/>
    <w:autoRedefine/>
    <w:qFormat/>
    <w:uiPriority w:val="99"/>
    <w:pPr>
      <w:ind w:firstLine="420" w:firstLineChars="200"/>
    </w:pPr>
    <w:rPr>
      <w:rFonts w:ascii="Calibri" w:hAnsi="Calibri"/>
      <w:szCs w:val="22"/>
    </w:rPr>
  </w:style>
  <w:style w:type="paragraph" w:customStyle="1" w:styleId="108">
    <w:name w:val="列出段落11"/>
    <w:basedOn w:val="1"/>
    <w:autoRedefine/>
    <w:qFormat/>
    <w:uiPriority w:val="99"/>
    <w:pPr>
      <w:ind w:firstLine="420" w:firstLineChars="200"/>
    </w:pPr>
    <w:rPr>
      <w:rFonts w:ascii="Calibri" w:hAnsi="Calibri"/>
      <w:szCs w:val="22"/>
    </w:rPr>
  </w:style>
  <w:style w:type="paragraph" w:customStyle="1" w:styleId="109">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2"/>
    <w:basedOn w:val="1"/>
    <w:autoRedefine/>
    <w:qFormat/>
    <w:uiPriority w:val="99"/>
    <w:rPr>
      <w:rFonts w:ascii="宋体" w:hAnsi="宋体"/>
      <w:b/>
      <w:sz w:val="28"/>
      <w:szCs w:val="28"/>
    </w:rPr>
  </w:style>
  <w:style w:type="character" w:customStyle="1" w:styleId="111">
    <w:name w:val="正文缩进2格 Char"/>
    <w:link w:val="112"/>
    <w:autoRedefine/>
    <w:qFormat/>
    <w:uiPriority w:val="0"/>
    <w:rPr>
      <w:rFonts w:ascii="仿宋_GB2312" w:hAnsi="宋体" w:eastAsia="仿宋_GB2312"/>
      <w:kern w:val="2"/>
      <w:sz w:val="31"/>
      <w:szCs w:val="28"/>
    </w:rPr>
  </w:style>
  <w:style w:type="paragraph" w:customStyle="1" w:styleId="112">
    <w:name w:val="正文缩进2格"/>
    <w:basedOn w:val="1"/>
    <w:link w:val="111"/>
    <w:qFormat/>
    <w:uiPriority w:val="0"/>
    <w:pPr>
      <w:spacing w:after="120" w:line="600" w:lineRule="exact"/>
      <w:ind w:firstLine="639" w:firstLineChars="206"/>
    </w:pPr>
    <w:rPr>
      <w:rFonts w:ascii="仿宋_GB2312" w:hAnsi="宋体" w:eastAsia="仿宋_GB2312"/>
      <w:sz w:val="31"/>
      <w:szCs w:val="28"/>
    </w:rPr>
  </w:style>
  <w:style w:type="paragraph" w:customStyle="1" w:styleId="113">
    <w:name w:val="Char Char Char"/>
    <w:basedOn w:val="1"/>
    <w:autoRedefine/>
    <w:qFormat/>
    <w:uiPriority w:val="99"/>
    <w:rPr>
      <w:rFonts w:ascii="宋体" w:hAnsi="宋体"/>
      <w:b/>
      <w:sz w:val="28"/>
      <w:szCs w:val="28"/>
    </w:rPr>
  </w:style>
  <w:style w:type="character" w:customStyle="1" w:styleId="114">
    <w:name w:val="普通文字 Char1"/>
    <w:autoRedefine/>
    <w:qFormat/>
    <w:uiPriority w:val="0"/>
    <w:rPr>
      <w:rFonts w:ascii="宋体" w:hAnsi="Courier New" w:eastAsia="宋体"/>
      <w:kern w:val="2"/>
      <w:sz w:val="21"/>
      <w:lang w:val="en-US" w:eastAsia="zh-CN" w:bidi="ar-SA"/>
    </w:rPr>
  </w:style>
  <w:style w:type="paragraph" w:customStyle="1" w:styleId="115">
    <w:name w:val="Default"/>
    <w:autoRedefine/>
    <w:qFormat/>
    <w:uiPriority w:val="99"/>
    <w:pPr>
      <w:autoSpaceDE w:val="0"/>
      <w:autoSpaceDN w:val="0"/>
      <w:adjustRightInd w:val="0"/>
    </w:pPr>
    <w:rPr>
      <w:rFonts w:ascii="宋体" w:hAnsi="宋体" w:eastAsia="宋体" w:cs="宋体"/>
      <w:color w:val="000000"/>
      <w:sz w:val="24"/>
      <w:szCs w:val="24"/>
      <w:lang w:val="en-US" w:eastAsia="zh-CN" w:bidi="ar-SA"/>
    </w:rPr>
  </w:style>
  <w:style w:type="character" w:customStyle="1" w:styleId="116">
    <w:name w:val="标题 1 Char1"/>
    <w:autoRedefine/>
    <w:qFormat/>
    <w:uiPriority w:val="0"/>
    <w:rPr>
      <w:b/>
      <w:bCs/>
      <w:kern w:val="44"/>
      <w:sz w:val="44"/>
      <w:szCs w:val="44"/>
    </w:rPr>
  </w:style>
  <w:style w:type="character" w:customStyle="1" w:styleId="117">
    <w:name w:val="标题 2 Char1"/>
    <w:autoRedefine/>
    <w:semiHidden/>
    <w:qFormat/>
    <w:uiPriority w:val="0"/>
    <w:rPr>
      <w:rFonts w:ascii="Cambria" w:hAnsi="Cambria" w:eastAsia="宋体" w:cs="Times New Roman"/>
      <w:b/>
      <w:bCs/>
      <w:kern w:val="2"/>
      <w:sz w:val="32"/>
      <w:szCs w:val="32"/>
    </w:rPr>
  </w:style>
  <w:style w:type="character" w:customStyle="1" w:styleId="118">
    <w:name w:val="标题 3 Char1"/>
    <w:autoRedefine/>
    <w:semiHidden/>
    <w:qFormat/>
    <w:uiPriority w:val="0"/>
    <w:rPr>
      <w:b/>
      <w:bCs/>
      <w:kern w:val="2"/>
      <w:sz w:val="32"/>
      <w:szCs w:val="32"/>
    </w:rPr>
  </w:style>
  <w:style w:type="character" w:customStyle="1" w:styleId="119">
    <w:name w:val="标题 4 Char1"/>
    <w:semiHidden/>
    <w:qFormat/>
    <w:uiPriority w:val="0"/>
    <w:rPr>
      <w:rFonts w:ascii="Cambria" w:hAnsi="Cambria" w:eastAsia="宋体" w:cs="Times New Roman"/>
      <w:b/>
      <w:bCs/>
      <w:kern w:val="2"/>
      <w:sz w:val="28"/>
      <w:szCs w:val="28"/>
    </w:rPr>
  </w:style>
  <w:style w:type="character" w:customStyle="1" w:styleId="120">
    <w:name w:val="正文文本 Char2"/>
    <w:semiHidden/>
    <w:qFormat/>
    <w:uiPriority w:val="0"/>
    <w:rPr>
      <w:kern w:val="2"/>
      <w:sz w:val="21"/>
      <w:szCs w:val="24"/>
    </w:rPr>
  </w:style>
  <w:style w:type="character" w:customStyle="1" w:styleId="121">
    <w:name w:val="正文文本缩进 Char1"/>
    <w:autoRedefine/>
    <w:semiHidden/>
    <w:qFormat/>
    <w:uiPriority w:val="0"/>
    <w:rPr>
      <w:kern w:val="2"/>
      <w:sz w:val="21"/>
      <w:szCs w:val="24"/>
    </w:rPr>
  </w:style>
  <w:style w:type="paragraph" w:customStyle="1" w:styleId="122">
    <w:name w:val="Char Char11"/>
    <w:basedOn w:val="1"/>
    <w:autoRedefine/>
    <w:qFormat/>
    <w:uiPriority w:val="99"/>
    <w:rPr>
      <w:rFonts w:ascii="宋体" w:hAnsi="宋体"/>
      <w:b/>
      <w:sz w:val="28"/>
      <w:szCs w:val="28"/>
    </w:rPr>
  </w:style>
  <w:style w:type="paragraph" w:customStyle="1" w:styleId="123">
    <w:name w:val="Main_heading"/>
    <w:basedOn w:val="1"/>
    <w:next w:val="1"/>
    <w:autoRedefine/>
    <w:qFormat/>
    <w:uiPriority w:val="0"/>
    <w:pPr>
      <w:widowControl/>
      <w:spacing w:before="240" w:after="240" w:line="240" w:lineRule="atLeast"/>
      <w:jc w:val="left"/>
    </w:pPr>
    <w:rPr>
      <w:rFonts w:eastAsia="MS Mincho"/>
      <w:b/>
      <w:kern w:val="0"/>
      <w:sz w:val="28"/>
      <w:szCs w:val="20"/>
      <w:lang w:eastAsia="ja-JP"/>
    </w:rPr>
  </w:style>
  <w:style w:type="paragraph" w:customStyle="1" w:styleId="124">
    <w:name w:val="段"/>
    <w:autoRedefine/>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szCs w:val="21"/>
      <w:lang w:val="en-US" w:eastAsia="zh-CN" w:bidi="ar-SA"/>
    </w:rPr>
  </w:style>
  <w:style w:type="paragraph" w:customStyle="1" w:styleId="125">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126">
    <w:name w:val="批注文字 字符"/>
    <w:autoRedefine/>
    <w:qFormat/>
    <w:uiPriority w:val="0"/>
    <w:rPr>
      <w:rFonts w:ascii="宋体" w:hAnsi="宋体" w:cs="宋体"/>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emf"/><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26049</Words>
  <Characters>27241</Characters>
  <Lines>238</Lines>
  <Paragraphs>67</Paragraphs>
  <TotalTime>0</TotalTime>
  <ScaleCrop>false</ScaleCrop>
  <LinksUpToDate>false</LinksUpToDate>
  <CharactersWithSpaces>30039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2017-03-01T02:59:00Z</dcterms:created>
  <dc:creator>USER</dc:creator>
  <cp:lastModifiedBy>JiA_Li_XiAo</cp:lastModifiedBy>
  <cp:lastPrinted>2017-03-06T10:57:00Z</cp:lastPrinted>
  <dcterms:modified xsi:type="dcterms:W3CDTF">2024-07-05T13:14:40Z</dcterms:modified>
  <dc:title>投  标  须  知</dc:title>
  <cp:revision>126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E0D574B513654432A5CE113D063190F7_13</vt:lpwstr>
  </property>
</Properties>
</file>