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cs="宋体"/>
          <w:b/>
          <w:bCs/>
          <w:color w:val="000000"/>
          <w:sz w:val="36"/>
          <w:szCs w:val="36"/>
          <w:lang w:val="en-US" w:eastAsia="zh-CN"/>
        </w:rPr>
      </w:pPr>
      <w:r>
        <w:rPr>
          <w:rFonts w:hint="eastAsia" w:ascii="宋体" w:hAnsi="宋体" w:cs="宋体"/>
          <w:b/>
          <w:bCs/>
          <w:color w:val="000000"/>
          <w:sz w:val="36"/>
          <w:szCs w:val="36"/>
          <w:lang w:val="en-US" w:eastAsia="zh-CN"/>
        </w:rPr>
        <w:t>观音阁镇古石龙农业配套游乐设施项目</w:t>
      </w:r>
    </w:p>
    <w:p>
      <w:pPr>
        <w:jc w:val="center"/>
        <w:rPr>
          <w:rFonts w:hint="eastAsia" w:ascii="宋体" w:hAnsi="宋体" w:cs="宋体"/>
          <w:b/>
          <w:bCs/>
          <w:color w:val="000000"/>
          <w:sz w:val="36"/>
          <w:szCs w:val="36"/>
          <w:lang w:eastAsia="zh-CN"/>
        </w:rPr>
      </w:pPr>
      <w:r>
        <w:rPr>
          <w:rFonts w:hint="eastAsia" w:ascii="宋体" w:hAnsi="宋体" w:cs="宋体"/>
          <w:b/>
          <w:bCs/>
          <w:color w:val="000000"/>
          <w:sz w:val="36"/>
          <w:szCs w:val="36"/>
          <w:lang w:val="en-US" w:eastAsia="zh-CN"/>
        </w:rPr>
        <w:t>公开招标</w:t>
      </w:r>
      <w:r>
        <w:rPr>
          <w:rFonts w:hint="eastAsia" w:ascii="宋体" w:hAnsi="宋体" w:cs="宋体"/>
          <w:b/>
          <w:bCs/>
          <w:color w:val="000000"/>
          <w:sz w:val="36"/>
          <w:szCs w:val="36"/>
          <w:lang w:eastAsia="zh-CN"/>
        </w:rPr>
        <w:t>公告</w:t>
      </w:r>
    </w:p>
    <w:p>
      <w:pPr>
        <w:keepNext w:val="0"/>
        <w:keepLines w:val="0"/>
        <w:widowControl w:val="0"/>
        <w:kinsoku/>
        <w:wordWrap/>
        <w:overflowPunct/>
        <w:topLinePunct w:val="0"/>
        <w:autoSpaceDE/>
        <w:autoSpaceDN/>
        <w:bidi w:val="0"/>
        <w:adjustRightInd/>
        <w:snapToGrid/>
        <w:spacing w:line="240" w:lineRule="auto"/>
        <w:ind w:firstLine="480"/>
        <w:textAlignment w:val="auto"/>
        <w:rPr>
          <w:rFonts w:hint="eastAsia" w:asciiTheme="minorEastAsia" w:hAnsiTheme="minorEastAsia" w:cstheme="minorEastAsia"/>
          <w:color w:val="auto"/>
          <w:kern w:val="2"/>
          <w:sz w:val="24"/>
          <w:szCs w:val="24"/>
          <w:lang w:eastAsia="zh-CN"/>
        </w:rPr>
      </w:pPr>
    </w:p>
    <w:p>
      <w:pPr>
        <w:keepNext w:val="0"/>
        <w:keepLines w:val="0"/>
        <w:widowControl w:val="0"/>
        <w:kinsoku/>
        <w:wordWrap/>
        <w:overflowPunct/>
        <w:topLinePunct w:val="0"/>
        <w:autoSpaceDE/>
        <w:autoSpaceDN/>
        <w:bidi w:val="0"/>
        <w:adjustRightInd/>
        <w:snapToGrid/>
        <w:spacing w:line="240" w:lineRule="auto"/>
        <w:ind w:firstLine="480"/>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cstheme="minorEastAsia"/>
          <w:color w:val="auto"/>
          <w:kern w:val="2"/>
          <w:sz w:val="24"/>
          <w:szCs w:val="24"/>
          <w:lang w:eastAsia="zh-CN"/>
        </w:rPr>
        <w:t>惠州市懿鑫招标代理有限公司</w:t>
      </w:r>
      <w:r>
        <w:rPr>
          <w:rFonts w:hint="eastAsia" w:asciiTheme="minorEastAsia" w:hAnsiTheme="minorEastAsia" w:eastAsiaTheme="minorEastAsia" w:cstheme="minorEastAsia"/>
          <w:color w:val="auto"/>
          <w:kern w:val="2"/>
          <w:sz w:val="24"/>
          <w:szCs w:val="24"/>
        </w:rPr>
        <w:t>受</w:t>
      </w:r>
      <w:r>
        <w:rPr>
          <w:rFonts w:hint="eastAsia" w:asciiTheme="minorEastAsia" w:hAnsiTheme="minorEastAsia" w:cstheme="minorEastAsia"/>
          <w:color w:val="auto"/>
          <w:kern w:val="2"/>
          <w:sz w:val="24"/>
          <w:szCs w:val="24"/>
          <w:lang w:eastAsia="zh-CN"/>
        </w:rPr>
        <w:t>博罗县观音阁镇彭村股份经济合作联合社</w:t>
      </w:r>
      <w:r>
        <w:rPr>
          <w:rFonts w:hint="eastAsia" w:asciiTheme="minorEastAsia" w:hAnsiTheme="minorEastAsia" w:eastAsiaTheme="minorEastAsia" w:cstheme="minorEastAsia"/>
          <w:color w:val="auto"/>
          <w:kern w:val="2"/>
          <w:sz w:val="24"/>
          <w:szCs w:val="24"/>
        </w:rPr>
        <w:t>的委托，采用公开招标方式组织采购</w:t>
      </w:r>
      <w:r>
        <w:rPr>
          <w:rFonts w:hint="eastAsia" w:asciiTheme="minorEastAsia" w:hAnsiTheme="minorEastAsia" w:cstheme="minorEastAsia"/>
          <w:color w:val="auto"/>
          <w:kern w:val="2"/>
          <w:sz w:val="24"/>
          <w:szCs w:val="24"/>
          <w:lang w:eastAsia="zh-CN"/>
        </w:rPr>
        <w:t>观音阁镇古石龙农业配套游乐设施项目</w:t>
      </w:r>
      <w:r>
        <w:rPr>
          <w:rFonts w:hint="eastAsia" w:asciiTheme="minorEastAsia" w:hAnsiTheme="minorEastAsia" w:eastAsiaTheme="minorEastAsia" w:cstheme="minorEastAsia"/>
          <w:color w:val="auto"/>
          <w:kern w:val="2"/>
          <w:sz w:val="24"/>
          <w:szCs w:val="24"/>
        </w:rPr>
        <w:t>。欢迎符合资格条件的国内供应商参加投标。</w:t>
      </w:r>
    </w:p>
    <w:p>
      <w:pPr>
        <w:keepNext w:val="0"/>
        <w:keepLines w:val="0"/>
        <w:widowControl w:val="0"/>
        <w:kinsoku/>
        <w:wordWrap/>
        <w:overflowPunct/>
        <w:topLinePunct w:val="0"/>
        <w:autoSpaceDE/>
        <w:autoSpaceDN/>
        <w:bidi w:val="0"/>
        <w:adjustRightInd/>
        <w:snapToGrid/>
        <w:spacing w:line="240" w:lineRule="auto"/>
        <w:textAlignment w:val="auto"/>
        <w:outlineLvl w:val="1"/>
        <w:rPr>
          <w:rFonts w:hint="eastAsia" w:asciiTheme="minorEastAsia" w:hAnsiTheme="minorEastAsia" w:eastAsiaTheme="minorEastAsia" w:cstheme="minorEastAsia"/>
          <w:color w:val="auto"/>
          <w:kern w:val="2"/>
          <w:sz w:val="24"/>
          <w:szCs w:val="24"/>
        </w:rPr>
      </w:pPr>
      <w:bookmarkStart w:id="0" w:name="_Toc83"/>
      <w:r>
        <w:rPr>
          <w:rFonts w:hint="eastAsia" w:asciiTheme="minorEastAsia" w:hAnsiTheme="minorEastAsia" w:eastAsiaTheme="minorEastAsia" w:cstheme="minorEastAsia"/>
          <w:b/>
          <w:color w:val="auto"/>
          <w:kern w:val="2"/>
          <w:sz w:val="24"/>
          <w:szCs w:val="24"/>
        </w:rPr>
        <w:t>一.项目概述</w:t>
      </w:r>
      <w:bookmarkEnd w:id="0"/>
    </w:p>
    <w:p>
      <w:pPr>
        <w:keepNext w:val="0"/>
        <w:keepLines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b/>
          <w:color w:val="auto"/>
          <w:kern w:val="2"/>
          <w:sz w:val="24"/>
          <w:szCs w:val="24"/>
        </w:rPr>
        <w:t>1.名称与编号</w:t>
      </w:r>
    </w:p>
    <w:p>
      <w:pPr>
        <w:keepNext w:val="0"/>
        <w:keepLines w:val="0"/>
        <w:widowControl w:val="0"/>
        <w:kinsoku/>
        <w:wordWrap/>
        <w:overflowPunct/>
        <w:topLinePunct w:val="0"/>
        <w:autoSpaceDE/>
        <w:autoSpaceDN/>
        <w:bidi w:val="0"/>
        <w:adjustRightInd/>
        <w:snapToGrid/>
        <w:spacing w:line="240" w:lineRule="auto"/>
        <w:ind w:firstLine="480"/>
        <w:textAlignment w:val="auto"/>
        <w:rPr>
          <w:rFonts w:hint="eastAsia" w:asciiTheme="minorEastAsia" w:hAnsiTheme="minorEastAsia" w:eastAsiaTheme="minorEastAsia" w:cstheme="minorEastAsia"/>
          <w:color w:val="auto"/>
          <w:kern w:val="2"/>
          <w:sz w:val="24"/>
          <w:szCs w:val="24"/>
          <w:lang w:eastAsia="zh-CN"/>
        </w:rPr>
      </w:pPr>
      <w:r>
        <w:rPr>
          <w:rFonts w:hint="eastAsia" w:asciiTheme="minorEastAsia" w:hAnsiTheme="minorEastAsia" w:eastAsiaTheme="minorEastAsia" w:cstheme="minorEastAsia"/>
          <w:color w:val="auto"/>
          <w:kern w:val="2"/>
          <w:sz w:val="24"/>
          <w:szCs w:val="24"/>
        </w:rPr>
        <w:t>项目名称：</w:t>
      </w:r>
      <w:r>
        <w:rPr>
          <w:rFonts w:hint="eastAsia" w:asciiTheme="minorEastAsia" w:hAnsiTheme="minorEastAsia" w:cstheme="minorEastAsia"/>
          <w:color w:val="auto"/>
          <w:kern w:val="2"/>
          <w:sz w:val="24"/>
          <w:szCs w:val="24"/>
          <w:lang w:eastAsia="zh-CN"/>
        </w:rPr>
        <w:t>观音阁镇古石龙农业配套游乐设施项目</w:t>
      </w:r>
    </w:p>
    <w:p>
      <w:pPr>
        <w:keepNext w:val="0"/>
        <w:keepLines w:val="0"/>
        <w:widowControl w:val="0"/>
        <w:kinsoku/>
        <w:wordWrap/>
        <w:overflowPunct/>
        <w:topLinePunct w:val="0"/>
        <w:autoSpaceDE/>
        <w:autoSpaceDN/>
        <w:bidi w:val="0"/>
        <w:adjustRightInd/>
        <w:snapToGrid/>
        <w:spacing w:line="240" w:lineRule="auto"/>
        <w:ind w:firstLine="480"/>
        <w:textAlignment w:val="auto"/>
        <w:rPr>
          <w:rFonts w:hint="eastAsia" w:asciiTheme="minorEastAsia" w:hAnsiTheme="minorEastAsia" w:eastAsiaTheme="minorEastAsia" w:cstheme="minorEastAsia"/>
          <w:color w:val="auto"/>
          <w:kern w:val="2"/>
          <w:sz w:val="24"/>
          <w:szCs w:val="24"/>
          <w:lang w:eastAsia="zh-CN"/>
        </w:rPr>
      </w:pPr>
      <w:r>
        <w:rPr>
          <w:rFonts w:hint="eastAsia" w:asciiTheme="minorEastAsia" w:hAnsiTheme="minorEastAsia" w:eastAsiaTheme="minorEastAsia" w:cstheme="minorEastAsia"/>
          <w:color w:val="auto"/>
          <w:kern w:val="2"/>
          <w:sz w:val="24"/>
          <w:szCs w:val="24"/>
        </w:rPr>
        <w:t>采购项目编号：</w:t>
      </w:r>
      <w:r>
        <w:rPr>
          <w:rFonts w:hint="eastAsia" w:asciiTheme="minorEastAsia" w:hAnsiTheme="minorEastAsia" w:cstheme="minorEastAsia"/>
          <w:color w:val="auto"/>
          <w:kern w:val="2"/>
          <w:sz w:val="24"/>
          <w:szCs w:val="24"/>
          <w:lang w:eastAsia="zh-CN"/>
        </w:rPr>
        <w:t>YXZB2024012</w:t>
      </w:r>
    </w:p>
    <w:p>
      <w:pPr>
        <w:keepNext w:val="0"/>
        <w:keepLines w:val="0"/>
        <w:widowControl w:val="0"/>
        <w:kinsoku/>
        <w:wordWrap/>
        <w:overflowPunct/>
        <w:topLinePunct w:val="0"/>
        <w:autoSpaceDE/>
        <w:autoSpaceDN/>
        <w:bidi w:val="0"/>
        <w:adjustRightInd/>
        <w:snapToGrid/>
        <w:spacing w:line="240" w:lineRule="auto"/>
        <w:ind w:firstLine="480"/>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采购方式：公开招标</w:t>
      </w:r>
    </w:p>
    <w:p>
      <w:pPr>
        <w:keepNext w:val="0"/>
        <w:keepLines w:val="0"/>
        <w:widowControl w:val="0"/>
        <w:kinsoku/>
        <w:wordWrap/>
        <w:overflowPunct/>
        <w:topLinePunct w:val="0"/>
        <w:autoSpaceDE/>
        <w:autoSpaceDN/>
        <w:bidi w:val="0"/>
        <w:adjustRightInd/>
        <w:snapToGrid/>
        <w:spacing w:line="240" w:lineRule="auto"/>
        <w:ind w:firstLine="480"/>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预算金额：</w:t>
      </w:r>
      <w:r>
        <w:rPr>
          <w:rFonts w:hint="default" w:ascii="Arial" w:hAnsi="Arial" w:cs="Arial" w:eastAsiaTheme="minorEastAsia"/>
          <w:color w:val="auto"/>
          <w:kern w:val="2"/>
          <w:sz w:val="24"/>
          <w:szCs w:val="24"/>
        </w:rPr>
        <w:t>¥</w:t>
      </w:r>
      <w:r>
        <w:rPr>
          <w:rFonts w:hint="eastAsia" w:asciiTheme="minorEastAsia" w:hAnsiTheme="minorEastAsia" w:cstheme="minorEastAsia"/>
          <w:color w:val="auto"/>
          <w:kern w:val="2"/>
          <w:sz w:val="24"/>
          <w:szCs w:val="24"/>
          <w:lang w:val="en-US" w:eastAsia="zh-CN"/>
        </w:rPr>
        <w:t>1,570,000.00</w:t>
      </w:r>
      <w:r>
        <w:rPr>
          <w:rFonts w:hint="eastAsia" w:asciiTheme="minorEastAsia" w:hAnsiTheme="minorEastAsia" w:eastAsiaTheme="minorEastAsia" w:cstheme="minorEastAsia"/>
          <w:color w:val="auto"/>
          <w:kern w:val="2"/>
          <w:sz w:val="24"/>
          <w:szCs w:val="24"/>
        </w:rPr>
        <w:t>元</w:t>
      </w:r>
    </w:p>
    <w:p>
      <w:pPr>
        <w:keepNext w:val="0"/>
        <w:keepLines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b/>
          <w:color w:val="auto"/>
          <w:kern w:val="2"/>
          <w:sz w:val="24"/>
          <w:szCs w:val="24"/>
        </w:rPr>
        <w:t>2.项目内容及需求情况（采购项目技术规格、参数及要求）</w:t>
      </w:r>
    </w:p>
    <w:p>
      <w:pPr>
        <w:keepNext w:val="0"/>
        <w:keepLines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采购包1(</w:t>
      </w:r>
      <w:r>
        <w:rPr>
          <w:rFonts w:hint="eastAsia" w:asciiTheme="minorEastAsia" w:hAnsiTheme="minorEastAsia" w:cstheme="minorEastAsia"/>
          <w:color w:val="auto"/>
          <w:kern w:val="2"/>
          <w:sz w:val="24"/>
          <w:szCs w:val="24"/>
          <w:lang w:eastAsia="zh-CN"/>
        </w:rPr>
        <w:t>观音阁镇古石龙农业配套游乐设施项目</w:t>
      </w:r>
      <w:r>
        <w:rPr>
          <w:rFonts w:hint="eastAsia" w:asciiTheme="minorEastAsia" w:hAnsiTheme="minorEastAsia" w:eastAsiaTheme="minorEastAsia" w:cstheme="minorEastAsia"/>
          <w:color w:val="auto"/>
          <w:kern w:val="2"/>
          <w:sz w:val="24"/>
          <w:szCs w:val="24"/>
        </w:rPr>
        <w:t>):</w:t>
      </w:r>
    </w:p>
    <w:p>
      <w:pPr>
        <w:keepNext w:val="0"/>
        <w:keepLines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采购包预算金额：</w:t>
      </w:r>
      <w:r>
        <w:rPr>
          <w:rFonts w:hint="default" w:ascii="Arial" w:hAnsi="Arial" w:cs="Arial" w:eastAsiaTheme="minorEastAsia"/>
          <w:color w:val="auto"/>
          <w:kern w:val="2"/>
          <w:sz w:val="24"/>
          <w:szCs w:val="24"/>
        </w:rPr>
        <w:t>¥</w:t>
      </w:r>
      <w:r>
        <w:rPr>
          <w:rFonts w:hint="eastAsia" w:asciiTheme="minorEastAsia" w:hAnsiTheme="minorEastAsia" w:cstheme="minorEastAsia"/>
          <w:color w:val="auto"/>
          <w:kern w:val="2"/>
          <w:sz w:val="24"/>
          <w:szCs w:val="24"/>
          <w:lang w:val="en-US" w:eastAsia="zh-CN"/>
        </w:rPr>
        <w:t>1,570,000.00</w:t>
      </w:r>
      <w:r>
        <w:rPr>
          <w:rFonts w:hint="eastAsia" w:asciiTheme="minorEastAsia" w:hAnsiTheme="minorEastAsia" w:eastAsiaTheme="minorEastAsia" w:cstheme="minorEastAsia"/>
          <w:color w:val="auto"/>
          <w:kern w:val="2"/>
          <w:sz w:val="24"/>
          <w:szCs w:val="24"/>
        </w:rPr>
        <w:t>元</w:t>
      </w:r>
    </w:p>
    <w:tbl>
      <w:tblPr>
        <w:tblStyle w:val="14"/>
        <w:tblW w:w="4998"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Layout w:type="autofit"/>
        <w:tblCellMar>
          <w:top w:w="0" w:type="dxa"/>
          <w:left w:w="108" w:type="dxa"/>
          <w:bottom w:w="0" w:type="dxa"/>
          <w:right w:w="108" w:type="dxa"/>
        </w:tblCellMar>
      </w:tblPr>
      <w:tblGrid>
        <w:gridCol w:w="1420"/>
        <w:gridCol w:w="1706"/>
        <w:gridCol w:w="2565"/>
        <w:gridCol w:w="1244"/>
        <w:gridCol w:w="1602"/>
        <w:gridCol w:w="1421"/>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CellMar>
            <w:top w:w="0" w:type="dxa"/>
            <w:left w:w="108" w:type="dxa"/>
            <w:bottom w:w="0" w:type="dxa"/>
            <w:right w:w="108" w:type="dxa"/>
          </w:tblCellMar>
        </w:tblPrEx>
        <w:trPr>
          <w:jc w:val="center"/>
        </w:trPr>
        <w:tc>
          <w:tcPr>
            <w:tcW w:w="713" w:type="pct"/>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val="0"/>
              <w:suppressLineNumbers w:val="0"/>
              <w:autoSpaceDE w:val="0"/>
              <w:autoSpaceDN/>
              <w:spacing w:before="0" w:beforeAutospacing="0" w:after="0" w:afterAutospacing="0"/>
              <w:ind w:left="0" w:right="0"/>
              <w:jc w:val="center"/>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lang w:val="en-US" w:eastAsia="zh-CN" w:bidi="ar"/>
              </w:rPr>
              <w:t>品目号</w:t>
            </w:r>
          </w:p>
        </w:tc>
        <w:tc>
          <w:tcPr>
            <w:tcW w:w="856" w:type="pct"/>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val="0"/>
              <w:suppressLineNumbers w:val="0"/>
              <w:autoSpaceDE w:val="0"/>
              <w:autoSpaceDN/>
              <w:spacing w:before="0" w:beforeAutospacing="0" w:after="0" w:afterAutospacing="0"/>
              <w:ind w:left="0" w:right="0"/>
              <w:jc w:val="center"/>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lang w:val="en-US" w:eastAsia="zh-CN" w:bidi="ar"/>
              </w:rPr>
              <w:t>品目名称</w:t>
            </w:r>
          </w:p>
        </w:tc>
        <w:tc>
          <w:tcPr>
            <w:tcW w:w="1287" w:type="pct"/>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val="0"/>
              <w:suppressLineNumbers w:val="0"/>
              <w:autoSpaceDE w:val="0"/>
              <w:autoSpaceDN/>
              <w:spacing w:before="0" w:beforeAutospacing="0" w:after="0" w:afterAutospacing="0"/>
              <w:ind w:left="0" w:right="0"/>
              <w:jc w:val="center"/>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lang w:val="en-US" w:eastAsia="zh-CN" w:bidi="ar"/>
              </w:rPr>
              <w:t>采购标的</w:t>
            </w:r>
          </w:p>
        </w:tc>
        <w:tc>
          <w:tcPr>
            <w:tcW w:w="624" w:type="pct"/>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val="0"/>
              <w:suppressLineNumbers w:val="0"/>
              <w:autoSpaceDE w:val="0"/>
              <w:autoSpaceDN/>
              <w:spacing w:before="0" w:beforeAutospacing="0" w:after="0" w:afterAutospacing="0"/>
              <w:ind w:left="0" w:right="0"/>
              <w:jc w:val="center"/>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lang w:val="en-US" w:eastAsia="zh-CN" w:bidi="ar"/>
              </w:rPr>
              <w:t>数量</w:t>
            </w:r>
          </w:p>
          <w:p>
            <w:pPr>
              <w:keepNext w:val="0"/>
              <w:keepLines w:val="0"/>
              <w:widowControl w:val="0"/>
              <w:suppressLineNumbers w:val="0"/>
              <w:autoSpaceDE w:val="0"/>
              <w:autoSpaceDN/>
              <w:spacing w:before="0" w:beforeAutospacing="0" w:after="0" w:afterAutospacing="0"/>
              <w:ind w:left="0" w:right="0"/>
              <w:jc w:val="center"/>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lang w:val="en-US" w:eastAsia="zh-CN" w:bidi="ar"/>
              </w:rPr>
              <w:t>（单位）</w:t>
            </w:r>
          </w:p>
        </w:tc>
        <w:tc>
          <w:tcPr>
            <w:tcW w:w="804" w:type="pct"/>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val="0"/>
              <w:suppressLineNumbers w:val="0"/>
              <w:autoSpaceDE w:val="0"/>
              <w:autoSpaceDN/>
              <w:spacing w:before="0" w:beforeAutospacing="0" w:after="0" w:afterAutospacing="0"/>
              <w:ind w:left="0" w:right="0"/>
              <w:jc w:val="center"/>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lang w:val="en-US" w:eastAsia="zh-CN" w:bidi="ar"/>
              </w:rPr>
              <w:t>技术规格、参数及要求</w:t>
            </w:r>
          </w:p>
        </w:tc>
        <w:tc>
          <w:tcPr>
            <w:tcW w:w="713" w:type="pct"/>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val="0"/>
              <w:suppressLineNumbers w:val="0"/>
              <w:autoSpaceDE w:val="0"/>
              <w:autoSpaceDN/>
              <w:spacing w:before="0" w:beforeAutospacing="0" w:after="0" w:afterAutospacing="0"/>
              <w:ind w:left="0" w:right="0"/>
              <w:jc w:val="center"/>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lang w:val="en-US" w:eastAsia="zh-CN" w:bidi="ar"/>
              </w:rPr>
              <w:t>是否允许进口产品</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713" w:type="pct"/>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val="0"/>
              <w:suppressLineNumbers w:val="0"/>
              <w:autoSpaceDE w:val="0"/>
              <w:autoSpaceDN/>
              <w:spacing w:before="0" w:beforeAutospacing="0" w:after="0" w:afterAutospacing="0"/>
              <w:ind w:left="0" w:right="0"/>
              <w:jc w:val="both"/>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lang w:val="en-US" w:eastAsia="zh-CN" w:bidi="ar"/>
              </w:rPr>
              <w:t>1-1</w:t>
            </w:r>
          </w:p>
        </w:tc>
        <w:tc>
          <w:tcPr>
            <w:tcW w:w="856" w:type="pct"/>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val="0"/>
              <w:suppressLineNumbers w:val="0"/>
              <w:autoSpaceDE w:val="0"/>
              <w:autoSpaceDN/>
              <w:spacing w:before="0" w:beforeAutospacing="0" w:after="0" w:afterAutospacing="0"/>
              <w:ind w:left="0" w:right="0"/>
              <w:jc w:val="both"/>
              <w:rPr>
                <w:rFonts w:hint="default" w:asciiTheme="minorEastAsia" w:hAnsiTheme="minorEastAsia" w:eastAsiaTheme="minorEastAsia" w:cstheme="minorEastAsia"/>
                <w:color w:val="auto"/>
                <w:kern w:val="2"/>
                <w:sz w:val="24"/>
                <w:szCs w:val="24"/>
                <w:lang w:val="en-US" w:eastAsia="zh-CN"/>
              </w:rPr>
            </w:pPr>
            <w:r>
              <w:rPr>
                <w:rFonts w:hint="eastAsia" w:asciiTheme="minorEastAsia" w:hAnsiTheme="minorEastAsia" w:cstheme="minorEastAsia"/>
                <w:color w:val="auto"/>
                <w:kern w:val="2"/>
                <w:sz w:val="24"/>
                <w:szCs w:val="24"/>
                <w:lang w:val="en-US" w:eastAsia="zh-CN"/>
              </w:rPr>
              <w:t>机械设备</w:t>
            </w:r>
          </w:p>
        </w:tc>
        <w:tc>
          <w:tcPr>
            <w:tcW w:w="1287" w:type="pct"/>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val="0"/>
              <w:suppressLineNumbers w:val="0"/>
              <w:autoSpaceDE w:val="0"/>
              <w:autoSpaceDN/>
              <w:spacing w:before="0" w:beforeAutospacing="0" w:after="0" w:afterAutospacing="0"/>
              <w:ind w:left="0" w:right="0"/>
              <w:jc w:val="both"/>
              <w:rPr>
                <w:rFonts w:hint="eastAsia" w:asciiTheme="minorEastAsia" w:hAnsiTheme="minorEastAsia" w:eastAsiaTheme="minorEastAsia" w:cstheme="minorEastAsia"/>
                <w:color w:val="auto"/>
                <w:kern w:val="2"/>
                <w:sz w:val="24"/>
                <w:szCs w:val="24"/>
              </w:rPr>
            </w:pPr>
            <w:r>
              <w:rPr>
                <w:rFonts w:hint="eastAsia" w:asciiTheme="minorEastAsia" w:hAnsiTheme="minorEastAsia" w:cstheme="minorEastAsia"/>
                <w:color w:val="auto"/>
                <w:kern w:val="2"/>
                <w:sz w:val="24"/>
                <w:szCs w:val="24"/>
                <w:lang w:val="en-US" w:eastAsia="zh-CN" w:bidi="ar"/>
              </w:rPr>
              <w:t>观音阁镇古石龙农业配套游乐设施项目</w:t>
            </w:r>
          </w:p>
        </w:tc>
        <w:tc>
          <w:tcPr>
            <w:tcW w:w="624" w:type="pct"/>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val="0"/>
              <w:suppressLineNumbers w:val="0"/>
              <w:autoSpaceDE w:val="0"/>
              <w:autoSpaceDN/>
              <w:spacing w:before="0" w:beforeAutospacing="0" w:after="0" w:afterAutospacing="0"/>
              <w:ind w:left="0" w:right="0"/>
              <w:jc w:val="both"/>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lang w:val="en-US" w:eastAsia="zh-CN" w:bidi="ar"/>
              </w:rPr>
              <w:t>1(项)</w:t>
            </w:r>
          </w:p>
        </w:tc>
        <w:tc>
          <w:tcPr>
            <w:tcW w:w="804" w:type="pct"/>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val="0"/>
              <w:suppressLineNumbers w:val="0"/>
              <w:autoSpaceDE w:val="0"/>
              <w:autoSpaceDN/>
              <w:spacing w:before="0" w:beforeAutospacing="0" w:after="0" w:afterAutospacing="0"/>
              <w:ind w:left="0" w:right="0"/>
              <w:jc w:val="both"/>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lang w:val="en-US" w:eastAsia="zh-CN" w:bidi="ar"/>
              </w:rPr>
              <w:t>详见第二章</w:t>
            </w:r>
          </w:p>
        </w:tc>
        <w:tc>
          <w:tcPr>
            <w:tcW w:w="713" w:type="pct"/>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val="0"/>
              <w:suppressLineNumbers w:val="0"/>
              <w:autoSpaceDE w:val="0"/>
              <w:autoSpaceDN/>
              <w:spacing w:before="0" w:beforeAutospacing="0" w:after="0" w:afterAutospacing="0"/>
              <w:ind w:left="0" w:right="0"/>
              <w:jc w:val="both"/>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lang w:val="en-US" w:eastAsia="zh-CN" w:bidi="ar"/>
              </w:rPr>
              <w:t>否</w:t>
            </w:r>
          </w:p>
        </w:tc>
      </w:tr>
    </w:tbl>
    <w:p>
      <w:pPr>
        <w:keepNext w:val="0"/>
        <w:keepLines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本采购包不接受联合体投标</w:t>
      </w:r>
    </w:p>
    <w:p>
      <w:pPr>
        <w:keepNext w:val="0"/>
        <w:keepLines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kern w:val="2"/>
          <w:sz w:val="24"/>
          <w:szCs w:val="24"/>
          <w:lang w:val="en-US" w:eastAsia="zh-CN"/>
        </w:rPr>
      </w:pPr>
      <w:r>
        <w:rPr>
          <w:rFonts w:hint="eastAsia" w:asciiTheme="minorEastAsia" w:hAnsiTheme="minorEastAsia" w:eastAsiaTheme="minorEastAsia" w:cstheme="minorEastAsia"/>
          <w:color w:val="auto"/>
          <w:kern w:val="2"/>
          <w:sz w:val="24"/>
          <w:szCs w:val="24"/>
        </w:rPr>
        <w:t>合同履行期限：自合同签订之日起80个日历天内</w:t>
      </w:r>
      <w:r>
        <w:rPr>
          <w:rFonts w:hint="eastAsia" w:asciiTheme="minorEastAsia" w:hAnsiTheme="minorEastAsia" w:cstheme="minorEastAsia"/>
          <w:color w:val="auto"/>
          <w:kern w:val="2"/>
          <w:sz w:val="24"/>
          <w:szCs w:val="24"/>
          <w:lang w:eastAsia="zh-CN"/>
        </w:rPr>
        <w:t>中标供应商</w:t>
      </w:r>
      <w:r>
        <w:rPr>
          <w:rFonts w:hint="eastAsia" w:asciiTheme="minorEastAsia" w:hAnsiTheme="minorEastAsia" w:eastAsiaTheme="minorEastAsia" w:cstheme="minorEastAsia"/>
          <w:color w:val="auto"/>
          <w:kern w:val="2"/>
          <w:sz w:val="24"/>
          <w:szCs w:val="24"/>
        </w:rPr>
        <w:t>完成交货、安装调试及验收。</w:t>
      </w:r>
    </w:p>
    <w:p>
      <w:pPr>
        <w:keepNext w:val="0"/>
        <w:keepLines w:val="0"/>
        <w:widowControl w:val="0"/>
        <w:kinsoku/>
        <w:wordWrap/>
        <w:overflowPunct/>
        <w:topLinePunct w:val="0"/>
        <w:autoSpaceDE/>
        <w:autoSpaceDN/>
        <w:bidi w:val="0"/>
        <w:adjustRightInd/>
        <w:snapToGrid/>
        <w:spacing w:line="240" w:lineRule="auto"/>
        <w:textAlignment w:val="auto"/>
        <w:outlineLvl w:val="1"/>
        <w:rPr>
          <w:rFonts w:hint="eastAsia" w:asciiTheme="minorEastAsia" w:hAnsiTheme="minorEastAsia" w:eastAsiaTheme="minorEastAsia" w:cstheme="minorEastAsia"/>
          <w:color w:val="auto"/>
          <w:kern w:val="2"/>
          <w:sz w:val="24"/>
          <w:szCs w:val="24"/>
        </w:rPr>
      </w:pPr>
      <w:bookmarkStart w:id="1" w:name="_Toc15044"/>
      <w:r>
        <w:rPr>
          <w:rFonts w:hint="eastAsia" w:asciiTheme="minorEastAsia" w:hAnsiTheme="minorEastAsia" w:eastAsiaTheme="minorEastAsia" w:cstheme="minorEastAsia"/>
          <w:b/>
          <w:color w:val="auto"/>
          <w:kern w:val="2"/>
          <w:sz w:val="24"/>
          <w:szCs w:val="24"/>
        </w:rPr>
        <w:t>二.投标人的资格要求</w:t>
      </w:r>
      <w:bookmarkEnd w:id="1"/>
    </w:p>
    <w:p>
      <w:pPr>
        <w:keepNext w:val="0"/>
        <w:keepLines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b/>
          <w:color w:val="auto"/>
          <w:kern w:val="2"/>
          <w:sz w:val="24"/>
          <w:szCs w:val="24"/>
        </w:rPr>
        <w:t>1.投标人应具备《中华人民共和国政府采购法》第二十二条规定的条件，提供下列材料：</w:t>
      </w:r>
    </w:p>
    <w:p>
      <w:pPr>
        <w:keepNext w:val="0"/>
        <w:keepLines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1）响应供应商必须是具有独立承担民事责任能力的在中华人民共和国境内注册的法人或其他组织或自然人。（提供在中华人民共和国境内注册的法人或其他组织的营业执照等证明文件或自然人的身份证明，提供上述材料的复印件；若响应供应商为非独立法人分公司的需提供具有法人资格的总公司的营业执照副本复印件及授权书。总公司可就本项目或此类项目在一定范围或时间内出具授权书。已由总公司授权的，总公司取得的相关资质证书、业绩及人员资质对分公司均有效。）</w:t>
      </w:r>
    </w:p>
    <w:p>
      <w:pPr>
        <w:keepNext w:val="0"/>
        <w:keepLines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（2）响应供应商必须具有良好的商业信誉和健全的财务会计制度。（</w:t>
      </w:r>
      <w:r>
        <w:rPr>
          <w:rFonts w:hint="eastAsia" w:asciiTheme="minorEastAsia" w:hAnsiTheme="minorEastAsia" w:cstheme="minorEastAsia"/>
          <w:color w:val="auto"/>
          <w:kern w:val="2"/>
          <w:sz w:val="24"/>
          <w:szCs w:val="24"/>
          <w:lang w:eastAsia="zh-CN"/>
        </w:rPr>
        <w:t>2022年或2023年财务状况</w:t>
      </w:r>
      <w:r>
        <w:rPr>
          <w:rFonts w:hint="eastAsia" w:asciiTheme="minorEastAsia" w:hAnsiTheme="minorEastAsia" w:eastAsiaTheme="minorEastAsia" w:cstheme="minorEastAsia"/>
          <w:color w:val="auto"/>
          <w:kern w:val="2"/>
          <w:sz w:val="24"/>
          <w:szCs w:val="24"/>
        </w:rPr>
        <w:t>报告复印件，或银行出具的资信证明材料复印件）</w:t>
      </w:r>
    </w:p>
    <w:p>
      <w:pPr>
        <w:keepNext w:val="0"/>
        <w:keepLines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（3）具有履行合同所必需的设备和专业技术能力。（提供《响应人资格声明函》）</w:t>
      </w:r>
    </w:p>
    <w:p>
      <w:pPr>
        <w:keepNext w:val="0"/>
        <w:keepLines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4）有依法缴纳税收和社会保障资金的良好记录。（提供投标截止日前6个月内任意一个月的缴纳税收的凭据证明材料复印件以及缴纳社会保险的凭据证明材料复印件。如依法免税或依法不需要缴纳社会保障资金的，应提供的相应文件证明其依法免税或依法不需要缴纳社会保障资金）</w:t>
      </w:r>
    </w:p>
    <w:p>
      <w:pPr>
        <w:keepNext w:val="0"/>
        <w:keepLines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（5）响应供应商参加政府采购活动前三年内，在经营活动中没有重大违法记录。（提供《响应人资格声明函》）</w:t>
      </w:r>
    </w:p>
    <w:p>
      <w:pPr>
        <w:keepNext w:val="0"/>
        <w:keepLines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w:t>
      </w:r>
      <w:r>
        <w:rPr>
          <w:rFonts w:hint="eastAsia" w:asciiTheme="minorEastAsia" w:hAnsiTheme="minorEastAsia" w:cstheme="minorEastAsia"/>
          <w:color w:val="auto"/>
          <w:kern w:val="2"/>
          <w:sz w:val="24"/>
          <w:szCs w:val="24"/>
          <w:lang w:val="en-US" w:eastAsia="zh-CN"/>
        </w:rPr>
        <w:t>6</w:t>
      </w:r>
      <w:r>
        <w:rPr>
          <w:rFonts w:hint="eastAsia" w:asciiTheme="minorEastAsia" w:hAnsiTheme="minorEastAsia" w:eastAsiaTheme="minorEastAsia" w:cstheme="minorEastAsia"/>
          <w:color w:val="auto"/>
          <w:kern w:val="2"/>
          <w:sz w:val="24"/>
          <w:szCs w:val="24"/>
        </w:rPr>
        <w:t>）响应供应商必须符合法律、行政法规规定的其他条件。</w:t>
      </w:r>
    </w:p>
    <w:p>
      <w:pPr>
        <w:keepNext w:val="0"/>
        <w:keepLines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cstheme="minorEastAsia"/>
          <w:color w:val="auto"/>
          <w:kern w:val="2"/>
          <w:sz w:val="24"/>
          <w:szCs w:val="24"/>
          <w:lang w:eastAsia="zh-CN"/>
        </w:rPr>
        <w:t>（</w:t>
      </w:r>
      <w:r>
        <w:rPr>
          <w:rFonts w:hint="eastAsia" w:asciiTheme="minorEastAsia" w:hAnsiTheme="minorEastAsia" w:cstheme="minorEastAsia"/>
          <w:color w:val="auto"/>
          <w:kern w:val="2"/>
          <w:sz w:val="24"/>
          <w:szCs w:val="24"/>
          <w:lang w:val="en-US" w:eastAsia="zh-CN"/>
        </w:rPr>
        <w:t>7</w:t>
      </w:r>
      <w:r>
        <w:rPr>
          <w:rFonts w:hint="eastAsia" w:asciiTheme="minorEastAsia" w:hAnsiTheme="minorEastAsia" w:cstheme="minorEastAsia"/>
          <w:color w:val="auto"/>
          <w:kern w:val="2"/>
          <w:sz w:val="24"/>
          <w:szCs w:val="24"/>
          <w:lang w:eastAsia="zh-CN"/>
        </w:rPr>
        <w:t>）</w:t>
      </w:r>
      <w:r>
        <w:rPr>
          <w:rFonts w:hint="eastAsia" w:asciiTheme="minorEastAsia" w:hAnsiTheme="minorEastAsia" w:eastAsiaTheme="minorEastAsia" w:cstheme="minorEastAsia"/>
          <w:color w:val="auto"/>
          <w:kern w:val="2"/>
          <w:sz w:val="24"/>
          <w:szCs w:val="24"/>
        </w:rPr>
        <w:t>本项目不接受联合体投标、关联企业投标，不允许投标人将本项目内容分包和转包。</w:t>
      </w:r>
    </w:p>
    <w:p>
      <w:pPr>
        <w:keepNext w:val="0"/>
        <w:keepLines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cstheme="minorEastAsia"/>
          <w:color w:val="auto"/>
          <w:kern w:val="2"/>
          <w:sz w:val="24"/>
          <w:szCs w:val="24"/>
          <w:lang w:val="en-US" w:eastAsia="zh-CN"/>
        </w:rPr>
        <w:t>（8）</w:t>
      </w:r>
      <w:r>
        <w:rPr>
          <w:rFonts w:hint="eastAsia" w:asciiTheme="minorEastAsia" w:hAnsiTheme="minorEastAsia" w:eastAsiaTheme="minorEastAsia" w:cstheme="minorEastAsia"/>
          <w:color w:val="auto"/>
          <w:kern w:val="2"/>
          <w:sz w:val="24"/>
          <w:szCs w:val="24"/>
        </w:rPr>
        <w:t>参加政府采购活动前三年内，在经营活动中无重大违法记录的声明函（加盖公章的原件）。重大违法记录，是指供应商因违法经营受到刑事处罚或者责令停产停业、吊销许可证或者执照、较大数额罚款等行政处罚。（较大数额罚款按照发出行政处罚决定书部门所在省级政府，或实行垂直领导的国务院有关行政主管部门制定的较大数额罚款标准，或罚款决定之前需要举行听证会的金额标准来认定）</w:t>
      </w:r>
    </w:p>
    <w:p>
      <w:pPr>
        <w:keepNext w:val="0"/>
        <w:keepLines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b/>
          <w:color w:val="auto"/>
          <w:kern w:val="2"/>
          <w:sz w:val="24"/>
          <w:szCs w:val="24"/>
        </w:rPr>
        <w:t>2.落实政府采购政策需满足的资格要求：</w:t>
      </w:r>
    </w:p>
    <w:p>
      <w:pPr>
        <w:keepNext w:val="0"/>
        <w:keepLines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采购包1（</w:t>
      </w:r>
      <w:r>
        <w:rPr>
          <w:rFonts w:hint="eastAsia" w:asciiTheme="minorEastAsia" w:hAnsiTheme="minorEastAsia" w:cstheme="minorEastAsia"/>
          <w:color w:val="auto"/>
          <w:kern w:val="2"/>
          <w:sz w:val="24"/>
          <w:szCs w:val="24"/>
          <w:lang w:eastAsia="zh-CN"/>
        </w:rPr>
        <w:t>观音阁镇古石龙农业配套游乐设施项目</w:t>
      </w:r>
      <w:r>
        <w:rPr>
          <w:rFonts w:hint="eastAsia" w:asciiTheme="minorEastAsia" w:hAnsiTheme="minorEastAsia" w:eastAsiaTheme="minorEastAsia" w:cstheme="minorEastAsia"/>
          <w:color w:val="auto"/>
          <w:kern w:val="2"/>
          <w:sz w:val="24"/>
          <w:szCs w:val="24"/>
        </w:rPr>
        <w:t>）：采购包整体专门面向中小企业。根据《政府采购促进中小企业发展管理办法》（财库〔2020〕46号），本次采购专门面向中小企业或小型、微型企业采购，参加本次采购的投标人提供办法中规定的《中小企业声明函》。</w:t>
      </w:r>
    </w:p>
    <w:p>
      <w:pPr>
        <w:keepNext w:val="0"/>
        <w:keepLines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b/>
          <w:color w:val="auto"/>
          <w:kern w:val="2"/>
          <w:sz w:val="24"/>
          <w:szCs w:val="24"/>
        </w:rPr>
        <w:t>3.本项目特定的资格要求：</w:t>
      </w:r>
    </w:p>
    <w:p>
      <w:pPr>
        <w:keepNext w:val="0"/>
        <w:keepLines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采购包1（</w:t>
      </w:r>
      <w:r>
        <w:rPr>
          <w:rFonts w:hint="eastAsia" w:asciiTheme="minorEastAsia" w:hAnsiTheme="minorEastAsia" w:cstheme="minorEastAsia"/>
          <w:color w:val="auto"/>
          <w:kern w:val="2"/>
          <w:sz w:val="24"/>
          <w:szCs w:val="24"/>
          <w:lang w:eastAsia="zh-CN"/>
        </w:rPr>
        <w:t>观音阁镇古石龙农业配套游乐设施项目</w:t>
      </w:r>
      <w:r>
        <w:rPr>
          <w:rFonts w:hint="eastAsia" w:asciiTheme="minorEastAsia" w:hAnsiTheme="minorEastAsia" w:eastAsiaTheme="minorEastAsia" w:cstheme="minorEastAsia"/>
          <w:color w:val="auto"/>
          <w:kern w:val="2"/>
          <w:sz w:val="24"/>
          <w:szCs w:val="24"/>
        </w:rPr>
        <w:t>）：</w:t>
      </w:r>
    </w:p>
    <w:p>
      <w:pPr>
        <w:keepNext w:val="0"/>
        <w:keepLines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cstheme="minorEastAsia"/>
          <w:color w:val="auto"/>
          <w:kern w:val="2"/>
          <w:sz w:val="24"/>
          <w:szCs w:val="24"/>
          <w:lang w:eastAsia="zh-CN"/>
        </w:rPr>
        <w:t>（</w:t>
      </w:r>
      <w:r>
        <w:rPr>
          <w:rFonts w:hint="eastAsia" w:asciiTheme="minorEastAsia" w:hAnsiTheme="minorEastAsia" w:cstheme="minorEastAsia"/>
          <w:color w:val="auto"/>
          <w:kern w:val="2"/>
          <w:sz w:val="24"/>
          <w:szCs w:val="24"/>
          <w:lang w:val="en-US" w:eastAsia="zh-CN"/>
        </w:rPr>
        <w:t>1</w:t>
      </w:r>
      <w:r>
        <w:rPr>
          <w:rFonts w:hint="eastAsia" w:asciiTheme="minorEastAsia" w:hAnsiTheme="minorEastAsia" w:cstheme="minorEastAsia"/>
          <w:color w:val="auto"/>
          <w:kern w:val="2"/>
          <w:sz w:val="24"/>
          <w:szCs w:val="24"/>
          <w:lang w:eastAsia="zh-CN"/>
        </w:rPr>
        <w:t>）</w:t>
      </w:r>
      <w:r>
        <w:rPr>
          <w:rFonts w:hint="eastAsia" w:asciiTheme="minorEastAsia" w:hAnsiTheme="minorEastAsia" w:eastAsiaTheme="minorEastAsia" w:cstheme="minorEastAsia"/>
          <w:color w:val="auto"/>
          <w:kern w:val="2"/>
          <w:sz w:val="24"/>
          <w:szCs w:val="24"/>
        </w:rPr>
        <w:t>供应商未被列入“信用中国”网站(www.creditchina.gov.cn)“记录失信被执行人或</w:t>
      </w:r>
      <w:r>
        <w:rPr>
          <w:rFonts w:hint="eastAsia" w:asciiTheme="minorEastAsia" w:hAnsiTheme="minorEastAsia" w:eastAsiaTheme="minorEastAsia" w:cstheme="minorEastAsia"/>
          <w:color w:val="auto"/>
          <w:kern w:val="2"/>
          <w:sz w:val="24"/>
          <w:szCs w:val="24"/>
          <w:lang w:eastAsia="zh-CN"/>
        </w:rPr>
        <w:t>重大税收违法失信主体</w:t>
      </w:r>
      <w:r>
        <w:rPr>
          <w:rFonts w:hint="eastAsia" w:asciiTheme="minorEastAsia" w:hAnsiTheme="minorEastAsia" w:eastAsiaTheme="minorEastAsia" w:cstheme="minorEastAsia"/>
          <w:color w:val="auto"/>
          <w:kern w:val="2"/>
          <w:sz w:val="24"/>
          <w:szCs w:val="24"/>
        </w:rPr>
        <w:t>或政府采购严重违法失信行为”记录名单；不处于中国政府采购网(www.ccgp.gov.cn)“政府采购严重违法失信行为信息记录”中的禁止参加政府采购活动期间。（以</w:t>
      </w:r>
      <w:r>
        <w:rPr>
          <w:rFonts w:hint="eastAsia" w:asciiTheme="minorEastAsia" w:hAnsiTheme="minorEastAsia" w:eastAsiaTheme="minorEastAsia" w:cstheme="minorEastAsia"/>
          <w:color w:val="auto"/>
          <w:kern w:val="2"/>
          <w:sz w:val="24"/>
          <w:szCs w:val="24"/>
          <w:lang w:val="en-US" w:eastAsia="zh-CN"/>
        </w:rPr>
        <w:t>采购代理机构</w:t>
      </w:r>
      <w:r>
        <w:rPr>
          <w:rFonts w:hint="eastAsia" w:asciiTheme="minorEastAsia" w:hAnsiTheme="minorEastAsia" w:eastAsiaTheme="minorEastAsia" w:cstheme="minorEastAsia"/>
          <w:color w:val="auto"/>
          <w:kern w:val="2"/>
          <w:sz w:val="24"/>
          <w:szCs w:val="24"/>
        </w:rPr>
        <w:t>于投标（响应）截止时间当天在“信用中国”网站（www.creditchina.gov.cn）及中国政府采购网（http://www.ccgp.gov.cn/）查询结果为准，如相关失信记录已失效，供应商需提供相关证明资料）。</w:t>
      </w:r>
    </w:p>
    <w:p>
      <w:pPr>
        <w:keepNext w:val="0"/>
        <w:keepLines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cstheme="minorEastAsia"/>
          <w:color w:val="auto"/>
          <w:kern w:val="2"/>
          <w:sz w:val="24"/>
          <w:szCs w:val="24"/>
          <w:lang w:eastAsia="zh-CN"/>
        </w:rPr>
        <w:t>（</w:t>
      </w:r>
      <w:r>
        <w:rPr>
          <w:rFonts w:hint="eastAsia" w:asciiTheme="minorEastAsia" w:hAnsiTheme="minorEastAsia" w:cstheme="minorEastAsia"/>
          <w:color w:val="auto"/>
          <w:kern w:val="2"/>
          <w:sz w:val="24"/>
          <w:szCs w:val="24"/>
          <w:lang w:val="en-US" w:eastAsia="zh-CN"/>
        </w:rPr>
        <w:t>2</w:t>
      </w:r>
      <w:r>
        <w:rPr>
          <w:rFonts w:hint="eastAsia" w:asciiTheme="minorEastAsia" w:hAnsiTheme="minorEastAsia" w:cstheme="minorEastAsia"/>
          <w:color w:val="auto"/>
          <w:kern w:val="2"/>
          <w:sz w:val="24"/>
          <w:szCs w:val="24"/>
          <w:lang w:eastAsia="zh-CN"/>
        </w:rPr>
        <w:t>）</w:t>
      </w:r>
      <w:r>
        <w:rPr>
          <w:rFonts w:hint="eastAsia" w:asciiTheme="minorEastAsia" w:hAnsiTheme="minorEastAsia" w:eastAsiaTheme="minorEastAsia" w:cstheme="minorEastAsia"/>
          <w:color w:val="auto"/>
          <w:kern w:val="2"/>
          <w:sz w:val="24"/>
          <w:szCs w:val="24"/>
        </w:rPr>
        <w:t>单位负责人为同一人或者存在直接控股、 管理关系的不同供应商，不得同时参加本采购项目（或采购包） 投标（响应）。 为本项目提供整体设计、 规范编制或者项目管理、 监理、 检测等服务的供应商， 不得再参与本项目投标（响应）。 投标（报价） 函相关承诺要求内容。</w:t>
      </w:r>
    </w:p>
    <w:p>
      <w:pPr>
        <w:keepNext w:val="0"/>
        <w:keepLines w:val="0"/>
        <w:widowControl w:val="0"/>
        <w:kinsoku/>
        <w:wordWrap/>
        <w:overflowPunct/>
        <w:topLinePunct w:val="0"/>
        <w:autoSpaceDE/>
        <w:autoSpaceDN/>
        <w:bidi w:val="0"/>
        <w:adjustRightInd/>
        <w:snapToGrid/>
        <w:spacing w:line="240" w:lineRule="auto"/>
        <w:textAlignment w:val="auto"/>
        <w:rPr>
          <w:rFonts w:hint="default" w:asciiTheme="minorEastAsia" w:hAnsiTheme="minorEastAsia" w:eastAsiaTheme="minorEastAsia" w:cstheme="minorEastAsia"/>
          <w:color w:val="auto"/>
          <w:kern w:val="2"/>
          <w:sz w:val="24"/>
          <w:szCs w:val="24"/>
          <w:lang w:val="en-US" w:eastAsia="zh-CN"/>
        </w:rPr>
      </w:pPr>
      <w:r>
        <w:rPr>
          <w:rFonts w:hint="eastAsia" w:asciiTheme="minorEastAsia" w:hAnsiTheme="minorEastAsia" w:eastAsiaTheme="minorEastAsia" w:cstheme="minorEastAsia"/>
          <w:color w:val="auto"/>
          <w:kern w:val="2"/>
          <w:sz w:val="24"/>
          <w:szCs w:val="24"/>
          <w:lang w:eastAsia="zh-CN"/>
        </w:rPr>
        <w:t>（</w:t>
      </w:r>
      <w:r>
        <w:rPr>
          <w:rFonts w:hint="eastAsia" w:asciiTheme="minorEastAsia" w:hAnsiTheme="minorEastAsia" w:eastAsiaTheme="minorEastAsia" w:cstheme="minorEastAsia"/>
          <w:color w:val="auto"/>
          <w:kern w:val="2"/>
          <w:sz w:val="24"/>
          <w:szCs w:val="24"/>
          <w:lang w:val="en-US" w:eastAsia="zh-CN"/>
        </w:rPr>
        <w:t>3</w:t>
      </w:r>
      <w:r>
        <w:rPr>
          <w:rFonts w:hint="eastAsia" w:asciiTheme="minorEastAsia" w:hAnsiTheme="minorEastAsia" w:eastAsiaTheme="minorEastAsia" w:cstheme="minorEastAsia"/>
          <w:color w:val="auto"/>
          <w:kern w:val="2"/>
          <w:sz w:val="24"/>
          <w:szCs w:val="24"/>
          <w:lang w:eastAsia="zh-CN"/>
        </w:rPr>
        <w:t>）</w:t>
      </w:r>
      <w:r>
        <w:rPr>
          <w:rFonts w:hint="eastAsia" w:asciiTheme="minorEastAsia" w:hAnsiTheme="minorEastAsia" w:eastAsiaTheme="minorEastAsia" w:cstheme="minorEastAsia"/>
          <w:color w:val="auto"/>
          <w:kern w:val="2"/>
          <w:sz w:val="24"/>
          <w:szCs w:val="24"/>
        </w:rPr>
        <w:t>供应商</w:t>
      </w:r>
      <w:r>
        <w:rPr>
          <w:rFonts w:hint="eastAsia" w:asciiTheme="minorEastAsia" w:hAnsiTheme="minorEastAsia" w:eastAsiaTheme="minorEastAsia" w:cstheme="minorEastAsia"/>
          <w:color w:val="auto"/>
          <w:kern w:val="2"/>
          <w:sz w:val="24"/>
          <w:szCs w:val="24"/>
          <w:lang w:val="en-US" w:eastAsia="zh-CN"/>
        </w:rPr>
        <w:t>具有</w:t>
      </w:r>
      <w:r>
        <w:rPr>
          <w:rFonts w:hint="eastAsia" w:asciiTheme="minorEastAsia" w:hAnsiTheme="minorEastAsia" w:eastAsiaTheme="minorEastAsia" w:cstheme="minorEastAsia"/>
          <w:color w:val="auto"/>
          <w:kern w:val="2"/>
          <w:sz w:val="24"/>
          <w:szCs w:val="24"/>
          <w:lang w:eastAsia="zh-CN"/>
        </w:rPr>
        <w:t>大型游乐设施制造(含安装、修理、改造）B 级及以上</w:t>
      </w:r>
      <w:r>
        <w:rPr>
          <w:rFonts w:hint="eastAsia" w:asciiTheme="minorEastAsia" w:hAnsiTheme="minorEastAsia" w:eastAsiaTheme="minorEastAsia" w:cstheme="minorEastAsia"/>
          <w:color w:val="auto"/>
          <w:kern w:val="2"/>
          <w:sz w:val="24"/>
          <w:szCs w:val="24"/>
          <w:lang w:val="en-US" w:eastAsia="zh-CN"/>
        </w:rPr>
        <w:t>或大型游乐设施安装（含修理）资格证书</w:t>
      </w:r>
      <w:r>
        <w:rPr>
          <w:rFonts w:hint="eastAsia" w:asciiTheme="minorEastAsia" w:hAnsiTheme="minorEastAsia" w:cstheme="minorEastAsia"/>
          <w:color w:val="auto"/>
          <w:kern w:val="2"/>
          <w:sz w:val="24"/>
          <w:szCs w:val="24"/>
          <w:lang w:val="en-US" w:eastAsia="zh-CN"/>
        </w:rPr>
        <w:t>。</w:t>
      </w:r>
    </w:p>
    <w:p>
      <w:pPr>
        <w:keepNext w:val="0"/>
        <w:keepLines w:val="0"/>
        <w:widowControl w:val="0"/>
        <w:kinsoku/>
        <w:wordWrap/>
        <w:overflowPunct/>
        <w:topLinePunct w:val="0"/>
        <w:autoSpaceDE/>
        <w:autoSpaceDN/>
        <w:bidi w:val="0"/>
        <w:adjustRightInd/>
        <w:snapToGrid/>
        <w:spacing w:line="240" w:lineRule="auto"/>
        <w:textAlignment w:val="auto"/>
        <w:outlineLvl w:val="1"/>
        <w:rPr>
          <w:rFonts w:hint="eastAsia" w:asciiTheme="minorEastAsia" w:hAnsiTheme="minorEastAsia" w:eastAsiaTheme="minorEastAsia" w:cstheme="minorEastAsia"/>
          <w:color w:val="auto"/>
          <w:kern w:val="2"/>
          <w:sz w:val="24"/>
          <w:szCs w:val="24"/>
        </w:rPr>
      </w:pPr>
      <w:bookmarkStart w:id="2" w:name="_Toc27096"/>
      <w:r>
        <w:rPr>
          <w:rFonts w:hint="eastAsia" w:asciiTheme="minorEastAsia" w:hAnsiTheme="minorEastAsia" w:eastAsiaTheme="minorEastAsia" w:cstheme="minorEastAsia"/>
          <w:b/>
          <w:color w:val="auto"/>
          <w:kern w:val="2"/>
          <w:sz w:val="24"/>
          <w:szCs w:val="24"/>
        </w:rPr>
        <w:t>三.获取招标文件</w:t>
      </w:r>
      <w:bookmarkEnd w:id="2"/>
    </w:p>
    <w:p>
      <w:pPr>
        <w:keepNext w:val="0"/>
        <w:keepLines w:val="0"/>
        <w:widowControl w:val="0"/>
        <w:kinsoku/>
        <w:wordWrap/>
        <w:overflowPunct/>
        <w:topLinePunct w:val="0"/>
        <w:autoSpaceDE/>
        <w:autoSpaceDN/>
        <w:bidi w:val="0"/>
        <w:adjustRightInd/>
        <w:snapToGrid/>
        <w:spacing w:line="240" w:lineRule="auto"/>
        <w:ind w:firstLine="480"/>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时间：详见招标公告及其变更公告（如有）</w:t>
      </w:r>
    </w:p>
    <w:p>
      <w:pPr>
        <w:keepNext w:val="0"/>
        <w:keepLines w:val="0"/>
        <w:widowControl w:val="0"/>
        <w:kinsoku/>
        <w:wordWrap/>
        <w:overflowPunct/>
        <w:topLinePunct w:val="0"/>
        <w:autoSpaceDE/>
        <w:autoSpaceDN/>
        <w:bidi w:val="0"/>
        <w:adjustRightInd/>
        <w:snapToGrid/>
        <w:spacing w:line="240" w:lineRule="auto"/>
        <w:ind w:firstLine="480"/>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地点：详见招标公告及其变更公告（如有）</w:t>
      </w:r>
    </w:p>
    <w:p>
      <w:pPr>
        <w:keepNext w:val="0"/>
        <w:keepLines w:val="0"/>
        <w:widowControl w:val="0"/>
        <w:kinsoku/>
        <w:wordWrap/>
        <w:overflowPunct/>
        <w:topLinePunct w:val="0"/>
        <w:autoSpaceDE/>
        <w:autoSpaceDN/>
        <w:bidi w:val="0"/>
        <w:adjustRightInd/>
        <w:snapToGrid/>
        <w:spacing w:line="240" w:lineRule="auto"/>
        <w:ind w:firstLine="480"/>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获取方式：现场获取。投标人应现场完成项目</w:t>
      </w:r>
      <w:r>
        <w:rPr>
          <w:rFonts w:hint="eastAsia" w:asciiTheme="minorEastAsia" w:hAnsiTheme="minorEastAsia" w:eastAsiaTheme="minorEastAsia" w:cstheme="minorEastAsia"/>
          <w:color w:val="auto"/>
          <w:kern w:val="2"/>
          <w:sz w:val="24"/>
          <w:szCs w:val="24"/>
          <w:lang w:val="en-US" w:eastAsia="zh-CN"/>
        </w:rPr>
        <w:t>投标</w:t>
      </w:r>
      <w:r>
        <w:rPr>
          <w:rFonts w:hint="eastAsia" w:asciiTheme="minorEastAsia" w:hAnsiTheme="minorEastAsia" w:eastAsiaTheme="minorEastAsia" w:cstheme="minorEastAsia"/>
          <w:color w:val="auto"/>
          <w:kern w:val="2"/>
          <w:sz w:val="24"/>
          <w:szCs w:val="24"/>
        </w:rPr>
        <w:t>登记并获取</w:t>
      </w:r>
      <w:r>
        <w:rPr>
          <w:rFonts w:hint="eastAsia" w:asciiTheme="minorEastAsia" w:hAnsiTheme="minorEastAsia" w:eastAsiaTheme="minorEastAsia" w:cstheme="minorEastAsia"/>
          <w:color w:val="auto"/>
          <w:kern w:val="2"/>
          <w:sz w:val="24"/>
          <w:szCs w:val="24"/>
          <w:lang w:val="en-US" w:eastAsia="zh-CN"/>
        </w:rPr>
        <w:t>招标</w:t>
      </w:r>
      <w:r>
        <w:rPr>
          <w:rFonts w:hint="eastAsia" w:asciiTheme="minorEastAsia" w:hAnsiTheme="minorEastAsia" w:eastAsiaTheme="minorEastAsia" w:cstheme="minorEastAsia"/>
          <w:color w:val="auto"/>
          <w:kern w:val="2"/>
          <w:sz w:val="24"/>
          <w:szCs w:val="24"/>
        </w:rPr>
        <w:t>文件，现场项目响应登记时需提交以下材料（复印件须加盖公章）：</w:t>
      </w:r>
    </w:p>
    <w:p>
      <w:pPr>
        <w:keepNext w:val="0"/>
        <w:keepLines w:val="0"/>
        <w:widowControl w:val="0"/>
        <w:kinsoku/>
        <w:wordWrap/>
        <w:overflowPunct/>
        <w:topLinePunct w:val="0"/>
        <w:autoSpaceDE/>
        <w:autoSpaceDN/>
        <w:bidi w:val="0"/>
        <w:adjustRightInd/>
        <w:snapToGrid/>
        <w:spacing w:line="240" w:lineRule="auto"/>
        <w:ind w:firstLine="480"/>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（1）投标登记表（格式见</w:t>
      </w:r>
      <w:r>
        <w:rPr>
          <w:rFonts w:hint="eastAsia" w:asciiTheme="minorEastAsia" w:hAnsiTheme="minorEastAsia" w:eastAsiaTheme="minorEastAsia" w:cstheme="minorEastAsia"/>
          <w:color w:val="auto"/>
          <w:kern w:val="2"/>
          <w:sz w:val="24"/>
          <w:szCs w:val="24"/>
          <w:lang w:val="en-US" w:eastAsia="zh-CN"/>
        </w:rPr>
        <w:t>招标</w:t>
      </w:r>
      <w:r>
        <w:rPr>
          <w:rFonts w:hint="eastAsia" w:asciiTheme="minorEastAsia" w:hAnsiTheme="minorEastAsia" w:eastAsiaTheme="minorEastAsia" w:cstheme="minorEastAsia"/>
          <w:color w:val="auto"/>
          <w:kern w:val="2"/>
          <w:sz w:val="24"/>
          <w:szCs w:val="24"/>
        </w:rPr>
        <w:t>公告附件）；</w:t>
      </w:r>
    </w:p>
    <w:p>
      <w:pPr>
        <w:keepNext w:val="0"/>
        <w:keepLines w:val="0"/>
        <w:widowControl w:val="0"/>
        <w:kinsoku/>
        <w:wordWrap/>
        <w:overflowPunct/>
        <w:topLinePunct w:val="0"/>
        <w:autoSpaceDE/>
        <w:autoSpaceDN/>
        <w:bidi w:val="0"/>
        <w:adjustRightInd/>
        <w:snapToGrid/>
        <w:spacing w:line="240" w:lineRule="auto"/>
        <w:ind w:firstLine="480"/>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（2）营业执照（或事业法人登记证或身份证等相关证明）副本复印件；</w:t>
      </w:r>
    </w:p>
    <w:p>
      <w:pPr>
        <w:keepNext w:val="0"/>
        <w:keepLines w:val="0"/>
        <w:widowControl w:val="0"/>
        <w:kinsoku/>
        <w:wordWrap/>
        <w:overflowPunct/>
        <w:topLinePunct w:val="0"/>
        <w:autoSpaceDE/>
        <w:autoSpaceDN/>
        <w:bidi w:val="0"/>
        <w:adjustRightInd/>
        <w:snapToGrid/>
        <w:spacing w:line="240" w:lineRule="auto"/>
        <w:ind w:firstLine="480"/>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（3）法定代表人证明书及法定代表人授权书（非法定代表人办理需提交）原件；</w:t>
      </w:r>
    </w:p>
    <w:p>
      <w:pPr>
        <w:keepNext w:val="0"/>
        <w:keepLines w:val="0"/>
        <w:widowControl w:val="0"/>
        <w:kinsoku/>
        <w:wordWrap/>
        <w:overflowPunct/>
        <w:topLinePunct w:val="0"/>
        <w:autoSpaceDE/>
        <w:autoSpaceDN/>
        <w:bidi w:val="0"/>
        <w:adjustRightInd/>
        <w:snapToGrid/>
        <w:spacing w:line="240" w:lineRule="auto"/>
        <w:ind w:firstLine="480"/>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（4）法定代表人、被授权人身份证（非法定代表人办理需提交）复印件。</w:t>
      </w:r>
    </w:p>
    <w:p>
      <w:pPr>
        <w:keepNext w:val="0"/>
        <w:keepLines w:val="0"/>
        <w:widowControl w:val="0"/>
        <w:kinsoku/>
        <w:wordWrap/>
        <w:overflowPunct/>
        <w:topLinePunct w:val="0"/>
        <w:autoSpaceDE/>
        <w:autoSpaceDN/>
        <w:bidi w:val="0"/>
        <w:adjustRightInd/>
        <w:snapToGrid/>
        <w:spacing w:line="240" w:lineRule="auto"/>
        <w:ind w:firstLine="480"/>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以上材料装订成册一式两份（正副本各一份），副本可以是正本的复印件。</w:t>
      </w:r>
    </w:p>
    <w:p>
      <w:pPr>
        <w:keepNext w:val="0"/>
        <w:keepLines w:val="0"/>
        <w:widowControl w:val="0"/>
        <w:kinsoku/>
        <w:wordWrap/>
        <w:overflowPunct/>
        <w:topLinePunct w:val="0"/>
        <w:autoSpaceDE/>
        <w:autoSpaceDN/>
        <w:bidi w:val="0"/>
        <w:adjustRightInd/>
        <w:snapToGrid/>
        <w:spacing w:line="240" w:lineRule="auto"/>
        <w:ind w:firstLine="480"/>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（未按上述方式获取</w:t>
      </w:r>
      <w:r>
        <w:rPr>
          <w:rFonts w:hint="eastAsia" w:asciiTheme="minorEastAsia" w:hAnsiTheme="minorEastAsia" w:eastAsiaTheme="minorEastAsia" w:cstheme="minorEastAsia"/>
          <w:color w:val="auto"/>
          <w:kern w:val="2"/>
          <w:sz w:val="24"/>
          <w:szCs w:val="24"/>
          <w:lang w:val="en-US" w:eastAsia="zh-CN"/>
        </w:rPr>
        <w:t>投标</w:t>
      </w:r>
      <w:r>
        <w:rPr>
          <w:rFonts w:hint="eastAsia" w:asciiTheme="minorEastAsia" w:hAnsiTheme="minorEastAsia" w:eastAsiaTheme="minorEastAsia" w:cstheme="minorEastAsia"/>
          <w:color w:val="auto"/>
          <w:kern w:val="2"/>
          <w:sz w:val="24"/>
          <w:szCs w:val="24"/>
        </w:rPr>
        <w:t>文件的供应商，其响应资格将被视为无效）。</w:t>
      </w:r>
    </w:p>
    <w:p>
      <w:pPr>
        <w:keepNext w:val="0"/>
        <w:keepLines w:val="0"/>
        <w:widowControl w:val="0"/>
        <w:kinsoku/>
        <w:wordWrap/>
        <w:overflowPunct/>
        <w:topLinePunct w:val="0"/>
        <w:autoSpaceDE/>
        <w:autoSpaceDN/>
        <w:bidi w:val="0"/>
        <w:adjustRightInd/>
        <w:snapToGrid/>
        <w:spacing w:line="240" w:lineRule="auto"/>
        <w:ind w:firstLine="480"/>
        <w:textAlignment w:val="auto"/>
        <w:rPr>
          <w:rFonts w:hint="eastAsia" w:asciiTheme="minorEastAsia" w:hAnsiTheme="minorEastAsia" w:eastAsiaTheme="minorEastAsia" w:cstheme="minorEastAsia"/>
          <w:color w:val="auto"/>
          <w:kern w:val="2"/>
          <w:sz w:val="24"/>
          <w:szCs w:val="24"/>
          <w:lang w:eastAsia="zh-CN"/>
        </w:rPr>
      </w:pPr>
      <w:r>
        <w:rPr>
          <w:rFonts w:hint="eastAsia" w:asciiTheme="minorEastAsia" w:hAnsiTheme="minorEastAsia" w:eastAsiaTheme="minorEastAsia" w:cstheme="minorEastAsia"/>
          <w:color w:val="auto"/>
          <w:kern w:val="2"/>
          <w:sz w:val="24"/>
          <w:szCs w:val="24"/>
        </w:rPr>
        <w:t>售价：</w:t>
      </w:r>
      <w:r>
        <w:rPr>
          <w:rFonts w:hint="eastAsia" w:asciiTheme="minorEastAsia" w:hAnsiTheme="minorEastAsia" w:cstheme="minorEastAsia"/>
          <w:color w:val="auto"/>
          <w:kern w:val="2"/>
          <w:sz w:val="24"/>
          <w:szCs w:val="24"/>
          <w:lang w:val="en-US" w:eastAsia="zh-CN"/>
        </w:rPr>
        <w:t>3</w:t>
      </w:r>
      <w:r>
        <w:rPr>
          <w:rFonts w:hint="eastAsia" w:asciiTheme="minorEastAsia" w:hAnsiTheme="minorEastAsia" w:eastAsiaTheme="minorEastAsia" w:cstheme="minorEastAsia"/>
          <w:color w:val="auto"/>
          <w:kern w:val="2"/>
          <w:sz w:val="24"/>
          <w:szCs w:val="24"/>
        </w:rPr>
        <w:t>00元/份，售后不退</w:t>
      </w:r>
      <w:r>
        <w:rPr>
          <w:rFonts w:hint="eastAsia" w:asciiTheme="minorEastAsia" w:hAnsiTheme="minorEastAsia" w:eastAsiaTheme="minorEastAsia" w:cstheme="minorEastAsia"/>
          <w:color w:val="auto"/>
          <w:kern w:val="2"/>
          <w:sz w:val="24"/>
          <w:szCs w:val="24"/>
          <w:lang w:eastAsia="zh-CN"/>
        </w:rPr>
        <w:t>。</w:t>
      </w:r>
    </w:p>
    <w:p>
      <w:pPr>
        <w:keepNext w:val="0"/>
        <w:keepLines w:val="0"/>
        <w:widowControl w:val="0"/>
        <w:kinsoku/>
        <w:wordWrap/>
        <w:overflowPunct/>
        <w:topLinePunct w:val="0"/>
        <w:autoSpaceDE/>
        <w:autoSpaceDN/>
        <w:bidi w:val="0"/>
        <w:adjustRightInd/>
        <w:snapToGrid/>
        <w:spacing w:line="240" w:lineRule="auto"/>
        <w:textAlignment w:val="auto"/>
        <w:outlineLvl w:val="1"/>
        <w:rPr>
          <w:rFonts w:hint="eastAsia" w:asciiTheme="minorEastAsia" w:hAnsiTheme="minorEastAsia" w:eastAsiaTheme="minorEastAsia" w:cstheme="minorEastAsia"/>
          <w:color w:val="auto"/>
          <w:kern w:val="2"/>
          <w:sz w:val="24"/>
          <w:szCs w:val="24"/>
        </w:rPr>
      </w:pPr>
      <w:bookmarkStart w:id="3" w:name="_Toc12885"/>
      <w:r>
        <w:rPr>
          <w:rFonts w:hint="eastAsia" w:asciiTheme="minorEastAsia" w:hAnsiTheme="minorEastAsia" w:eastAsiaTheme="minorEastAsia" w:cstheme="minorEastAsia"/>
          <w:b/>
          <w:color w:val="auto"/>
          <w:kern w:val="2"/>
          <w:sz w:val="24"/>
          <w:szCs w:val="24"/>
        </w:rPr>
        <w:t>四.提交投标文件截止时间、开标时间和地点：</w:t>
      </w:r>
      <w:bookmarkEnd w:id="3"/>
    </w:p>
    <w:p>
      <w:pPr>
        <w:keepNext w:val="0"/>
        <w:keepLines w:val="0"/>
        <w:widowControl w:val="0"/>
        <w:kinsoku/>
        <w:wordWrap/>
        <w:overflowPunct/>
        <w:topLinePunct w:val="0"/>
        <w:autoSpaceDE/>
        <w:autoSpaceDN/>
        <w:bidi w:val="0"/>
        <w:adjustRightInd/>
        <w:snapToGrid/>
        <w:spacing w:line="240" w:lineRule="auto"/>
        <w:ind w:firstLine="480"/>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提交投标文件截止时间和开标时间：详见招标公告及其变更公告（如有）</w:t>
      </w:r>
    </w:p>
    <w:p>
      <w:pPr>
        <w:keepNext w:val="0"/>
        <w:keepLines w:val="0"/>
        <w:widowControl w:val="0"/>
        <w:kinsoku/>
        <w:wordWrap/>
        <w:overflowPunct/>
        <w:topLinePunct w:val="0"/>
        <w:autoSpaceDE/>
        <w:autoSpaceDN/>
        <w:bidi w:val="0"/>
        <w:adjustRightInd/>
        <w:snapToGrid/>
        <w:spacing w:line="240" w:lineRule="auto"/>
        <w:ind w:firstLine="480"/>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（自招标文件开始发出之日起至投标人提交投标文件截止之日止，不得少于20日）</w:t>
      </w:r>
    </w:p>
    <w:p>
      <w:pPr>
        <w:keepNext w:val="0"/>
        <w:keepLines w:val="0"/>
        <w:widowControl w:val="0"/>
        <w:kinsoku/>
        <w:wordWrap/>
        <w:overflowPunct/>
        <w:topLinePunct w:val="0"/>
        <w:autoSpaceDE/>
        <w:autoSpaceDN/>
        <w:bidi w:val="0"/>
        <w:adjustRightInd/>
        <w:snapToGrid/>
        <w:spacing w:line="240" w:lineRule="auto"/>
        <w:ind w:firstLine="480"/>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地点：详见招标公告及其变更公告（如有）</w:t>
      </w:r>
    </w:p>
    <w:p>
      <w:pPr>
        <w:keepNext w:val="0"/>
        <w:keepLines w:val="0"/>
        <w:widowControl w:val="0"/>
        <w:kinsoku/>
        <w:wordWrap/>
        <w:overflowPunct/>
        <w:topLinePunct w:val="0"/>
        <w:autoSpaceDE/>
        <w:autoSpaceDN/>
        <w:bidi w:val="0"/>
        <w:adjustRightInd/>
        <w:snapToGrid/>
        <w:spacing w:line="240" w:lineRule="auto"/>
        <w:textAlignment w:val="auto"/>
        <w:outlineLvl w:val="1"/>
        <w:rPr>
          <w:rFonts w:hint="eastAsia" w:asciiTheme="minorEastAsia" w:hAnsiTheme="minorEastAsia" w:eastAsiaTheme="minorEastAsia" w:cstheme="minorEastAsia"/>
          <w:color w:val="auto"/>
          <w:kern w:val="2"/>
          <w:sz w:val="24"/>
          <w:szCs w:val="24"/>
        </w:rPr>
      </w:pPr>
      <w:bookmarkStart w:id="4" w:name="_Toc17633"/>
      <w:r>
        <w:rPr>
          <w:rFonts w:hint="eastAsia" w:asciiTheme="minorEastAsia" w:hAnsiTheme="minorEastAsia" w:eastAsiaTheme="minorEastAsia" w:cstheme="minorEastAsia"/>
          <w:b/>
          <w:color w:val="auto"/>
          <w:kern w:val="2"/>
          <w:sz w:val="24"/>
          <w:szCs w:val="24"/>
        </w:rPr>
        <w:t>五.公告期限、发布公告的媒介：</w:t>
      </w:r>
      <w:bookmarkEnd w:id="4"/>
    </w:p>
    <w:p>
      <w:pPr>
        <w:keepNext w:val="0"/>
        <w:keepLines w:val="0"/>
        <w:widowControl w:val="0"/>
        <w:kinsoku/>
        <w:wordWrap/>
        <w:overflowPunct/>
        <w:topLinePunct w:val="0"/>
        <w:autoSpaceDE/>
        <w:autoSpaceDN/>
        <w:bidi w:val="0"/>
        <w:adjustRightInd/>
        <w:snapToGrid/>
        <w:spacing w:line="240" w:lineRule="auto"/>
        <w:ind w:firstLine="480"/>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1、公告期限：自本公告发布之日起不得少于5个工作日。</w:t>
      </w:r>
    </w:p>
    <w:p>
      <w:pPr>
        <w:keepNext w:val="0"/>
        <w:keepLines w:val="0"/>
        <w:widowControl w:val="0"/>
        <w:kinsoku/>
        <w:wordWrap/>
        <w:overflowPunct/>
        <w:topLinePunct w:val="0"/>
        <w:autoSpaceDE/>
        <w:autoSpaceDN/>
        <w:bidi w:val="0"/>
        <w:adjustRightInd/>
        <w:snapToGrid/>
        <w:spacing w:line="240" w:lineRule="auto"/>
        <w:ind w:firstLine="480"/>
        <w:textAlignment w:val="auto"/>
        <w:rPr>
          <w:rFonts w:hint="eastAsia" w:asciiTheme="minorEastAsia" w:hAnsiTheme="minorEastAsia" w:eastAsiaTheme="minorEastAsia" w:cstheme="minorEastAsia"/>
          <w:color w:val="auto"/>
          <w:kern w:val="2"/>
          <w:sz w:val="24"/>
          <w:szCs w:val="24"/>
          <w:u w:val="none"/>
        </w:rPr>
      </w:pPr>
      <w:r>
        <w:rPr>
          <w:rFonts w:hint="eastAsia" w:asciiTheme="minorEastAsia" w:hAnsiTheme="minorEastAsia" w:eastAsiaTheme="minorEastAsia" w:cstheme="minorEastAsia"/>
          <w:color w:val="auto"/>
          <w:kern w:val="2"/>
          <w:sz w:val="24"/>
          <w:szCs w:val="24"/>
        </w:rPr>
        <w:t>2、发布公告的媒介：中国政府采购网(www.ccgp.gov.cn)</w:t>
      </w:r>
      <w:r>
        <w:rPr>
          <w:rFonts w:hint="eastAsia" w:asciiTheme="minorEastAsia" w:hAnsiTheme="minorEastAsia" w:cstheme="minorEastAsia"/>
          <w:color w:val="auto"/>
          <w:kern w:val="2"/>
          <w:sz w:val="24"/>
          <w:szCs w:val="24"/>
          <w:lang w:val="en-US" w:eastAsia="zh-CN"/>
        </w:rPr>
        <w:t>和</w:t>
      </w:r>
      <w:r>
        <w:rPr>
          <w:rFonts w:ascii="宋体" w:hAnsi="宋体" w:eastAsia="宋体" w:cs="宋体"/>
          <w:color w:val="auto"/>
          <w:sz w:val="24"/>
          <w:szCs w:val="24"/>
          <w:u w:val="none"/>
        </w:rPr>
        <w:fldChar w:fldCharType="begin"/>
      </w:r>
      <w:r>
        <w:rPr>
          <w:rFonts w:ascii="宋体" w:hAnsi="宋体" w:eastAsia="宋体" w:cs="宋体"/>
          <w:color w:val="auto"/>
          <w:sz w:val="24"/>
          <w:szCs w:val="24"/>
          <w:u w:val="none"/>
        </w:rPr>
        <w:instrText xml:space="preserve"> HYPERLINK "https://www.cotenders.cn/" </w:instrText>
      </w:r>
      <w:r>
        <w:rPr>
          <w:rFonts w:ascii="宋体" w:hAnsi="宋体" w:eastAsia="宋体" w:cs="宋体"/>
          <w:color w:val="auto"/>
          <w:sz w:val="24"/>
          <w:szCs w:val="24"/>
          <w:u w:val="none"/>
        </w:rPr>
        <w:fldChar w:fldCharType="separate"/>
      </w:r>
      <w:r>
        <w:rPr>
          <w:rStyle w:val="17"/>
          <w:rFonts w:ascii="宋体" w:hAnsi="宋体" w:eastAsia="宋体" w:cs="宋体"/>
          <w:color w:val="auto"/>
          <w:sz w:val="24"/>
          <w:szCs w:val="24"/>
          <w:u w:val="none"/>
        </w:rPr>
        <w:t>中易电子交易平台 (cotenders.cn)</w:t>
      </w:r>
      <w:r>
        <w:rPr>
          <w:rFonts w:ascii="宋体" w:hAnsi="宋体" w:eastAsia="宋体" w:cs="宋体"/>
          <w:color w:val="auto"/>
          <w:sz w:val="24"/>
          <w:szCs w:val="24"/>
          <w:u w:val="none"/>
        </w:rPr>
        <w:fldChar w:fldCharType="end"/>
      </w:r>
      <w:r>
        <w:rPr>
          <w:rFonts w:hint="eastAsia" w:asciiTheme="minorEastAsia" w:hAnsiTheme="minorEastAsia" w:eastAsiaTheme="minorEastAsia" w:cstheme="minorEastAsia"/>
          <w:color w:val="auto"/>
          <w:kern w:val="2"/>
          <w:sz w:val="24"/>
          <w:szCs w:val="24"/>
          <w:u w:val="none"/>
        </w:rPr>
        <w:t>。</w:t>
      </w:r>
    </w:p>
    <w:p>
      <w:pPr>
        <w:keepNext w:val="0"/>
        <w:keepLines w:val="0"/>
        <w:widowControl w:val="0"/>
        <w:kinsoku/>
        <w:wordWrap/>
        <w:overflowPunct/>
        <w:topLinePunct w:val="0"/>
        <w:autoSpaceDE/>
        <w:autoSpaceDN/>
        <w:bidi w:val="0"/>
        <w:adjustRightInd/>
        <w:snapToGrid/>
        <w:spacing w:line="240" w:lineRule="auto"/>
        <w:textAlignment w:val="auto"/>
        <w:outlineLvl w:val="1"/>
        <w:rPr>
          <w:rFonts w:hint="eastAsia" w:asciiTheme="minorEastAsia" w:hAnsiTheme="minorEastAsia" w:eastAsiaTheme="minorEastAsia" w:cstheme="minorEastAsia"/>
          <w:color w:val="auto"/>
          <w:kern w:val="2"/>
          <w:sz w:val="24"/>
          <w:szCs w:val="24"/>
        </w:rPr>
      </w:pPr>
      <w:bookmarkStart w:id="5" w:name="_Toc16803"/>
      <w:r>
        <w:rPr>
          <w:rFonts w:hint="eastAsia" w:asciiTheme="minorEastAsia" w:hAnsiTheme="minorEastAsia" w:eastAsiaTheme="minorEastAsia" w:cstheme="minorEastAsia"/>
          <w:b/>
          <w:color w:val="auto"/>
          <w:kern w:val="2"/>
          <w:sz w:val="24"/>
          <w:szCs w:val="24"/>
        </w:rPr>
        <w:t>六.本项目联系方式：</w:t>
      </w:r>
      <w:bookmarkEnd w:id="5"/>
    </w:p>
    <w:p>
      <w:pPr>
        <w:keepNext w:val="0"/>
        <w:keepLines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b/>
          <w:color w:val="auto"/>
          <w:kern w:val="2"/>
          <w:sz w:val="24"/>
          <w:szCs w:val="24"/>
        </w:rPr>
        <w:t>1.采购人信息</w:t>
      </w:r>
    </w:p>
    <w:p>
      <w:pPr>
        <w:keepNext w:val="0"/>
        <w:keepLines w:val="0"/>
        <w:widowControl w:val="0"/>
        <w:kinsoku/>
        <w:wordWrap/>
        <w:overflowPunct/>
        <w:topLinePunct w:val="0"/>
        <w:autoSpaceDE/>
        <w:autoSpaceDN/>
        <w:bidi w:val="0"/>
        <w:adjustRightInd/>
        <w:snapToGrid/>
        <w:spacing w:line="240" w:lineRule="auto"/>
        <w:ind w:firstLine="480"/>
        <w:textAlignment w:val="auto"/>
        <w:rPr>
          <w:rFonts w:hint="eastAsia" w:asciiTheme="minorEastAsia" w:hAnsiTheme="minorEastAsia" w:eastAsiaTheme="minorEastAsia" w:cstheme="minorEastAsia"/>
          <w:color w:val="auto"/>
          <w:kern w:val="2"/>
          <w:sz w:val="24"/>
          <w:szCs w:val="24"/>
          <w:highlight w:val="none"/>
          <w:lang w:eastAsia="zh-CN"/>
        </w:rPr>
      </w:pPr>
      <w:r>
        <w:rPr>
          <w:rFonts w:hint="eastAsia" w:asciiTheme="minorEastAsia" w:hAnsiTheme="minorEastAsia" w:eastAsiaTheme="minorEastAsia" w:cstheme="minorEastAsia"/>
          <w:color w:val="auto"/>
          <w:kern w:val="2"/>
          <w:sz w:val="24"/>
          <w:szCs w:val="24"/>
          <w:highlight w:val="none"/>
        </w:rPr>
        <w:t>名称：</w:t>
      </w:r>
      <w:r>
        <w:rPr>
          <w:rFonts w:hint="eastAsia" w:asciiTheme="minorEastAsia" w:hAnsiTheme="minorEastAsia" w:cstheme="minorEastAsia"/>
          <w:color w:val="auto"/>
          <w:kern w:val="2"/>
          <w:sz w:val="24"/>
          <w:szCs w:val="24"/>
          <w:highlight w:val="none"/>
          <w:lang w:eastAsia="zh-CN"/>
        </w:rPr>
        <w:t>博罗县观音阁镇彭村股份经济合作联合社</w:t>
      </w:r>
    </w:p>
    <w:p>
      <w:pPr>
        <w:keepNext w:val="0"/>
        <w:keepLines w:val="0"/>
        <w:widowControl w:val="0"/>
        <w:kinsoku/>
        <w:wordWrap/>
        <w:overflowPunct/>
        <w:topLinePunct w:val="0"/>
        <w:autoSpaceDE/>
        <w:autoSpaceDN/>
        <w:bidi w:val="0"/>
        <w:adjustRightInd/>
        <w:snapToGrid/>
        <w:spacing w:line="240" w:lineRule="auto"/>
        <w:ind w:firstLine="48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地址：惠州市博罗县观音阁镇彭村</w:t>
      </w:r>
    </w:p>
    <w:p>
      <w:pPr>
        <w:keepNext w:val="0"/>
        <w:keepLines w:val="0"/>
        <w:widowControl w:val="0"/>
        <w:kinsoku/>
        <w:wordWrap/>
        <w:overflowPunct/>
        <w:topLinePunct w:val="0"/>
        <w:autoSpaceDE/>
        <w:autoSpaceDN/>
        <w:bidi w:val="0"/>
        <w:adjustRightInd/>
        <w:snapToGrid/>
        <w:spacing w:line="240" w:lineRule="auto"/>
        <w:ind w:firstLine="48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联系方式：13531714000</w:t>
      </w:r>
    </w:p>
    <w:p>
      <w:pPr>
        <w:keepNext w:val="0"/>
        <w:keepLines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b/>
          <w:color w:val="auto"/>
          <w:kern w:val="2"/>
          <w:sz w:val="24"/>
          <w:szCs w:val="24"/>
        </w:rPr>
        <w:t>2.采购代理机构信息</w:t>
      </w:r>
    </w:p>
    <w:p>
      <w:pPr>
        <w:keepNext w:val="0"/>
        <w:keepLines w:val="0"/>
        <w:widowControl w:val="0"/>
        <w:kinsoku/>
        <w:wordWrap/>
        <w:overflowPunct/>
        <w:topLinePunct w:val="0"/>
        <w:autoSpaceDE/>
        <w:autoSpaceDN/>
        <w:bidi w:val="0"/>
        <w:adjustRightInd/>
        <w:snapToGrid/>
        <w:spacing w:line="240" w:lineRule="auto"/>
        <w:ind w:firstLine="480"/>
        <w:textAlignment w:val="auto"/>
        <w:rPr>
          <w:rFonts w:hint="eastAsia" w:asciiTheme="minorEastAsia" w:hAnsiTheme="minorEastAsia" w:eastAsiaTheme="minorEastAsia" w:cstheme="minorEastAsia"/>
          <w:color w:val="auto"/>
          <w:kern w:val="2"/>
          <w:sz w:val="24"/>
          <w:szCs w:val="24"/>
          <w:lang w:eastAsia="zh-CN"/>
        </w:rPr>
      </w:pPr>
      <w:r>
        <w:rPr>
          <w:rFonts w:hint="eastAsia" w:asciiTheme="minorEastAsia" w:hAnsiTheme="minorEastAsia" w:eastAsiaTheme="minorEastAsia" w:cstheme="minorEastAsia"/>
          <w:color w:val="auto"/>
          <w:kern w:val="2"/>
          <w:sz w:val="24"/>
          <w:szCs w:val="24"/>
        </w:rPr>
        <w:t>名称：</w:t>
      </w:r>
      <w:r>
        <w:rPr>
          <w:rFonts w:hint="eastAsia" w:asciiTheme="minorEastAsia" w:hAnsiTheme="minorEastAsia" w:cstheme="minorEastAsia"/>
          <w:color w:val="auto"/>
          <w:kern w:val="2"/>
          <w:sz w:val="24"/>
          <w:szCs w:val="24"/>
          <w:lang w:eastAsia="zh-CN"/>
        </w:rPr>
        <w:t>惠州市懿鑫招标代理有限公司</w:t>
      </w:r>
    </w:p>
    <w:p>
      <w:pPr>
        <w:keepNext w:val="0"/>
        <w:keepLines w:val="0"/>
        <w:widowControl w:val="0"/>
        <w:kinsoku/>
        <w:wordWrap/>
        <w:overflowPunct/>
        <w:topLinePunct w:val="0"/>
        <w:autoSpaceDE/>
        <w:autoSpaceDN/>
        <w:bidi w:val="0"/>
        <w:adjustRightInd/>
        <w:snapToGrid/>
        <w:spacing w:line="240" w:lineRule="auto"/>
        <w:ind w:firstLine="480"/>
        <w:textAlignment w:val="auto"/>
        <w:rPr>
          <w:rFonts w:hint="eastAsia" w:asciiTheme="minorEastAsia" w:hAnsiTheme="minorEastAsia" w:eastAsiaTheme="minorEastAsia" w:cstheme="minorEastAsia"/>
          <w:color w:val="auto"/>
          <w:kern w:val="2"/>
          <w:sz w:val="24"/>
          <w:szCs w:val="24"/>
          <w:lang w:eastAsia="zh-CN"/>
        </w:rPr>
      </w:pPr>
      <w:r>
        <w:rPr>
          <w:rFonts w:hint="eastAsia" w:asciiTheme="minorEastAsia" w:hAnsiTheme="minorEastAsia" w:eastAsiaTheme="minorEastAsia" w:cstheme="minorEastAsia"/>
          <w:color w:val="auto"/>
          <w:kern w:val="2"/>
          <w:sz w:val="24"/>
          <w:szCs w:val="24"/>
        </w:rPr>
        <w:t>地址：</w:t>
      </w:r>
      <w:r>
        <w:rPr>
          <w:rFonts w:hint="eastAsia" w:asciiTheme="minorEastAsia" w:hAnsiTheme="minorEastAsia" w:cstheme="minorEastAsia"/>
          <w:color w:val="auto"/>
          <w:kern w:val="2"/>
          <w:sz w:val="24"/>
          <w:szCs w:val="24"/>
          <w:lang w:eastAsia="zh-CN"/>
        </w:rPr>
        <w:t>惠州市上排大岭路28号毓秀轩二栋一层</w:t>
      </w:r>
    </w:p>
    <w:p>
      <w:pPr>
        <w:keepNext w:val="0"/>
        <w:keepLines w:val="0"/>
        <w:widowControl w:val="0"/>
        <w:kinsoku/>
        <w:wordWrap/>
        <w:overflowPunct/>
        <w:topLinePunct w:val="0"/>
        <w:autoSpaceDE/>
        <w:autoSpaceDN/>
        <w:bidi w:val="0"/>
        <w:adjustRightInd/>
        <w:snapToGrid/>
        <w:spacing w:line="240" w:lineRule="auto"/>
        <w:ind w:firstLine="480"/>
        <w:textAlignment w:val="auto"/>
        <w:rPr>
          <w:rFonts w:hint="eastAsia" w:asciiTheme="minorEastAsia" w:hAnsiTheme="minorEastAsia" w:eastAsiaTheme="minorEastAsia" w:cstheme="minorEastAsia"/>
          <w:color w:val="auto"/>
          <w:kern w:val="2"/>
          <w:sz w:val="24"/>
          <w:szCs w:val="24"/>
          <w:lang w:eastAsia="zh-CN"/>
        </w:rPr>
      </w:pPr>
      <w:r>
        <w:rPr>
          <w:rFonts w:hint="eastAsia" w:asciiTheme="minorEastAsia" w:hAnsiTheme="minorEastAsia" w:eastAsiaTheme="minorEastAsia" w:cstheme="minorEastAsia"/>
          <w:color w:val="auto"/>
          <w:kern w:val="2"/>
          <w:sz w:val="24"/>
          <w:szCs w:val="24"/>
        </w:rPr>
        <w:t>联系方式：</w:t>
      </w:r>
      <w:r>
        <w:rPr>
          <w:rFonts w:hint="eastAsia" w:asciiTheme="minorEastAsia" w:hAnsiTheme="minorEastAsia" w:cstheme="minorEastAsia"/>
          <w:color w:val="auto"/>
          <w:kern w:val="2"/>
          <w:sz w:val="24"/>
          <w:szCs w:val="24"/>
          <w:lang w:eastAsia="zh-CN"/>
        </w:rPr>
        <w:t>0752-－2282156</w:t>
      </w:r>
    </w:p>
    <w:p>
      <w:pPr>
        <w:keepNext w:val="0"/>
        <w:keepLines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b/>
          <w:color w:val="auto"/>
          <w:kern w:val="2"/>
          <w:sz w:val="24"/>
          <w:szCs w:val="24"/>
        </w:rPr>
        <w:t>3.项目联系方式</w:t>
      </w:r>
    </w:p>
    <w:p>
      <w:pPr>
        <w:keepNext w:val="0"/>
        <w:keepLines w:val="0"/>
        <w:widowControl w:val="0"/>
        <w:kinsoku/>
        <w:wordWrap/>
        <w:overflowPunct/>
        <w:topLinePunct w:val="0"/>
        <w:autoSpaceDE/>
        <w:autoSpaceDN/>
        <w:bidi w:val="0"/>
        <w:adjustRightInd/>
        <w:snapToGrid/>
        <w:spacing w:line="240" w:lineRule="auto"/>
        <w:ind w:firstLine="480"/>
        <w:textAlignment w:val="auto"/>
        <w:rPr>
          <w:rFonts w:hint="default" w:asciiTheme="minorEastAsia" w:hAnsiTheme="minorEastAsia" w:eastAsiaTheme="minorEastAsia" w:cstheme="minorEastAsia"/>
          <w:color w:val="auto"/>
          <w:kern w:val="2"/>
          <w:sz w:val="24"/>
          <w:szCs w:val="24"/>
          <w:lang w:val="en-US" w:eastAsia="zh-CN"/>
        </w:rPr>
      </w:pPr>
      <w:r>
        <w:rPr>
          <w:rFonts w:hint="eastAsia" w:asciiTheme="minorEastAsia" w:hAnsiTheme="minorEastAsia" w:eastAsiaTheme="minorEastAsia" w:cstheme="minorEastAsia"/>
          <w:color w:val="auto"/>
          <w:kern w:val="2"/>
          <w:sz w:val="24"/>
          <w:szCs w:val="24"/>
        </w:rPr>
        <w:t>项目联系人：</w:t>
      </w:r>
      <w:r>
        <w:rPr>
          <w:rFonts w:hint="eastAsia" w:asciiTheme="minorEastAsia" w:hAnsiTheme="minorEastAsia" w:cstheme="minorEastAsia"/>
          <w:color w:val="auto"/>
          <w:kern w:val="2"/>
          <w:sz w:val="24"/>
          <w:szCs w:val="24"/>
          <w:lang w:eastAsia="zh-CN"/>
        </w:rPr>
        <w:t>张</w:t>
      </w:r>
      <w:r>
        <w:rPr>
          <w:rFonts w:hint="eastAsia" w:asciiTheme="minorEastAsia" w:hAnsiTheme="minorEastAsia" w:cstheme="minorEastAsia"/>
          <w:color w:val="auto"/>
          <w:kern w:val="2"/>
          <w:sz w:val="24"/>
          <w:szCs w:val="24"/>
          <w:lang w:val="en-US" w:eastAsia="zh-CN"/>
        </w:rPr>
        <w:t>工</w:t>
      </w:r>
    </w:p>
    <w:p>
      <w:pPr>
        <w:keepNext w:val="0"/>
        <w:keepLines w:val="0"/>
        <w:widowControl w:val="0"/>
        <w:kinsoku/>
        <w:wordWrap/>
        <w:overflowPunct/>
        <w:topLinePunct w:val="0"/>
        <w:autoSpaceDE/>
        <w:autoSpaceDN/>
        <w:bidi w:val="0"/>
        <w:adjustRightInd/>
        <w:snapToGrid/>
        <w:spacing w:line="240" w:lineRule="auto"/>
        <w:ind w:firstLine="480"/>
        <w:textAlignment w:val="auto"/>
        <w:rPr>
          <w:rFonts w:hint="eastAsia" w:asciiTheme="minorEastAsia" w:hAnsiTheme="minorEastAsia" w:eastAsiaTheme="minorEastAsia" w:cstheme="minorEastAsia"/>
          <w:color w:val="auto"/>
          <w:kern w:val="2"/>
          <w:sz w:val="24"/>
          <w:szCs w:val="24"/>
          <w:lang w:eastAsia="zh-CN"/>
        </w:rPr>
      </w:pPr>
      <w:r>
        <w:rPr>
          <w:rFonts w:hint="eastAsia" w:asciiTheme="minorEastAsia" w:hAnsiTheme="minorEastAsia" w:eastAsiaTheme="minorEastAsia" w:cstheme="minorEastAsia"/>
          <w:color w:val="auto"/>
          <w:kern w:val="2"/>
          <w:sz w:val="24"/>
          <w:szCs w:val="24"/>
        </w:rPr>
        <w:t>电话：</w:t>
      </w:r>
      <w:r>
        <w:rPr>
          <w:rFonts w:hint="eastAsia" w:asciiTheme="minorEastAsia" w:hAnsiTheme="minorEastAsia" w:cstheme="minorEastAsia"/>
          <w:color w:val="auto"/>
          <w:kern w:val="2"/>
          <w:sz w:val="24"/>
          <w:szCs w:val="24"/>
          <w:lang w:eastAsia="zh-CN"/>
        </w:rPr>
        <w:t>0752-－2282156</w:t>
      </w:r>
    </w:p>
    <w:p>
      <w:pPr>
        <w:keepNext w:val="0"/>
        <w:keepLines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kern w:val="2"/>
          <w:sz w:val="24"/>
          <w:szCs w:val="24"/>
        </w:rPr>
      </w:pPr>
    </w:p>
    <w:p>
      <w:pPr>
        <w:keepNext w:val="0"/>
        <w:keepLines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kern w:val="2"/>
          <w:sz w:val="24"/>
          <w:szCs w:val="24"/>
        </w:rPr>
      </w:pPr>
    </w:p>
    <w:p>
      <w:pPr>
        <w:keepNext w:val="0"/>
        <w:keepLines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kern w:val="2"/>
          <w:sz w:val="24"/>
          <w:szCs w:val="24"/>
        </w:rPr>
      </w:pPr>
    </w:p>
    <w:p>
      <w:pPr>
        <w:keepNext w:val="0"/>
        <w:keepLines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kern w:val="2"/>
          <w:sz w:val="24"/>
          <w:szCs w:val="24"/>
        </w:rPr>
      </w:pPr>
    </w:p>
    <w:p>
      <w:pPr>
        <w:keepNext w:val="0"/>
        <w:keepLines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kern w:val="2"/>
          <w:sz w:val="24"/>
          <w:szCs w:val="24"/>
        </w:rPr>
      </w:pPr>
    </w:p>
    <w:p>
      <w:pPr>
        <w:keepNext w:val="0"/>
        <w:keepLines w:val="0"/>
        <w:widowControl w:val="0"/>
        <w:kinsoku/>
        <w:wordWrap/>
        <w:overflowPunct/>
        <w:topLinePunct w:val="0"/>
        <w:autoSpaceDE/>
        <w:autoSpaceDN/>
        <w:bidi w:val="0"/>
        <w:adjustRightInd/>
        <w:snapToGrid/>
        <w:spacing w:line="240" w:lineRule="auto"/>
        <w:ind w:firstLine="4800" w:firstLineChars="2000"/>
        <w:textAlignment w:val="auto"/>
        <w:rPr>
          <w:rFonts w:hint="eastAsia" w:asciiTheme="minorEastAsia" w:hAnsiTheme="minorEastAsia" w:cstheme="minorEastAsia"/>
          <w:color w:val="auto"/>
          <w:kern w:val="2"/>
          <w:sz w:val="24"/>
          <w:szCs w:val="24"/>
          <w:lang w:eastAsia="zh-CN"/>
        </w:rPr>
      </w:pPr>
      <w:r>
        <w:rPr>
          <w:rFonts w:hint="eastAsia" w:asciiTheme="minorEastAsia" w:hAnsiTheme="minorEastAsia" w:eastAsiaTheme="minorEastAsia" w:cstheme="minorEastAsia"/>
          <w:color w:val="auto"/>
          <w:kern w:val="2"/>
          <w:sz w:val="24"/>
          <w:szCs w:val="24"/>
        </w:rPr>
        <w:t>采购代理机构：</w:t>
      </w:r>
      <w:r>
        <w:rPr>
          <w:rFonts w:hint="eastAsia" w:asciiTheme="minorEastAsia" w:hAnsiTheme="minorEastAsia" w:cstheme="minorEastAsia"/>
          <w:color w:val="auto"/>
          <w:kern w:val="2"/>
          <w:sz w:val="24"/>
          <w:szCs w:val="24"/>
          <w:lang w:eastAsia="zh-CN"/>
        </w:rPr>
        <w:t>惠州市懿鑫招标代理有限公司</w:t>
      </w:r>
    </w:p>
    <w:p>
      <w:pPr>
        <w:jc w:val="center"/>
        <w:rPr>
          <w:rFonts w:hint="eastAsia" w:asciiTheme="minorEastAsia" w:hAnsiTheme="minorEastAsia" w:cstheme="minorEastAsia"/>
          <w:color w:val="auto"/>
          <w:kern w:val="2"/>
          <w:sz w:val="24"/>
          <w:szCs w:val="24"/>
          <w:lang w:val="en-US" w:eastAsia="zh-CN"/>
        </w:rPr>
        <w:sectPr>
          <w:pgSz w:w="11906" w:h="16838"/>
          <w:pgMar w:top="1440" w:right="1080" w:bottom="1440" w:left="1080" w:header="851" w:footer="992" w:gutter="0"/>
          <w:cols w:space="425" w:num="1"/>
          <w:docGrid w:type="lines" w:linePitch="312" w:charSpace="0"/>
        </w:sectPr>
      </w:pPr>
      <w:r>
        <w:rPr>
          <w:rFonts w:hint="eastAsia" w:asciiTheme="minorEastAsia" w:hAnsiTheme="minorEastAsia" w:cstheme="minorEastAsia"/>
          <w:color w:val="auto"/>
          <w:kern w:val="2"/>
          <w:sz w:val="24"/>
          <w:szCs w:val="24"/>
          <w:lang w:val="en-US" w:eastAsia="zh-CN"/>
        </w:rPr>
        <w:t xml:space="preserve">                                     日期：2024年05月08日</w:t>
      </w:r>
    </w:p>
    <w:p>
      <w:pPr>
        <w:pStyle w:val="8"/>
        <w:tabs>
          <w:tab w:val="left" w:pos="3335"/>
          <w:tab w:val="center" w:pos="5200"/>
        </w:tabs>
        <w:spacing w:line="480" w:lineRule="exact"/>
        <w:jc w:val="center"/>
        <w:rPr>
          <w:rFonts w:hint="eastAsia" w:ascii="Times New Roman" w:hAnsi="Times New Roman" w:cs="Times New Roman"/>
          <w:b/>
          <w:bCs/>
          <w:sz w:val="32"/>
          <w:szCs w:val="32"/>
        </w:rPr>
      </w:pPr>
      <w:r>
        <w:rPr>
          <w:rFonts w:ascii="Times New Roman" w:hAnsi="Times New Roman" w:cs="Times New Roman"/>
          <w:b/>
          <w:bCs/>
          <w:sz w:val="32"/>
          <w:szCs w:val="32"/>
        </w:rPr>
        <w:t>采购</w:t>
      </w:r>
      <w:r>
        <w:rPr>
          <w:rFonts w:hint="eastAsia" w:ascii="Times New Roman" w:hAnsi="Times New Roman" w:cs="Times New Roman"/>
          <w:b/>
          <w:bCs/>
          <w:sz w:val="32"/>
          <w:szCs w:val="32"/>
          <w:lang w:val="en-US" w:eastAsia="zh-CN"/>
        </w:rPr>
        <w:t>项目</w:t>
      </w:r>
      <w:bookmarkStart w:id="6" w:name="_GoBack"/>
      <w:bookmarkEnd w:id="6"/>
      <w:r>
        <w:rPr>
          <w:rFonts w:ascii="Times New Roman" w:hAnsi="Times New Roman" w:cs="Times New Roman"/>
          <w:b/>
          <w:bCs/>
          <w:sz w:val="32"/>
          <w:szCs w:val="32"/>
        </w:rPr>
        <w:t>投标报名</w:t>
      </w:r>
    </w:p>
    <w:tbl>
      <w:tblPr>
        <w:tblStyle w:val="14"/>
        <w:tblpPr w:leftFromText="180" w:rightFromText="180" w:vertAnchor="page" w:horzAnchor="page" w:tblpX="1695" w:tblpY="2619"/>
        <w:tblOverlap w:val="never"/>
        <w:tblW w:w="93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1811"/>
        <w:gridCol w:w="1456"/>
        <w:gridCol w:w="2325"/>
        <w:gridCol w:w="2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2550" w:type="dxa"/>
            <w:gridSpan w:val="2"/>
            <w:noWrap w:val="0"/>
            <w:vAlign w:val="top"/>
          </w:tcPr>
          <w:p>
            <w:pPr>
              <w:spacing w:line="600" w:lineRule="exact"/>
              <w:jc w:val="center"/>
              <w:rPr>
                <w:sz w:val="28"/>
                <w:szCs w:val="28"/>
              </w:rPr>
            </w:pPr>
            <w:r>
              <w:rPr>
                <w:rFonts w:hAnsi="宋体"/>
                <w:sz w:val="28"/>
                <w:szCs w:val="28"/>
              </w:rPr>
              <w:t>采购项目编号</w:t>
            </w:r>
          </w:p>
        </w:tc>
        <w:tc>
          <w:tcPr>
            <w:tcW w:w="6773" w:type="dxa"/>
            <w:gridSpan w:val="3"/>
            <w:noWrap w:val="0"/>
            <w:vAlign w:val="top"/>
          </w:tcPr>
          <w:p>
            <w:pPr>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2550" w:type="dxa"/>
            <w:gridSpan w:val="2"/>
            <w:noWrap w:val="0"/>
            <w:vAlign w:val="top"/>
          </w:tcPr>
          <w:p>
            <w:pPr>
              <w:spacing w:line="600" w:lineRule="exact"/>
              <w:jc w:val="center"/>
              <w:rPr>
                <w:sz w:val="28"/>
                <w:szCs w:val="28"/>
              </w:rPr>
            </w:pPr>
            <w:r>
              <w:rPr>
                <w:rFonts w:hAnsi="宋体"/>
                <w:sz w:val="28"/>
                <w:szCs w:val="28"/>
              </w:rPr>
              <w:t>采购项目名称</w:t>
            </w:r>
          </w:p>
        </w:tc>
        <w:tc>
          <w:tcPr>
            <w:tcW w:w="6773" w:type="dxa"/>
            <w:gridSpan w:val="3"/>
            <w:noWrap w:val="0"/>
            <w:vAlign w:val="top"/>
          </w:tcPr>
          <w:p>
            <w:pPr>
              <w:spacing w:line="600" w:lineRule="auto"/>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739" w:type="dxa"/>
            <w:vMerge w:val="restart"/>
            <w:noWrap w:val="0"/>
            <w:vAlign w:val="top"/>
          </w:tcPr>
          <w:p>
            <w:pPr>
              <w:jc w:val="center"/>
              <w:rPr>
                <w:rFonts w:hAnsi="宋体"/>
                <w:sz w:val="28"/>
                <w:szCs w:val="28"/>
              </w:rPr>
            </w:pPr>
          </w:p>
          <w:p>
            <w:pPr>
              <w:jc w:val="center"/>
              <w:rPr>
                <w:rFonts w:hAnsi="宋体"/>
                <w:sz w:val="28"/>
                <w:szCs w:val="28"/>
              </w:rPr>
            </w:pPr>
          </w:p>
          <w:p>
            <w:pPr>
              <w:jc w:val="center"/>
              <w:rPr>
                <w:rFonts w:hAnsi="宋体"/>
                <w:sz w:val="28"/>
                <w:szCs w:val="28"/>
              </w:rPr>
            </w:pPr>
          </w:p>
          <w:p>
            <w:pPr>
              <w:jc w:val="center"/>
              <w:rPr>
                <w:rFonts w:hAnsi="宋体"/>
                <w:sz w:val="28"/>
                <w:szCs w:val="28"/>
              </w:rPr>
            </w:pPr>
          </w:p>
          <w:p>
            <w:pPr>
              <w:jc w:val="center"/>
              <w:rPr>
                <w:sz w:val="28"/>
                <w:szCs w:val="28"/>
              </w:rPr>
            </w:pPr>
            <w:r>
              <w:rPr>
                <w:rFonts w:hAnsi="宋体"/>
                <w:sz w:val="28"/>
                <w:szCs w:val="28"/>
              </w:rPr>
              <w:t>供应商资料</w:t>
            </w:r>
          </w:p>
        </w:tc>
        <w:tc>
          <w:tcPr>
            <w:tcW w:w="1811" w:type="dxa"/>
            <w:noWrap w:val="0"/>
            <w:vAlign w:val="top"/>
          </w:tcPr>
          <w:p>
            <w:pPr>
              <w:spacing w:line="600" w:lineRule="exact"/>
              <w:jc w:val="center"/>
              <w:rPr>
                <w:sz w:val="28"/>
                <w:szCs w:val="28"/>
              </w:rPr>
            </w:pPr>
            <w:r>
              <w:rPr>
                <w:rFonts w:hAnsi="宋体"/>
                <w:sz w:val="28"/>
                <w:szCs w:val="28"/>
              </w:rPr>
              <w:t>供应商名称</w:t>
            </w:r>
          </w:p>
        </w:tc>
        <w:tc>
          <w:tcPr>
            <w:tcW w:w="6773" w:type="dxa"/>
            <w:gridSpan w:val="3"/>
            <w:noWrap w:val="0"/>
            <w:vAlign w:val="top"/>
          </w:tcPr>
          <w:p>
            <w:pPr>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739" w:type="dxa"/>
            <w:vMerge w:val="continue"/>
            <w:noWrap w:val="0"/>
            <w:vAlign w:val="top"/>
          </w:tcPr>
          <w:p>
            <w:pPr>
              <w:jc w:val="center"/>
              <w:rPr>
                <w:sz w:val="28"/>
                <w:szCs w:val="28"/>
              </w:rPr>
            </w:pPr>
          </w:p>
        </w:tc>
        <w:tc>
          <w:tcPr>
            <w:tcW w:w="1811" w:type="dxa"/>
            <w:noWrap w:val="0"/>
            <w:vAlign w:val="top"/>
          </w:tcPr>
          <w:p>
            <w:pPr>
              <w:spacing w:line="600" w:lineRule="exact"/>
              <w:jc w:val="center"/>
              <w:rPr>
                <w:sz w:val="28"/>
                <w:szCs w:val="28"/>
              </w:rPr>
            </w:pPr>
            <w:r>
              <w:rPr>
                <w:rFonts w:hAnsi="宋体"/>
                <w:sz w:val="28"/>
                <w:szCs w:val="28"/>
              </w:rPr>
              <w:t>地</w:t>
            </w:r>
            <w:r>
              <w:rPr>
                <w:sz w:val="28"/>
                <w:szCs w:val="28"/>
              </w:rPr>
              <w:t xml:space="preserve">  </w:t>
            </w:r>
            <w:r>
              <w:rPr>
                <w:rFonts w:hAnsi="宋体"/>
                <w:sz w:val="28"/>
                <w:szCs w:val="28"/>
              </w:rPr>
              <w:t>址</w:t>
            </w:r>
          </w:p>
        </w:tc>
        <w:tc>
          <w:tcPr>
            <w:tcW w:w="6773" w:type="dxa"/>
            <w:gridSpan w:val="3"/>
            <w:noWrap w:val="0"/>
            <w:vAlign w:val="top"/>
          </w:tcPr>
          <w:p>
            <w:pPr>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739" w:type="dxa"/>
            <w:vMerge w:val="continue"/>
            <w:noWrap w:val="0"/>
            <w:vAlign w:val="top"/>
          </w:tcPr>
          <w:p>
            <w:pPr>
              <w:jc w:val="center"/>
              <w:rPr>
                <w:sz w:val="28"/>
                <w:szCs w:val="28"/>
              </w:rPr>
            </w:pPr>
          </w:p>
        </w:tc>
        <w:tc>
          <w:tcPr>
            <w:tcW w:w="1811" w:type="dxa"/>
            <w:noWrap w:val="0"/>
            <w:vAlign w:val="top"/>
          </w:tcPr>
          <w:p>
            <w:pPr>
              <w:spacing w:line="600" w:lineRule="exact"/>
              <w:jc w:val="center"/>
              <w:rPr>
                <w:sz w:val="28"/>
                <w:szCs w:val="28"/>
              </w:rPr>
            </w:pPr>
            <w:r>
              <w:rPr>
                <w:rFonts w:hAnsi="宋体"/>
                <w:sz w:val="28"/>
                <w:szCs w:val="28"/>
              </w:rPr>
              <w:t>经营范围</w:t>
            </w:r>
          </w:p>
        </w:tc>
        <w:tc>
          <w:tcPr>
            <w:tcW w:w="6773" w:type="dxa"/>
            <w:gridSpan w:val="3"/>
            <w:noWrap w:val="0"/>
            <w:vAlign w:val="top"/>
          </w:tcPr>
          <w:p>
            <w:pPr>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739" w:type="dxa"/>
            <w:vMerge w:val="continue"/>
            <w:noWrap w:val="0"/>
            <w:vAlign w:val="top"/>
          </w:tcPr>
          <w:p>
            <w:pPr>
              <w:jc w:val="center"/>
              <w:rPr>
                <w:sz w:val="28"/>
                <w:szCs w:val="28"/>
              </w:rPr>
            </w:pPr>
          </w:p>
        </w:tc>
        <w:tc>
          <w:tcPr>
            <w:tcW w:w="1811" w:type="dxa"/>
            <w:noWrap w:val="0"/>
            <w:vAlign w:val="top"/>
          </w:tcPr>
          <w:p>
            <w:pPr>
              <w:spacing w:line="600" w:lineRule="exact"/>
              <w:jc w:val="center"/>
              <w:rPr>
                <w:sz w:val="28"/>
                <w:szCs w:val="28"/>
              </w:rPr>
            </w:pPr>
            <w:r>
              <w:rPr>
                <w:rFonts w:hAnsi="宋体"/>
                <w:sz w:val="28"/>
                <w:szCs w:val="28"/>
              </w:rPr>
              <w:t>联系人</w:t>
            </w:r>
          </w:p>
        </w:tc>
        <w:tc>
          <w:tcPr>
            <w:tcW w:w="1456" w:type="dxa"/>
            <w:noWrap w:val="0"/>
            <w:vAlign w:val="top"/>
          </w:tcPr>
          <w:p>
            <w:pPr>
              <w:spacing w:line="600" w:lineRule="exact"/>
              <w:jc w:val="center"/>
              <w:rPr>
                <w:sz w:val="28"/>
                <w:szCs w:val="28"/>
              </w:rPr>
            </w:pPr>
            <w:r>
              <w:rPr>
                <w:rFonts w:hAnsi="宋体"/>
                <w:sz w:val="28"/>
                <w:szCs w:val="28"/>
              </w:rPr>
              <w:t>姓</w:t>
            </w:r>
            <w:r>
              <w:rPr>
                <w:sz w:val="28"/>
                <w:szCs w:val="28"/>
              </w:rPr>
              <w:t xml:space="preserve"> </w:t>
            </w:r>
            <w:r>
              <w:rPr>
                <w:rFonts w:hAnsi="宋体"/>
                <w:sz w:val="28"/>
                <w:szCs w:val="28"/>
              </w:rPr>
              <w:t>名</w:t>
            </w:r>
          </w:p>
        </w:tc>
        <w:tc>
          <w:tcPr>
            <w:tcW w:w="2325" w:type="dxa"/>
            <w:noWrap w:val="0"/>
            <w:vAlign w:val="top"/>
          </w:tcPr>
          <w:p>
            <w:pPr>
              <w:spacing w:line="600" w:lineRule="exact"/>
              <w:jc w:val="center"/>
              <w:rPr>
                <w:sz w:val="28"/>
                <w:szCs w:val="28"/>
              </w:rPr>
            </w:pPr>
            <w:r>
              <w:rPr>
                <w:rFonts w:hAnsi="宋体"/>
                <w:sz w:val="28"/>
                <w:szCs w:val="28"/>
              </w:rPr>
              <w:t>电</w:t>
            </w:r>
            <w:r>
              <w:rPr>
                <w:sz w:val="28"/>
                <w:szCs w:val="28"/>
              </w:rPr>
              <w:t xml:space="preserve"> </w:t>
            </w:r>
            <w:r>
              <w:rPr>
                <w:rFonts w:hAnsi="宋体"/>
                <w:sz w:val="28"/>
                <w:szCs w:val="28"/>
              </w:rPr>
              <w:t>话</w:t>
            </w:r>
          </w:p>
        </w:tc>
        <w:tc>
          <w:tcPr>
            <w:tcW w:w="2992" w:type="dxa"/>
            <w:noWrap w:val="0"/>
            <w:vAlign w:val="top"/>
          </w:tcPr>
          <w:p>
            <w:pPr>
              <w:spacing w:line="600" w:lineRule="exact"/>
              <w:jc w:val="center"/>
              <w:rPr>
                <w:sz w:val="28"/>
                <w:szCs w:val="28"/>
              </w:rPr>
            </w:pPr>
            <w:r>
              <w:rPr>
                <w:rFonts w:hAnsi="宋体"/>
                <w:sz w:val="28"/>
                <w:szCs w:val="28"/>
              </w:rPr>
              <w:t>移动电话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739" w:type="dxa"/>
            <w:vMerge w:val="continue"/>
            <w:noWrap w:val="0"/>
            <w:vAlign w:val="top"/>
          </w:tcPr>
          <w:p>
            <w:pPr>
              <w:jc w:val="center"/>
              <w:rPr>
                <w:sz w:val="28"/>
                <w:szCs w:val="28"/>
              </w:rPr>
            </w:pPr>
          </w:p>
        </w:tc>
        <w:tc>
          <w:tcPr>
            <w:tcW w:w="1811" w:type="dxa"/>
            <w:noWrap w:val="0"/>
            <w:vAlign w:val="top"/>
          </w:tcPr>
          <w:p>
            <w:pPr>
              <w:jc w:val="center"/>
              <w:rPr>
                <w:sz w:val="28"/>
                <w:szCs w:val="28"/>
              </w:rPr>
            </w:pPr>
          </w:p>
        </w:tc>
        <w:tc>
          <w:tcPr>
            <w:tcW w:w="1456" w:type="dxa"/>
            <w:noWrap w:val="0"/>
            <w:vAlign w:val="top"/>
          </w:tcPr>
          <w:p>
            <w:pPr>
              <w:spacing w:line="600" w:lineRule="auto"/>
              <w:jc w:val="center"/>
              <w:rPr>
                <w:sz w:val="28"/>
                <w:szCs w:val="28"/>
              </w:rPr>
            </w:pPr>
          </w:p>
        </w:tc>
        <w:tc>
          <w:tcPr>
            <w:tcW w:w="2325" w:type="dxa"/>
            <w:noWrap w:val="0"/>
            <w:vAlign w:val="top"/>
          </w:tcPr>
          <w:p>
            <w:pPr>
              <w:spacing w:line="600" w:lineRule="auto"/>
              <w:jc w:val="center"/>
              <w:rPr>
                <w:sz w:val="28"/>
                <w:szCs w:val="28"/>
              </w:rPr>
            </w:pPr>
          </w:p>
        </w:tc>
        <w:tc>
          <w:tcPr>
            <w:tcW w:w="2992" w:type="dxa"/>
            <w:noWrap w:val="0"/>
            <w:vAlign w:val="top"/>
          </w:tcPr>
          <w:p>
            <w:pPr>
              <w:spacing w:line="600" w:lineRule="auto"/>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739" w:type="dxa"/>
            <w:vMerge w:val="continue"/>
            <w:noWrap w:val="0"/>
            <w:vAlign w:val="top"/>
          </w:tcPr>
          <w:p>
            <w:pPr>
              <w:jc w:val="center"/>
              <w:rPr>
                <w:sz w:val="28"/>
                <w:szCs w:val="28"/>
              </w:rPr>
            </w:pPr>
          </w:p>
        </w:tc>
        <w:tc>
          <w:tcPr>
            <w:tcW w:w="1811" w:type="dxa"/>
            <w:noWrap w:val="0"/>
            <w:vAlign w:val="top"/>
          </w:tcPr>
          <w:p>
            <w:pPr>
              <w:spacing w:line="600" w:lineRule="exact"/>
              <w:jc w:val="center"/>
              <w:rPr>
                <w:sz w:val="28"/>
                <w:szCs w:val="28"/>
              </w:rPr>
            </w:pPr>
            <w:r>
              <w:rPr>
                <w:sz w:val="28"/>
                <w:szCs w:val="28"/>
              </w:rPr>
              <w:t>E-mail</w:t>
            </w:r>
          </w:p>
        </w:tc>
        <w:tc>
          <w:tcPr>
            <w:tcW w:w="1456" w:type="dxa"/>
            <w:noWrap w:val="0"/>
            <w:vAlign w:val="top"/>
          </w:tcPr>
          <w:p>
            <w:pPr>
              <w:spacing w:line="600" w:lineRule="exact"/>
              <w:jc w:val="center"/>
              <w:rPr>
                <w:sz w:val="28"/>
                <w:szCs w:val="28"/>
              </w:rPr>
            </w:pPr>
          </w:p>
        </w:tc>
        <w:tc>
          <w:tcPr>
            <w:tcW w:w="2325" w:type="dxa"/>
            <w:noWrap w:val="0"/>
            <w:vAlign w:val="top"/>
          </w:tcPr>
          <w:p>
            <w:pPr>
              <w:spacing w:line="600" w:lineRule="exact"/>
              <w:jc w:val="center"/>
              <w:rPr>
                <w:sz w:val="28"/>
                <w:szCs w:val="28"/>
              </w:rPr>
            </w:pPr>
            <w:r>
              <w:rPr>
                <w:rFonts w:hAnsi="宋体"/>
                <w:sz w:val="28"/>
                <w:szCs w:val="28"/>
              </w:rPr>
              <w:t>传真</w:t>
            </w:r>
          </w:p>
        </w:tc>
        <w:tc>
          <w:tcPr>
            <w:tcW w:w="2992" w:type="dxa"/>
            <w:noWrap w:val="0"/>
            <w:vAlign w:val="top"/>
          </w:tcPr>
          <w:p>
            <w:pPr>
              <w:spacing w:line="600" w:lineRule="exact"/>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739" w:type="dxa"/>
            <w:vMerge w:val="continue"/>
            <w:noWrap w:val="0"/>
            <w:vAlign w:val="top"/>
          </w:tcPr>
          <w:p>
            <w:pPr>
              <w:rPr>
                <w:sz w:val="28"/>
                <w:szCs w:val="28"/>
              </w:rPr>
            </w:pPr>
          </w:p>
        </w:tc>
        <w:tc>
          <w:tcPr>
            <w:tcW w:w="8584" w:type="dxa"/>
            <w:gridSpan w:val="4"/>
            <w:noWrap w:val="0"/>
            <w:vAlign w:val="top"/>
          </w:tcPr>
          <w:p>
            <w:pPr>
              <w:spacing w:line="600" w:lineRule="exact"/>
              <w:rPr>
                <w:sz w:val="28"/>
                <w:szCs w:val="28"/>
              </w:rPr>
            </w:pPr>
            <w:r>
              <w:rPr>
                <w:rFonts w:hAnsi="宋体"/>
                <w:sz w:val="28"/>
                <w:szCs w:val="28"/>
              </w:rPr>
              <w:t>联系人签名：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9323" w:type="dxa"/>
            <w:gridSpan w:val="5"/>
            <w:noWrap w:val="0"/>
            <w:vAlign w:val="top"/>
          </w:tcPr>
          <w:p>
            <w:pPr>
              <w:spacing w:line="600" w:lineRule="exact"/>
              <w:jc w:val="right"/>
              <w:rPr>
                <w:sz w:val="28"/>
                <w:szCs w:val="28"/>
              </w:rPr>
            </w:pPr>
            <w:r>
              <w:rPr>
                <w:rFonts w:hAnsi="宋体"/>
                <w:sz w:val="28"/>
                <w:szCs w:val="28"/>
              </w:rPr>
              <w:t>递交日期：</w:t>
            </w:r>
            <w:r>
              <w:rPr>
                <w:sz w:val="28"/>
                <w:szCs w:val="28"/>
              </w:rPr>
              <w:t xml:space="preserve">    </w:t>
            </w:r>
            <w:r>
              <w:rPr>
                <w:rFonts w:hAnsi="宋体"/>
                <w:sz w:val="28"/>
                <w:szCs w:val="28"/>
              </w:rPr>
              <w:t>年</w:t>
            </w:r>
            <w:r>
              <w:rPr>
                <w:sz w:val="28"/>
                <w:szCs w:val="28"/>
              </w:rPr>
              <w:t xml:space="preserve">   </w:t>
            </w:r>
            <w:r>
              <w:rPr>
                <w:rFonts w:hAnsi="宋体"/>
                <w:sz w:val="28"/>
                <w:szCs w:val="28"/>
              </w:rPr>
              <w:t>月</w:t>
            </w:r>
            <w:r>
              <w:rPr>
                <w:sz w:val="28"/>
                <w:szCs w:val="28"/>
              </w:rPr>
              <w:t xml:space="preserve">   </w:t>
            </w:r>
            <w:r>
              <w:rPr>
                <w:rFonts w:hAnsi="宋体"/>
                <w:sz w:val="28"/>
                <w:szCs w:val="28"/>
              </w:rPr>
              <w:t>日</w:t>
            </w:r>
          </w:p>
        </w:tc>
      </w:tr>
    </w:tbl>
    <w:p>
      <w:pPr>
        <w:pStyle w:val="6"/>
        <w:rPr>
          <w:rFonts w:hint="eastAsia"/>
          <w:lang w:val="en-US" w:eastAsia="zh-Hans"/>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Rotis Sans Serif Pro ExtraBold">
    <w:altName w:val="宋体"/>
    <w:panose1 w:val="00000000000000000000"/>
    <w:charset w:val="86"/>
    <w:family w:val="roman"/>
    <w:pitch w:val="default"/>
    <w:sig w:usb0="00000000" w:usb1="00000000" w:usb2="00000010" w:usb3="00000000" w:csb0="00040001"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gwZjFiYjE1Mjk0YWQ4ZmU1YWVlMzhjODgzZmRjZDEifQ=="/>
  </w:docVars>
  <w:rsids>
    <w:rsidRoot w:val="53B52B8D"/>
    <w:rsid w:val="06CC65DB"/>
    <w:rsid w:val="111F4D85"/>
    <w:rsid w:val="11DB47D5"/>
    <w:rsid w:val="177F50ED"/>
    <w:rsid w:val="2F7C3C11"/>
    <w:rsid w:val="3A791A5E"/>
    <w:rsid w:val="3F572866"/>
    <w:rsid w:val="447945BC"/>
    <w:rsid w:val="53B52B8D"/>
    <w:rsid w:val="551D2817"/>
    <w:rsid w:val="59004157"/>
    <w:rsid w:val="5F8B2A98"/>
    <w:rsid w:val="6FA5220E"/>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6"/>
    <w:basedOn w:val="1"/>
    <w:next w:val="1"/>
    <w:unhideWhenUsed/>
    <w:qFormat/>
    <w:uiPriority w:val="0"/>
    <w:pPr>
      <w:keepNext/>
      <w:keepLines/>
      <w:spacing w:before="240" w:beforeLines="0" w:beforeAutospacing="0" w:after="64" w:afterLines="0" w:afterAutospacing="0" w:line="317" w:lineRule="auto"/>
      <w:outlineLvl w:val="5"/>
    </w:pPr>
    <w:rPr>
      <w:rFonts w:ascii="Arial" w:hAnsi="Arial" w:eastAsia="黑体"/>
      <w:b/>
      <w:sz w:val="24"/>
    </w:rPr>
  </w:style>
  <w:style w:type="character" w:default="1" w:styleId="16">
    <w:name w:val="Default Paragraph Font"/>
    <w:autoRedefine/>
    <w:semiHidden/>
    <w:qFormat/>
    <w:uiPriority w:val="0"/>
  </w:style>
  <w:style w:type="table" w:default="1" w:styleId="14">
    <w:name w:val="Normal Table"/>
    <w:autoRedefine/>
    <w:semiHidden/>
    <w:qFormat/>
    <w:uiPriority w:val="0"/>
    <w:tblPr>
      <w:tblCellMar>
        <w:top w:w="0" w:type="dxa"/>
        <w:left w:w="108" w:type="dxa"/>
        <w:bottom w:w="0" w:type="dxa"/>
        <w:right w:w="108" w:type="dxa"/>
      </w:tblCellMar>
    </w:tblPr>
  </w:style>
  <w:style w:type="paragraph" w:styleId="3">
    <w:name w:val="Normal Indent"/>
    <w:basedOn w:val="1"/>
    <w:next w:val="4"/>
    <w:autoRedefine/>
    <w:qFormat/>
    <w:uiPriority w:val="99"/>
    <w:pPr>
      <w:ind w:firstLine="420"/>
    </w:pPr>
  </w:style>
  <w:style w:type="paragraph" w:customStyle="1" w:styleId="4">
    <w:name w:val="Default"/>
    <w:next w:val="5"/>
    <w:autoRedefine/>
    <w:qFormat/>
    <w:uiPriority w:val="0"/>
    <w:pPr>
      <w:widowControl w:val="0"/>
      <w:autoSpaceDE w:val="0"/>
      <w:autoSpaceDN w:val="0"/>
      <w:adjustRightInd w:val="0"/>
    </w:pPr>
    <w:rPr>
      <w:rFonts w:ascii="Rotis Sans Serif Pro ExtraBold" w:hAnsi="Times New Roman" w:eastAsia="Rotis Sans Serif Pro ExtraBold" w:cs="Rotis Sans Serif Pro ExtraBold"/>
      <w:color w:val="000000"/>
      <w:sz w:val="24"/>
      <w:szCs w:val="24"/>
      <w:lang w:val="en-US" w:eastAsia="zh-CN" w:bidi="ne-NP"/>
    </w:rPr>
  </w:style>
  <w:style w:type="paragraph" w:styleId="5">
    <w:name w:val="Intense Quote"/>
    <w:next w:val="1"/>
    <w:autoRedefine/>
    <w:qFormat/>
    <w:uiPriority w:val="0"/>
    <w:pPr>
      <w:wordWrap w:val="0"/>
      <w:spacing w:before="360" w:after="360"/>
      <w:ind w:left="950" w:right="950"/>
      <w:jc w:val="center"/>
    </w:pPr>
    <w:rPr>
      <w:rFonts w:ascii="Times New Roman" w:hAnsi="Times New Roman" w:eastAsia="宋体" w:cs="Times New Roman"/>
      <w:i/>
      <w:sz w:val="21"/>
      <w:lang w:val="en-US" w:eastAsia="zh-CN" w:bidi="ar-SA"/>
    </w:rPr>
  </w:style>
  <w:style w:type="paragraph" w:styleId="6">
    <w:name w:val="Body Text"/>
    <w:basedOn w:val="1"/>
    <w:next w:val="7"/>
    <w:autoRedefine/>
    <w:qFormat/>
    <w:uiPriority w:val="0"/>
    <w:pPr>
      <w:spacing w:after="120"/>
    </w:pPr>
  </w:style>
  <w:style w:type="paragraph" w:styleId="7">
    <w:name w:val="Body Text Indent"/>
    <w:basedOn w:val="1"/>
    <w:autoRedefine/>
    <w:qFormat/>
    <w:uiPriority w:val="99"/>
    <w:pPr>
      <w:ind w:firstLine="360"/>
    </w:pPr>
    <w:rPr>
      <w:rFonts w:ascii="Arial" w:hAnsi="Arial"/>
    </w:rPr>
  </w:style>
  <w:style w:type="paragraph" w:styleId="8">
    <w:name w:val="Plain Text"/>
    <w:basedOn w:val="1"/>
    <w:qFormat/>
    <w:uiPriority w:val="99"/>
    <w:rPr>
      <w:rFonts w:ascii="宋体" w:hAnsi="Courier New" w:cs="Courier New"/>
      <w:szCs w:val="21"/>
    </w:rPr>
  </w:style>
  <w:style w:type="paragraph" w:styleId="9">
    <w:name w:val="envelope return"/>
    <w:basedOn w:val="1"/>
    <w:autoRedefine/>
    <w:qFormat/>
    <w:uiPriority w:val="0"/>
    <w:pPr>
      <w:snapToGrid w:val="0"/>
    </w:pPr>
    <w:rPr>
      <w:rFonts w:ascii="Arial" w:hAnsi="Arial"/>
    </w:rPr>
  </w:style>
  <w:style w:type="paragraph" w:styleId="10">
    <w:name w:val="Subtitle"/>
    <w:basedOn w:val="1"/>
    <w:next w:val="1"/>
    <w:autoRedefine/>
    <w:qFormat/>
    <w:uiPriority w:val="0"/>
    <w:pPr>
      <w:spacing w:before="240" w:after="60" w:line="312" w:lineRule="auto"/>
      <w:jc w:val="center"/>
      <w:outlineLvl w:val="1"/>
    </w:pPr>
    <w:rPr>
      <w:rFonts w:ascii="Cambria" w:hAnsi="Cambria"/>
      <w:b/>
      <w:bCs/>
      <w:kern w:val="28"/>
      <w:szCs w:val="32"/>
    </w:rPr>
  </w:style>
  <w:style w:type="paragraph" w:styleId="11">
    <w:name w:val="Body Text First Indent"/>
    <w:basedOn w:val="6"/>
    <w:next w:val="12"/>
    <w:autoRedefine/>
    <w:qFormat/>
    <w:uiPriority w:val="0"/>
    <w:pPr>
      <w:ind w:firstLine="420" w:firstLineChars="100"/>
    </w:pPr>
  </w:style>
  <w:style w:type="paragraph" w:styleId="12">
    <w:name w:val="Body Text First Indent 2"/>
    <w:basedOn w:val="7"/>
    <w:next w:val="13"/>
    <w:autoRedefine/>
    <w:qFormat/>
    <w:uiPriority w:val="0"/>
    <w:pPr>
      <w:autoSpaceDE/>
      <w:autoSpaceDN/>
      <w:adjustRightInd/>
      <w:spacing w:after="120" w:line="240" w:lineRule="auto"/>
      <w:ind w:left="200" w:leftChars="200" w:firstLine="200" w:firstLineChars="200"/>
      <w:textAlignment w:val="auto"/>
    </w:pPr>
    <w:rPr>
      <w:rFonts w:ascii="Calibri" w:hAnsi="Calibri" w:eastAsia="宋体"/>
      <w:kern w:val="2"/>
      <w:sz w:val="21"/>
      <w:szCs w:val="22"/>
    </w:rPr>
  </w:style>
  <w:style w:type="paragraph" w:customStyle="1" w:styleId="13">
    <w:name w:val="样式 正文首行缩进 2 + Arial"/>
    <w:basedOn w:val="1"/>
    <w:next w:val="1"/>
    <w:autoRedefine/>
    <w:qFormat/>
    <w:uiPriority w:val="0"/>
    <w:pPr>
      <w:spacing w:before="100" w:beforeAutospacing="1" w:after="120" w:line="320" w:lineRule="atLeast"/>
      <w:ind w:firstLine="200" w:firstLineChars="200"/>
    </w:pPr>
    <w:rPr>
      <w:rFonts w:ascii="Arial" w:hAnsi="Arial" w:cs="Arial"/>
    </w:rPr>
  </w:style>
  <w:style w:type="table" w:styleId="15">
    <w:name w:val="Table Grid"/>
    <w:basedOn w:val="14"/>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
    <w:name w:val="Hyperlink"/>
    <w:basedOn w:val="16"/>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2289</Words>
  <Characters>2497</Characters>
  <Lines>0</Lines>
  <Paragraphs>0</Paragraphs>
  <TotalTime>0</TotalTime>
  <ScaleCrop>false</ScaleCrop>
  <LinksUpToDate>false</LinksUpToDate>
  <CharactersWithSpaces>2545</CharactersWithSpaces>
  <Application>WPS Office_12.1.0.16910_F1E327BC-269C-435d-A152-05C5408002CA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vivi</cp:lastModifiedBy>
  <dcterms:modified xsi:type="dcterms:W3CDTF">2024-05-08T10:14:47Z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2052-12.1.0.16910</vt:lpwstr>
  </property>
  <property fmtid="{D5CDD505-2E9C-101B-9397-08002B2CF9AE}" pid="3" name="ICV">
    <vt:lpwstr>00F0C369C21B47B6BCF608B8E3DC0F66_12</vt:lpwstr>
  </property>
</Properties>
</file>