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B36BFE">
      <w:pPr>
        <w:spacing w:line="360" w:lineRule="auto"/>
        <w:jc w:val="center"/>
        <w:outlineLvl w:val="0"/>
        <w:rPr>
          <w:rFonts w:hint="default" w:ascii="Times New Roman" w:hAnsi="Times New Roman" w:eastAsia="宋体" w:cs="Times New Roman"/>
          <w:b/>
          <w:sz w:val="36"/>
          <w:szCs w:val="36"/>
        </w:rPr>
      </w:pPr>
      <w:bookmarkStart w:id="0" w:name="_Toc99301424"/>
      <w:r>
        <w:rPr>
          <w:rFonts w:hint="default" w:ascii="Times New Roman" w:hAnsi="Times New Roman" w:eastAsia="宋体" w:cs="Times New Roman"/>
          <w:b/>
          <w:sz w:val="36"/>
          <w:szCs w:val="36"/>
        </w:rPr>
        <w:t>第五章   采购需求</w:t>
      </w:r>
      <w:bookmarkEnd w:id="0"/>
    </w:p>
    <w:p w14:paraId="60FE9F22">
      <w:pPr>
        <w:pStyle w:val="4"/>
        <w:spacing w:line="360" w:lineRule="auto"/>
        <w:ind w:firstLine="0" w:firstLineChars="0"/>
        <w:contextualSpacing/>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一、采购标的</w:t>
      </w:r>
    </w:p>
    <w:p w14:paraId="3D7330F7">
      <w:pPr>
        <w:rPr>
          <w:rFonts w:hint="default" w:ascii="Times New Roman" w:hAnsi="Times New Roman" w:eastAsia="宋体" w:cs="Times New Roman"/>
          <w:sz w:val="24"/>
        </w:rPr>
      </w:pPr>
      <w:r>
        <w:rPr>
          <w:rFonts w:hint="default" w:ascii="Times New Roman" w:hAnsi="Times New Roman" w:eastAsia="宋体" w:cs="Times New Roman"/>
          <w:sz w:val="24"/>
        </w:rPr>
        <w:t xml:space="preserve">01包：                                     </w:t>
      </w:r>
    </w:p>
    <w:tbl>
      <w:tblPr>
        <w:tblStyle w:val="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1644"/>
        <w:gridCol w:w="4188"/>
        <w:gridCol w:w="816"/>
        <w:gridCol w:w="1464"/>
      </w:tblGrid>
      <w:tr w14:paraId="14445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dxa"/>
          </w:tcPr>
          <w:p w14:paraId="16FDCAEC">
            <w:pPr>
              <w:rPr>
                <w:rFonts w:hint="default" w:ascii="Times New Roman" w:hAnsi="Times New Roman" w:eastAsia="宋体" w:cs="Times New Roman"/>
                <w:sz w:val="24"/>
              </w:rPr>
            </w:pPr>
            <w:r>
              <w:rPr>
                <w:rFonts w:hint="default" w:ascii="Times New Roman" w:hAnsi="Times New Roman" w:eastAsia="宋体" w:cs="Times New Roman"/>
                <w:sz w:val="24"/>
              </w:rPr>
              <w:t>品目</w:t>
            </w:r>
          </w:p>
        </w:tc>
        <w:tc>
          <w:tcPr>
            <w:tcW w:w="1644" w:type="dxa"/>
          </w:tcPr>
          <w:p w14:paraId="44F7DEFD">
            <w:pPr>
              <w:jc w:val="center"/>
              <w:rPr>
                <w:rFonts w:hint="default" w:ascii="Times New Roman" w:hAnsi="Times New Roman" w:eastAsia="宋体" w:cs="Times New Roman"/>
                <w:sz w:val="24"/>
              </w:rPr>
            </w:pPr>
            <w:r>
              <w:rPr>
                <w:rFonts w:hint="default" w:ascii="Times New Roman" w:hAnsi="Times New Roman" w:eastAsia="宋体" w:cs="Times New Roman"/>
                <w:sz w:val="24"/>
              </w:rPr>
              <w:t>名称</w:t>
            </w:r>
          </w:p>
        </w:tc>
        <w:tc>
          <w:tcPr>
            <w:tcW w:w="4188" w:type="dxa"/>
          </w:tcPr>
          <w:p w14:paraId="5E62F865">
            <w:pPr>
              <w:jc w:val="center"/>
              <w:rPr>
                <w:rFonts w:hint="default" w:ascii="Times New Roman" w:hAnsi="Times New Roman" w:eastAsia="宋体" w:cs="Times New Roman"/>
                <w:sz w:val="24"/>
              </w:rPr>
            </w:pPr>
            <w:r>
              <w:rPr>
                <w:rFonts w:hint="default" w:ascii="Times New Roman" w:hAnsi="Times New Roman" w:eastAsia="宋体" w:cs="Times New Roman"/>
                <w:sz w:val="24"/>
              </w:rPr>
              <w:t>技术参数</w:t>
            </w:r>
          </w:p>
        </w:tc>
        <w:tc>
          <w:tcPr>
            <w:tcW w:w="816" w:type="dxa"/>
          </w:tcPr>
          <w:p w14:paraId="10DD9139">
            <w:pPr>
              <w:jc w:val="center"/>
              <w:rPr>
                <w:rFonts w:hint="default" w:ascii="Times New Roman" w:hAnsi="Times New Roman" w:eastAsia="宋体" w:cs="Times New Roman"/>
                <w:sz w:val="24"/>
              </w:rPr>
            </w:pPr>
            <w:r>
              <w:rPr>
                <w:rFonts w:hint="default" w:ascii="Times New Roman" w:hAnsi="Times New Roman" w:eastAsia="宋体" w:cs="Times New Roman"/>
                <w:sz w:val="24"/>
              </w:rPr>
              <w:t>数量</w:t>
            </w:r>
          </w:p>
        </w:tc>
        <w:tc>
          <w:tcPr>
            <w:tcW w:w="1464" w:type="dxa"/>
          </w:tcPr>
          <w:p w14:paraId="1167CE63">
            <w:pPr>
              <w:jc w:val="center"/>
              <w:rPr>
                <w:rFonts w:hint="default" w:ascii="Times New Roman" w:hAnsi="Times New Roman" w:eastAsia="宋体" w:cs="Times New Roman"/>
                <w:sz w:val="24"/>
              </w:rPr>
            </w:pPr>
            <w:r>
              <w:rPr>
                <w:rFonts w:hint="default" w:ascii="Times New Roman" w:hAnsi="Times New Roman" w:eastAsia="宋体" w:cs="Times New Roman"/>
                <w:sz w:val="24"/>
              </w:rPr>
              <w:t>备注</w:t>
            </w:r>
          </w:p>
        </w:tc>
      </w:tr>
      <w:tr w14:paraId="47992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dxa"/>
            <w:vAlign w:val="center"/>
          </w:tcPr>
          <w:p w14:paraId="7A339AB0">
            <w:pPr>
              <w:jc w:val="center"/>
              <w:rPr>
                <w:rFonts w:hint="default" w:ascii="Times New Roman" w:hAnsi="Times New Roman" w:eastAsia="宋体" w:cs="Times New Roman"/>
                <w:sz w:val="24"/>
              </w:rPr>
            </w:pPr>
            <w:r>
              <w:rPr>
                <w:rFonts w:hint="default" w:ascii="Times New Roman" w:hAnsi="Times New Roman" w:eastAsia="宋体" w:cs="Times New Roman"/>
                <w:sz w:val="24"/>
              </w:rPr>
              <w:t>1</w:t>
            </w:r>
          </w:p>
        </w:tc>
        <w:tc>
          <w:tcPr>
            <w:tcW w:w="1644" w:type="dxa"/>
            <w:vAlign w:val="center"/>
          </w:tcPr>
          <w:p w14:paraId="73CFF210">
            <w:pPr>
              <w:jc w:val="center"/>
              <w:rPr>
                <w:rFonts w:hint="default" w:ascii="Times New Roman" w:hAnsi="Times New Roman" w:eastAsia="宋体" w:cs="Times New Roman"/>
                <w:sz w:val="24"/>
              </w:rPr>
            </w:pPr>
            <w:r>
              <w:rPr>
                <w:rFonts w:hint="default" w:ascii="Times New Roman" w:hAnsi="Times New Roman" w:eastAsia="宋体" w:cs="Times New Roman"/>
                <w:sz w:val="24"/>
              </w:rPr>
              <w:t>2025级2+2国际本科项目马来西亚泰莱大学项目合作办学机构</w:t>
            </w:r>
          </w:p>
        </w:tc>
        <w:tc>
          <w:tcPr>
            <w:tcW w:w="4188" w:type="dxa"/>
          </w:tcPr>
          <w:p w14:paraId="27D35185">
            <w:pPr>
              <w:jc w:val="left"/>
              <w:rPr>
                <w:rFonts w:hint="default" w:ascii="Times New Roman" w:hAnsi="Times New Roman" w:eastAsia="宋体" w:cs="Times New Roman"/>
                <w:sz w:val="24"/>
              </w:rPr>
            </w:pPr>
            <w:r>
              <w:rPr>
                <w:rFonts w:hint="default" w:ascii="Times New Roman" w:hAnsi="Times New Roman" w:eastAsia="宋体" w:cs="Times New Roman"/>
                <w:sz w:val="24"/>
              </w:rPr>
              <w:t>1.</w:t>
            </w:r>
            <w:r>
              <w:rPr>
                <w:rFonts w:hint="default" w:ascii="Times New Roman" w:hAnsi="Times New Roman" w:eastAsia="宋体" w:cs="Times New Roman"/>
                <w:sz w:val="24"/>
              </w:rPr>
              <w:tab/>
            </w:r>
            <w:r>
              <w:rPr>
                <w:rFonts w:hint="default" w:ascii="Times New Roman" w:hAnsi="Times New Roman" w:eastAsia="宋体" w:cs="Times New Roman"/>
                <w:sz w:val="24"/>
              </w:rPr>
              <w:t>获得马来西亚泰莱大学的合作办学代理授权。</w:t>
            </w:r>
          </w:p>
          <w:p w14:paraId="7CF2D9BD">
            <w:pPr>
              <w:jc w:val="left"/>
              <w:rPr>
                <w:rFonts w:hint="default" w:ascii="Times New Roman" w:hAnsi="Times New Roman" w:eastAsia="宋体" w:cs="Times New Roman"/>
                <w:sz w:val="24"/>
              </w:rPr>
            </w:pPr>
            <w:r>
              <w:rPr>
                <w:rFonts w:hint="default" w:ascii="Times New Roman" w:hAnsi="Times New Roman" w:eastAsia="宋体" w:cs="Times New Roman"/>
                <w:sz w:val="24"/>
              </w:rPr>
              <w:t>2.</w:t>
            </w:r>
            <w:r>
              <w:rPr>
                <w:rFonts w:hint="default" w:ascii="Times New Roman" w:hAnsi="Times New Roman" w:eastAsia="宋体" w:cs="Times New Roman"/>
                <w:sz w:val="24"/>
              </w:rPr>
              <w:tab/>
            </w:r>
            <w:r>
              <w:rPr>
                <w:rFonts w:hint="default" w:ascii="Times New Roman" w:hAnsi="Times New Roman" w:eastAsia="宋体" w:cs="Times New Roman"/>
                <w:sz w:val="24"/>
              </w:rPr>
              <w:t>协助学校取得泰莱大学课程确认函，提供课程方案，确保学分互认。</w:t>
            </w:r>
          </w:p>
          <w:p w14:paraId="264FEAAB">
            <w:pPr>
              <w:jc w:val="left"/>
              <w:rPr>
                <w:rFonts w:hint="default" w:ascii="Times New Roman" w:hAnsi="Times New Roman" w:eastAsia="宋体" w:cs="Times New Roman"/>
                <w:sz w:val="24"/>
              </w:rPr>
            </w:pPr>
            <w:r>
              <w:rPr>
                <w:rFonts w:hint="default" w:ascii="Times New Roman" w:hAnsi="Times New Roman" w:eastAsia="宋体" w:cs="Times New Roman"/>
                <w:sz w:val="24"/>
              </w:rPr>
              <w:t>3.</w:t>
            </w:r>
            <w:r>
              <w:rPr>
                <w:rFonts w:hint="default" w:ascii="Times New Roman" w:hAnsi="Times New Roman" w:eastAsia="宋体" w:cs="Times New Roman"/>
                <w:sz w:val="24"/>
              </w:rPr>
              <w:tab/>
            </w:r>
            <w:r>
              <w:rPr>
                <w:rFonts w:hint="default" w:ascii="Times New Roman" w:hAnsi="Times New Roman" w:eastAsia="宋体" w:cs="Times New Roman"/>
                <w:sz w:val="24"/>
              </w:rPr>
              <w:t>配备参与教学实施的工作人员，协助学校开展教学辅助工作，向学校提供客观准确的教学实施过程记录等材料。</w:t>
            </w:r>
          </w:p>
          <w:p w14:paraId="61897685">
            <w:pPr>
              <w:jc w:val="left"/>
              <w:rPr>
                <w:rFonts w:hint="default" w:ascii="Times New Roman" w:hAnsi="Times New Roman" w:eastAsia="宋体" w:cs="Times New Roman"/>
                <w:sz w:val="24"/>
              </w:rPr>
            </w:pPr>
            <w:r>
              <w:rPr>
                <w:rFonts w:hint="default" w:ascii="Times New Roman" w:hAnsi="Times New Roman" w:eastAsia="宋体" w:cs="Times New Roman"/>
                <w:sz w:val="24"/>
              </w:rPr>
              <w:t>4.派遣员工协助学校进行学生日常管理工作，完成全流程家校沟通工作。</w:t>
            </w:r>
          </w:p>
          <w:p w14:paraId="0586125C">
            <w:pPr>
              <w:tabs>
                <w:tab w:val="left" w:pos="312"/>
              </w:tabs>
              <w:rPr>
                <w:rFonts w:hint="default" w:ascii="Times New Roman" w:hAnsi="Times New Roman" w:eastAsia="宋体" w:cs="Times New Roman"/>
                <w:sz w:val="24"/>
              </w:rPr>
            </w:pPr>
            <w:r>
              <w:rPr>
                <w:rFonts w:hint="default" w:ascii="Times New Roman" w:hAnsi="Times New Roman" w:eastAsia="宋体" w:cs="Times New Roman"/>
                <w:sz w:val="24"/>
              </w:rPr>
              <w:t>5.具备留学服务中介资质，为项目学生提供出国申请服务，保证学生申请成功率95%以上。</w:t>
            </w:r>
          </w:p>
        </w:tc>
        <w:tc>
          <w:tcPr>
            <w:tcW w:w="816" w:type="dxa"/>
            <w:vAlign w:val="center"/>
          </w:tcPr>
          <w:p w14:paraId="0DBC1ABA">
            <w:pPr>
              <w:jc w:val="center"/>
              <w:rPr>
                <w:rFonts w:hint="default" w:ascii="Times New Roman" w:hAnsi="Times New Roman" w:eastAsia="宋体" w:cs="Times New Roman"/>
                <w:sz w:val="24"/>
              </w:rPr>
            </w:pPr>
            <w:r>
              <w:rPr>
                <w:rFonts w:hint="default" w:ascii="Times New Roman" w:hAnsi="Times New Roman" w:eastAsia="宋体" w:cs="Times New Roman"/>
                <w:sz w:val="24"/>
              </w:rPr>
              <w:t>1</w:t>
            </w:r>
          </w:p>
        </w:tc>
        <w:tc>
          <w:tcPr>
            <w:tcW w:w="1464" w:type="dxa"/>
            <w:vAlign w:val="center"/>
          </w:tcPr>
          <w:p w14:paraId="78D787C1">
            <w:pPr>
              <w:jc w:val="center"/>
              <w:rPr>
                <w:rFonts w:hint="eastAsia" w:ascii="Times New Roman" w:hAnsi="Times New Roman" w:eastAsia="宋体" w:cs="Times New Roman"/>
                <w:sz w:val="24"/>
                <w:lang w:val="en-US" w:eastAsia="zh-CN"/>
              </w:rPr>
            </w:pPr>
            <w:r>
              <w:rPr>
                <w:rFonts w:hint="eastAsia" w:cs="Times New Roman"/>
                <w:sz w:val="24"/>
                <w:lang w:val="en-US" w:eastAsia="zh-CN"/>
              </w:rPr>
              <w:t>/</w:t>
            </w:r>
          </w:p>
        </w:tc>
      </w:tr>
    </w:tbl>
    <w:p w14:paraId="67DE70BB">
      <w:pPr>
        <w:rPr>
          <w:rFonts w:hint="default" w:ascii="Times New Roman" w:hAnsi="Times New Roman" w:eastAsia="宋体" w:cs="Times New Roman"/>
          <w:sz w:val="24"/>
        </w:rPr>
      </w:pPr>
      <w:r>
        <w:rPr>
          <w:rFonts w:hint="default" w:ascii="Times New Roman" w:hAnsi="Times New Roman" w:eastAsia="宋体" w:cs="Times New Roman"/>
          <w:sz w:val="24"/>
        </w:rPr>
        <w:t>02包：</w:t>
      </w:r>
    </w:p>
    <w:tbl>
      <w:tblPr>
        <w:tblStyle w:val="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1656"/>
        <w:gridCol w:w="4200"/>
        <w:gridCol w:w="804"/>
        <w:gridCol w:w="1452"/>
      </w:tblGrid>
      <w:tr w14:paraId="307F3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dxa"/>
            <w:vAlign w:val="center"/>
          </w:tcPr>
          <w:p w14:paraId="11AFC3B9">
            <w:pPr>
              <w:jc w:val="center"/>
              <w:rPr>
                <w:rFonts w:hint="default" w:ascii="Times New Roman" w:hAnsi="Times New Roman" w:eastAsia="宋体" w:cs="Times New Roman"/>
                <w:sz w:val="24"/>
              </w:rPr>
            </w:pPr>
            <w:r>
              <w:rPr>
                <w:rFonts w:hint="default" w:ascii="Times New Roman" w:hAnsi="Times New Roman" w:eastAsia="宋体" w:cs="Times New Roman"/>
                <w:sz w:val="24"/>
              </w:rPr>
              <w:t>1</w:t>
            </w:r>
          </w:p>
        </w:tc>
        <w:tc>
          <w:tcPr>
            <w:tcW w:w="1656" w:type="dxa"/>
            <w:vAlign w:val="center"/>
          </w:tcPr>
          <w:p w14:paraId="58D8D61B">
            <w:pPr>
              <w:jc w:val="center"/>
              <w:rPr>
                <w:rFonts w:hint="default" w:ascii="Times New Roman" w:hAnsi="Times New Roman" w:eastAsia="宋体" w:cs="Times New Roman"/>
                <w:sz w:val="24"/>
              </w:rPr>
            </w:pPr>
            <w:r>
              <w:rPr>
                <w:rFonts w:hint="default" w:ascii="Times New Roman" w:hAnsi="Times New Roman" w:eastAsia="宋体" w:cs="Times New Roman"/>
                <w:sz w:val="24"/>
              </w:rPr>
              <w:t>2025级2+2国际本科项目英国南威尔士大学、西英格兰大学项目合作办学机构</w:t>
            </w:r>
          </w:p>
        </w:tc>
        <w:tc>
          <w:tcPr>
            <w:tcW w:w="4200" w:type="dxa"/>
          </w:tcPr>
          <w:p w14:paraId="6B062968">
            <w:pPr>
              <w:tabs>
                <w:tab w:val="left" w:pos="312"/>
              </w:tabs>
              <w:rPr>
                <w:rFonts w:hint="default" w:ascii="Times New Roman" w:hAnsi="Times New Roman" w:eastAsia="宋体" w:cs="Times New Roman"/>
                <w:sz w:val="24"/>
              </w:rPr>
            </w:pPr>
            <w:r>
              <w:rPr>
                <w:rFonts w:hint="default" w:ascii="Times New Roman" w:hAnsi="Times New Roman" w:eastAsia="宋体" w:cs="Times New Roman"/>
                <w:sz w:val="24"/>
              </w:rPr>
              <w:t>1.获得英国南威尔士大学、西英格兰大学的合作办学代理授权。</w:t>
            </w:r>
          </w:p>
          <w:p w14:paraId="2496F366">
            <w:pPr>
              <w:tabs>
                <w:tab w:val="left" w:pos="312"/>
              </w:tabs>
              <w:rPr>
                <w:rFonts w:hint="default" w:ascii="Times New Roman" w:hAnsi="Times New Roman" w:eastAsia="宋体" w:cs="Times New Roman"/>
                <w:sz w:val="24"/>
              </w:rPr>
            </w:pPr>
            <w:r>
              <w:rPr>
                <w:rFonts w:hint="default" w:ascii="Times New Roman" w:hAnsi="Times New Roman" w:eastAsia="宋体" w:cs="Times New Roman"/>
                <w:sz w:val="24"/>
              </w:rPr>
              <w:t>2.协助学校取得英国南威尔士大学、西英格兰大学的课程确认函，提供课程方案，确保学分互认。</w:t>
            </w:r>
          </w:p>
          <w:p w14:paraId="274E6E1B">
            <w:pPr>
              <w:tabs>
                <w:tab w:val="left" w:pos="312"/>
              </w:tabs>
              <w:rPr>
                <w:rFonts w:hint="default" w:ascii="Times New Roman" w:hAnsi="Times New Roman" w:eastAsia="宋体" w:cs="Times New Roman"/>
                <w:sz w:val="24"/>
              </w:rPr>
            </w:pPr>
            <w:r>
              <w:rPr>
                <w:rFonts w:hint="default" w:ascii="Times New Roman" w:hAnsi="Times New Roman" w:eastAsia="宋体" w:cs="Times New Roman"/>
                <w:sz w:val="24"/>
              </w:rPr>
              <w:t>3.配备参与教学实施的工作人员，协助学校开展教学辅助工作，向学校提供客观准确的教学实施过程记录等材料。</w:t>
            </w:r>
          </w:p>
          <w:p w14:paraId="59AD2627">
            <w:pPr>
              <w:tabs>
                <w:tab w:val="left" w:pos="312"/>
              </w:tabs>
              <w:rPr>
                <w:rFonts w:hint="default" w:ascii="Times New Roman" w:hAnsi="Times New Roman" w:eastAsia="宋体" w:cs="Times New Roman"/>
                <w:sz w:val="24"/>
              </w:rPr>
            </w:pPr>
            <w:r>
              <w:rPr>
                <w:rFonts w:hint="default" w:ascii="Times New Roman" w:hAnsi="Times New Roman" w:eastAsia="宋体" w:cs="Times New Roman"/>
                <w:sz w:val="24"/>
              </w:rPr>
              <w:t>4.派遣员工协助学校进行学生日常管理工作，完成全流程家校沟通工作。</w:t>
            </w:r>
          </w:p>
          <w:p w14:paraId="60F40E55">
            <w:pPr>
              <w:jc w:val="left"/>
              <w:rPr>
                <w:rFonts w:hint="default" w:ascii="Times New Roman" w:hAnsi="Times New Roman" w:eastAsia="宋体" w:cs="Times New Roman"/>
                <w:sz w:val="24"/>
              </w:rPr>
            </w:pPr>
            <w:r>
              <w:rPr>
                <w:rFonts w:hint="default" w:ascii="Times New Roman" w:hAnsi="Times New Roman" w:eastAsia="宋体" w:cs="Times New Roman"/>
                <w:sz w:val="24"/>
              </w:rPr>
              <w:t>5.具备留学服务中介资质，为项目学生提供出国申请服务，保证学生申请成功率95%以上。</w:t>
            </w:r>
          </w:p>
        </w:tc>
        <w:tc>
          <w:tcPr>
            <w:tcW w:w="804" w:type="dxa"/>
            <w:vAlign w:val="center"/>
          </w:tcPr>
          <w:p w14:paraId="3C929084">
            <w:pPr>
              <w:jc w:val="center"/>
              <w:rPr>
                <w:rFonts w:hint="default" w:ascii="Times New Roman" w:hAnsi="Times New Roman" w:eastAsia="宋体" w:cs="Times New Roman"/>
                <w:sz w:val="24"/>
              </w:rPr>
            </w:pPr>
            <w:r>
              <w:rPr>
                <w:rFonts w:hint="default" w:ascii="Times New Roman" w:hAnsi="Times New Roman" w:eastAsia="宋体" w:cs="Times New Roman"/>
                <w:sz w:val="24"/>
              </w:rPr>
              <w:t>1</w:t>
            </w:r>
          </w:p>
        </w:tc>
        <w:tc>
          <w:tcPr>
            <w:tcW w:w="1452" w:type="dxa"/>
            <w:vAlign w:val="center"/>
          </w:tcPr>
          <w:p w14:paraId="2FDDCBAF">
            <w:pPr>
              <w:jc w:val="center"/>
              <w:rPr>
                <w:rFonts w:hint="default" w:ascii="Times New Roman" w:hAnsi="Times New Roman" w:eastAsia="宋体" w:cs="Times New Roman"/>
                <w:sz w:val="24"/>
              </w:rPr>
            </w:pPr>
            <w:r>
              <w:rPr>
                <w:rFonts w:hint="eastAsia" w:cs="Times New Roman"/>
                <w:sz w:val="24"/>
                <w:lang w:val="en-US" w:eastAsia="zh-CN"/>
              </w:rPr>
              <w:t>/</w:t>
            </w:r>
          </w:p>
        </w:tc>
      </w:tr>
    </w:tbl>
    <w:p w14:paraId="2D89C8BF">
      <w:pPr>
        <w:rPr>
          <w:rFonts w:hint="default" w:ascii="Times New Roman" w:hAnsi="Times New Roman" w:eastAsia="宋体" w:cs="Times New Roman"/>
          <w:sz w:val="24"/>
        </w:rPr>
      </w:pPr>
      <w:r>
        <w:rPr>
          <w:rFonts w:hint="default" w:ascii="Times New Roman" w:hAnsi="Times New Roman" w:eastAsia="宋体" w:cs="Times New Roman"/>
          <w:sz w:val="24"/>
        </w:rPr>
        <w:t>0</w:t>
      </w:r>
      <w:r>
        <w:rPr>
          <w:rFonts w:hint="eastAsia" w:cs="Times New Roman"/>
          <w:sz w:val="24"/>
          <w:lang w:val="en-US" w:eastAsia="zh-CN"/>
        </w:rPr>
        <w:t>3</w:t>
      </w:r>
      <w:r>
        <w:rPr>
          <w:rFonts w:hint="default" w:ascii="Times New Roman" w:hAnsi="Times New Roman" w:eastAsia="宋体" w:cs="Times New Roman"/>
          <w:sz w:val="24"/>
        </w:rPr>
        <w:t>包：</w:t>
      </w:r>
    </w:p>
    <w:tbl>
      <w:tblPr>
        <w:tblStyle w:val="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1656"/>
        <w:gridCol w:w="4200"/>
        <w:gridCol w:w="804"/>
        <w:gridCol w:w="1464"/>
      </w:tblGrid>
      <w:tr w14:paraId="2486C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dxa"/>
            <w:vAlign w:val="center"/>
          </w:tcPr>
          <w:p w14:paraId="1F830CC2">
            <w:pPr>
              <w:jc w:val="center"/>
              <w:rPr>
                <w:rFonts w:hint="default" w:ascii="Times New Roman" w:hAnsi="Times New Roman" w:eastAsia="宋体" w:cs="Times New Roman"/>
                <w:sz w:val="24"/>
              </w:rPr>
            </w:pPr>
            <w:bookmarkStart w:id="1" w:name="_GoBack" w:colFirst="4" w:colLast="4"/>
            <w:r>
              <w:rPr>
                <w:rFonts w:hint="default" w:ascii="Times New Roman" w:hAnsi="Times New Roman" w:eastAsia="宋体" w:cs="Times New Roman"/>
                <w:sz w:val="24"/>
              </w:rPr>
              <w:t>1</w:t>
            </w:r>
          </w:p>
        </w:tc>
        <w:tc>
          <w:tcPr>
            <w:tcW w:w="1656" w:type="dxa"/>
            <w:vAlign w:val="center"/>
          </w:tcPr>
          <w:p w14:paraId="629E5436">
            <w:pPr>
              <w:jc w:val="center"/>
              <w:rPr>
                <w:rFonts w:hint="default" w:ascii="Times New Roman" w:hAnsi="Times New Roman" w:eastAsia="宋体" w:cs="Times New Roman"/>
                <w:sz w:val="24"/>
              </w:rPr>
            </w:pPr>
            <w:r>
              <w:rPr>
                <w:rFonts w:hint="default" w:ascii="Times New Roman" w:hAnsi="Times New Roman" w:eastAsia="宋体" w:cs="Times New Roman"/>
                <w:sz w:val="24"/>
              </w:rPr>
              <w:t>2025级2+2国际本科项目加拿大劳伦森大学项目合作办学机构</w:t>
            </w:r>
          </w:p>
        </w:tc>
        <w:tc>
          <w:tcPr>
            <w:tcW w:w="4200" w:type="dxa"/>
          </w:tcPr>
          <w:p w14:paraId="0AAD513B">
            <w:pPr>
              <w:tabs>
                <w:tab w:val="left" w:pos="312"/>
              </w:tabs>
              <w:rPr>
                <w:rFonts w:hint="default" w:ascii="Times New Roman" w:hAnsi="Times New Roman" w:eastAsia="宋体" w:cs="Times New Roman"/>
                <w:sz w:val="24"/>
              </w:rPr>
            </w:pPr>
            <w:r>
              <w:rPr>
                <w:rFonts w:hint="default" w:ascii="Times New Roman" w:hAnsi="Times New Roman" w:eastAsia="宋体" w:cs="Times New Roman"/>
                <w:sz w:val="24"/>
              </w:rPr>
              <w:t>1.获得加拿大劳伦森大学的合作办学代理授权。</w:t>
            </w:r>
          </w:p>
          <w:p w14:paraId="3153118B">
            <w:pPr>
              <w:tabs>
                <w:tab w:val="left" w:pos="312"/>
              </w:tabs>
              <w:rPr>
                <w:rFonts w:hint="default" w:ascii="Times New Roman" w:hAnsi="Times New Roman" w:eastAsia="宋体" w:cs="Times New Roman"/>
                <w:sz w:val="24"/>
              </w:rPr>
            </w:pPr>
            <w:r>
              <w:rPr>
                <w:rFonts w:hint="default" w:ascii="Times New Roman" w:hAnsi="Times New Roman" w:eastAsia="宋体" w:cs="Times New Roman"/>
                <w:sz w:val="24"/>
              </w:rPr>
              <w:t>2.协助学校取得劳伦森大学课程确认函，提供课程方案，确保学分互认。</w:t>
            </w:r>
          </w:p>
          <w:p w14:paraId="52479D42">
            <w:pPr>
              <w:tabs>
                <w:tab w:val="left" w:pos="312"/>
              </w:tabs>
              <w:rPr>
                <w:rFonts w:hint="default" w:ascii="Times New Roman" w:hAnsi="Times New Roman" w:eastAsia="宋体" w:cs="Times New Roman"/>
                <w:sz w:val="24"/>
              </w:rPr>
            </w:pPr>
            <w:r>
              <w:rPr>
                <w:rFonts w:hint="default" w:ascii="Times New Roman" w:hAnsi="Times New Roman" w:eastAsia="宋体" w:cs="Times New Roman"/>
                <w:sz w:val="24"/>
              </w:rPr>
              <w:t>3.配备参与教学实施的工作人员，协助学校开展教学辅助工作，向学校提供客观准确的教学实施过程记录等材料。</w:t>
            </w:r>
          </w:p>
          <w:p w14:paraId="398BC487">
            <w:pPr>
              <w:tabs>
                <w:tab w:val="left" w:pos="312"/>
              </w:tabs>
              <w:rPr>
                <w:rFonts w:hint="default" w:ascii="Times New Roman" w:hAnsi="Times New Roman" w:eastAsia="宋体" w:cs="Times New Roman"/>
                <w:sz w:val="24"/>
              </w:rPr>
            </w:pPr>
            <w:r>
              <w:rPr>
                <w:rFonts w:hint="default" w:ascii="Times New Roman" w:hAnsi="Times New Roman" w:eastAsia="宋体" w:cs="Times New Roman"/>
                <w:sz w:val="24"/>
              </w:rPr>
              <w:t>4.派遣员工协助学校进行学生日常管理工作，完成全流程家校沟通工作。</w:t>
            </w:r>
          </w:p>
          <w:p w14:paraId="01D440EB">
            <w:pPr>
              <w:jc w:val="left"/>
              <w:rPr>
                <w:rFonts w:hint="default" w:ascii="Times New Roman" w:hAnsi="Times New Roman" w:eastAsia="宋体" w:cs="Times New Roman"/>
                <w:sz w:val="24"/>
              </w:rPr>
            </w:pPr>
            <w:r>
              <w:rPr>
                <w:rFonts w:hint="default" w:ascii="Times New Roman" w:hAnsi="Times New Roman" w:eastAsia="宋体" w:cs="Times New Roman"/>
                <w:sz w:val="24"/>
              </w:rPr>
              <w:t>5.具备留学服务中介资质，为项目学生提供出国申请服务，保证学生申请成功率95%以上。</w:t>
            </w:r>
          </w:p>
        </w:tc>
        <w:tc>
          <w:tcPr>
            <w:tcW w:w="804" w:type="dxa"/>
            <w:vAlign w:val="center"/>
          </w:tcPr>
          <w:p w14:paraId="01B89D92">
            <w:pPr>
              <w:jc w:val="center"/>
              <w:rPr>
                <w:rFonts w:hint="default" w:ascii="Times New Roman" w:hAnsi="Times New Roman" w:eastAsia="宋体" w:cs="Times New Roman"/>
                <w:sz w:val="24"/>
              </w:rPr>
            </w:pPr>
            <w:r>
              <w:rPr>
                <w:rFonts w:hint="default" w:ascii="Times New Roman" w:hAnsi="Times New Roman" w:eastAsia="宋体" w:cs="Times New Roman"/>
                <w:sz w:val="24"/>
              </w:rPr>
              <w:t>1</w:t>
            </w:r>
          </w:p>
        </w:tc>
        <w:tc>
          <w:tcPr>
            <w:tcW w:w="1464" w:type="dxa"/>
            <w:vAlign w:val="center"/>
          </w:tcPr>
          <w:p w14:paraId="08090624">
            <w:pPr>
              <w:jc w:val="center"/>
              <w:rPr>
                <w:rFonts w:hint="default" w:ascii="Times New Roman" w:hAnsi="Times New Roman" w:eastAsia="宋体" w:cs="Times New Roman"/>
                <w:sz w:val="24"/>
              </w:rPr>
            </w:pPr>
            <w:r>
              <w:rPr>
                <w:rFonts w:hint="eastAsia" w:cs="Times New Roman"/>
                <w:sz w:val="24"/>
                <w:lang w:val="en-US" w:eastAsia="zh-CN"/>
              </w:rPr>
              <w:t>/</w:t>
            </w:r>
          </w:p>
        </w:tc>
      </w:tr>
      <w:bookmarkEnd w:id="1"/>
    </w:tbl>
    <w:p w14:paraId="34765E70">
      <w:pPr>
        <w:pStyle w:val="4"/>
        <w:spacing w:line="360" w:lineRule="auto"/>
        <w:ind w:firstLine="0" w:firstLineChars="0"/>
        <w:contextualSpacing/>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二、其他要求</w:t>
      </w:r>
    </w:p>
    <w:p w14:paraId="0C1D32B4">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1、地点：北京交通大学继续教育学院。</w:t>
      </w:r>
    </w:p>
    <w:p w14:paraId="2DCA4035">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2、服务要求：合作机构在北京交通大学继续教育学院的监督与指导下协助学校制定宣传推广方案、教学辅助、教学管理、学生管理、出国申请等工作。合作机构应具有较强的国际项目办学经验，能够对项目办学的各个环节，向学校提出优化改进的建议，并协助学校及时改进，满足北京交通大学继续教育学院高质量、高水平举办国际项目的目标。</w:t>
      </w:r>
    </w:p>
    <w:p w14:paraId="05282575">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3、交付时间：</w:t>
      </w:r>
      <w:r>
        <w:rPr>
          <w:rFonts w:hint="default" w:ascii="Times New Roman" w:hAnsi="Times New Roman" w:eastAsia="宋体" w:cs="Times New Roman"/>
          <w:sz w:val="24"/>
          <w:lang w:val="en-US" w:eastAsia="zh-CN"/>
        </w:rPr>
        <w:t>自</w:t>
      </w:r>
      <w:r>
        <w:rPr>
          <w:rFonts w:hint="default" w:ascii="Times New Roman" w:hAnsi="Times New Roman" w:eastAsia="宋体" w:cs="Times New Roman"/>
          <w:sz w:val="24"/>
        </w:rPr>
        <w:t>签订合同日起至2027年7月30日</w:t>
      </w:r>
    </w:p>
    <w:p w14:paraId="7CDFFDEF">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4、地点：北京交通大学继续教育学院。</w:t>
      </w:r>
    </w:p>
    <w:p w14:paraId="6A43A559">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5、在服务期内，投标人应配备专业人员，保证提供专业、合格的服务。如发现投标人在合作过程中存在推广宣传不真实、教学辅助不到位、学生管理混乱、留学申请成功率偏低等情况，投标人需承担相应责任。</w:t>
      </w:r>
    </w:p>
    <w:p w14:paraId="38233B42">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6、验收将根据“北京交通大学2025年2+2、1+3国际项目合作办学机构</w:t>
      </w:r>
      <w:r>
        <w:rPr>
          <w:rFonts w:hint="eastAsia" w:cs="Times New Roman"/>
          <w:sz w:val="24"/>
          <w:lang w:val="en-US" w:eastAsia="zh-CN"/>
        </w:rPr>
        <w:t>服务</w:t>
      </w:r>
      <w:r>
        <w:rPr>
          <w:rFonts w:hint="default" w:ascii="Times New Roman" w:hAnsi="Times New Roman" w:eastAsia="宋体" w:cs="Times New Roman"/>
          <w:sz w:val="24"/>
        </w:rPr>
        <w:t>”</w:t>
      </w:r>
      <w:r>
        <w:rPr>
          <w:rFonts w:hint="eastAsia" w:cs="Times New Roman"/>
          <w:sz w:val="24"/>
          <w:lang w:val="en-US" w:eastAsia="zh-CN"/>
        </w:rPr>
        <w:t>项目</w:t>
      </w:r>
      <w:r>
        <w:rPr>
          <w:rFonts w:hint="default" w:ascii="Times New Roman" w:hAnsi="Times New Roman" w:eastAsia="宋体" w:cs="Times New Roman"/>
          <w:sz w:val="24"/>
        </w:rPr>
        <w:t>的招标文件、投标文件、技术指标进行，合同货物质量应符合中华人民共和国部颁标准及相应的技术规范要求。</w:t>
      </w:r>
    </w:p>
    <w:p w14:paraId="6662D0E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CC6CC1"/>
    <w:rsid w:val="0BCC6C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styleId="4">
    <w:name w:val="List Paragraph"/>
    <w:basedOn w:val="1"/>
    <w:autoRedefine/>
    <w:qFormat/>
    <w:uiPriority w:val="34"/>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2025-08-14T02:24:00Z</dcterms:created>
  <dc:creator>彭彭</dc:creator>
  <cp:lastModifiedBy>彭彭</cp:lastModifiedBy>
  <dcterms:modified xsi:type="dcterms:W3CDTF">2025-08-14T02:30:10Z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7D832C63DD784689AB6254253BAC21D7_11</vt:lpwstr>
  </property>
  <property fmtid="{D5CDD505-2E9C-101B-9397-08002B2CF9AE}" pid="4" name="KSOTemplateDocerSaveRecord">
    <vt:lpwstr>eyJoZGlkIjoiYTNlM2U5YmY1ZmZjZWExODRjMDNiYTVhZjgzZWY2YWEiLCJ1c2VySWQiOiIxMjE2MTU5MDA0In0=</vt:lpwstr>
  </property>
</Properties>
</file>