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ind w:right="893"/>
        <w:jc w:val="center"/>
        <w:textAlignment w:val="bottom"/>
        <w:rPr>
          <w:rFonts w:ascii="宋体" w:hAnsi="宋体"/>
          <w:b/>
          <w:sz w:val="24"/>
        </w:rPr>
      </w:pPr>
      <w:r>
        <w:rPr>
          <w:rFonts w:hint="eastAsia" w:ascii="宋体" w:hAnsi="宋体"/>
          <w:b/>
          <w:sz w:val="24"/>
        </w:rPr>
        <w:t>第五部分：货物需求一览表及技术规范书</w:t>
      </w:r>
    </w:p>
    <w:p>
      <w:pPr>
        <w:autoSpaceDE w:val="0"/>
        <w:autoSpaceDN w:val="0"/>
        <w:adjustRightInd w:val="0"/>
        <w:snapToGrid w:val="0"/>
        <w:ind w:right="893"/>
        <w:jc w:val="center"/>
        <w:textAlignment w:val="bottom"/>
        <w:rPr>
          <w:rFonts w:hint="eastAsia" w:ascii="宋体" w:hAnsi="宋体"/>
          <w:b/>
          <w:sz w:val="24"/>
        </w:rPr>
      </w:pPr>
      <w:r>
        <w:rPr>
          <w:rFonts w:hint="eastAsia" w:ascii="宋体" w:hAnsi="宋体"/>
          <w:b/>
          <w:sz w:val="24"/>
        </w:rPr>
        <w:t xml:space="preserve">   </w:t>
      </w:r>
    </w:p>
    <w:p>
      <w:pPr>
        <w:tabs>
          <w:tab w:val="left" w:pos="0"/>
        </w:tabs>
        <w:autoSpaceDE w:val="0"/>
        <w:autoSpaceDN w:val="0"/>
        <w:adjustRightInd w:val="0"/>
        <w:snapToGrid w:val="0"/>
        <w:ind w:right="-34"/>
        <w:jc w:val="center"/>
        <w:textAlignment w:val="bottom"/>
        <w:rPr>
          <w:rFonts w:hint="eastAsia" w:ascii="宋体" w:hAnsi="宋体"/>
          <w:b/>
          <w:sz w:val="24"/>
        </w:rPr>
      </w:pPr>
    </w:p>
    <w:p>
      <w:pPr>
        <w:tabs>
          <w:tab w:val="left" w:pos="0"/>
        </w:tabs>
        <w:autoSpaceDE w:val="0"/>
        <w:autoSpaceDN w:val="0"/>
        <w:adjustRightInd w:val="0"/>
        <w:snapToGrid w:val="0"/>
        <w:ind w:right="-34"/>
        <w:jc w:val="center"/>
        <w:textAlignment w:val="bottom"/>
        <w:rPr>
          <w:rFonts w:hint="eastAsia" w:ascii="宋体" w:hAnsi="宋体"/>
          <w:b/>
          <w:sz w:val="24"/>
        </w:rPr>
      </w:pPr>
    </w:p>
    <w:p>
      <w:pPr>
        <w:autoSpaceDE w:val="0"/>
        <w:autoSpaceDN w:val="0"/>
        <w:adjustRightInd w:val="0"/>
        <w:snapToGrid w:val="0"/>
        <w:ind w:right="893"/>
        <w:jc w:val="center"/>
        <w:textAlignment w:val="bottom"/>
        <w:rPr>
          <w:rFonts w:ascii="宋体" w:hAnsi="宋体"/>
          <w:b/>
          <w:sz w:val="24"/>
        </w:rPr>
      </w:pPr>
      <w:bookmarkStart w:id="0" w:name="_Toc274315793"/>
      <w:bookmarkStart w:id="1" w:name="_Toc327257820"/>
      <w:bookmarkStart w:id="2" w:name="_Toc347059232"/>
      <w:r>
        <w:rPr>
          <w:rFonts w:ascii="宋体" w:hAnsi="宋体"/>
          <w:b/>
          <w:sz w:val="24"/>
        </w:rPr>
        <w:t>货物需求一览表</w:t>
      </w:r>
      <w:bookmarkEnd w:id="0"/>
      <w:bookmarkEnd w:id="1"/>
      <w:bookmarkEnd w:id="2"/>
    </w:p>
    <w:p>
      <w:pPr>
        <w:jc w:val="center"/>
        <w:rPr>
          <w:sz w:val="32"/>
        </w:rPr>
      </w:pPr>
    </w:p>
    <w:p>
      <w:pPr>
        <w:spacing w:line="360" w:lineRule="auto"/>
        <w:rPr>
          <w:rFonts w:hint="eastAsia"/>
          <w:sz w:val="24"/>
        </w:rPr>
      </w:pPr>
    </w:p>
    <w:tbl>
      <w:tblPr>
        <w:tblStyle w:val="3"/>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640" w:type="dxa"/>
            <w:noWrap w:val="0"/>
            <w:vAlign w:val="center"/>
          </w:tcPr>
          <w:p>
            <w:pPr>
              <w:jc w:val="center"/>
              <w:rPr>
                <w:rFonts w:ascii="宋体" w:hAnsi="Bookman Old Style"/>
                <w:sz w:val="24"/>
              </w:rPr>
            </w:pPr>
            <w:r>
              <w:rPr>
                <w:rFonts w:hint="eastAsia" w:ascii="宋体" w:hAnsi="Bookman Old Style"/>
                <w:sz w:val="24"/>
              </w:rPr>
              <w:t>货物名称</w:t>
            </w:r>
          </w:p>
        </w:tc>
        <w:tc>
          <w:tcPr>
            <w:tcW w:w="635"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1</w:t>
            </w:r>
          </w:p>
        </w:tc>
        <w:tc>
          <w:tcPr>
            <w:tcW w:w="2640" w:type="dxa"/>
            <w:noWrap w:val="0"/>
            <w:vAlign w:val="center"/>
          </w:tcPr>
          <w:p>
            <w:pPr>
              <w:jc w:val="center"/>
              <w:rPr>
                <w:rFonts w:hint="eastAsia" w:ascii="Bookman Old Style" w:hAnsi="Bookman Old Style"/>
                <w:sz w:val="24"/>
              </w:rPr>
            </w:pPr>
            <w:r>
              <w:rPr>
                <w:rFonts w:hint="eastAsia" w:ascii="Bookman Old Style" w:hAnsi="Bookman Old Style"/>
                <w:sz w:val="24"/>
              </w:rPr>
              <w:t>低温环境辐照靶室</w:t>
            </w:r>
          </w:p>
        </w:tc>
        <w:tc>
          <w:tcPr>
            <w:tcW w:w="635" w:type="dxa"/>
            <w:noWrap w:val="0"/>
            <w:vAlign w:val="center"/>
          </w:tcPr>
          <w:p>
            <w:pPr>
              <w:jc w:val="center"/>
              <w:rPr>
                <w:rFonts w:hint="eastAsia" w:ascii="宋体" w:hAnsi="Bookman Old Style"/>
                <w:sz w:val="24"/>
              </w:rPr>
            </w:pPr>
            <w:r>
              <w:rPr>
                <w:rFonts w:hint="eastAsia" w:ascii="宋体" w:hAnsi="Bookman Old Style"/>
                <w:sz w:val="24"/>
              </w:rPr>
              <w:t>1套</w:t>
            </w:r>
          </w:p>
        </w:tc>
        <w:tc>
          <w:tcPr>
            <w:tcW w:w="1320" w:type="dxa"/>
            <w:noWrap w:val="0"/>
            <w:vAlign w:val="center"/>
          </w:tcPr>
          <w:p>
            <w:pPr>
              <w:jc w:val="center"/>
              <w:rPr>
                <w:rFonts w:hint="eastAsia" w:ascii="宋体" w:hAnsi="Bookman Old Style"/>
                <w:sz w:val="24"/>
              </w:rPr>
            </w:pPr>
            <w:r>
              <w:rPr>
                <w:rFonts w:hint="eastAsia" w:ascii="宋体" w:hAnsi="Bookman Old Style"/>
                <w:sz w:val="24"/>
              </w:rPr>
              <w:t xml:space="preserve">合同签订后    </w:t>
            </w:r>
            <w:r>
              <w:rPr>
                <w:rFonts w:ascii="宋体" w:hAnsi="Bookman Old Style"/>
                <w:sz w:val="24"/>
              </w:rPr>
              <w:t>180</w:t>
            </w:r>
            <w:r>
              <w:rPr>
                <w:rFonts w:hint="eastAsia" w:ascii="宋体" w:hAnsi="Bookman Old Style"/>
                <w:sz w:val="24"/>
              </w:rPr>
              <w:t>日内交货并安装完毕</w:t>
            </w:r>
          </w:p>
        </w:tc>
        <w:tc>
          <w:tcPr>
            <w:tcW w:w="1765" w:type="dxa"/>
            <w:noWrap w:val="0"/>
            <w:vAlign w:val="center"/>
          </w:tcPr>
          <w:p>
            <w:pPr>
              <w:jc w:val="center"/>
              <w:rPr>
                <w:rFonts w:hint="eastAsia"/>
                <w:sz w:val="24"/>
              </w:rPr>
            </w:pPr>
            <w:r>
              <w:rPr>
                <w:rFonts w:hint="eastAsia"/>
                <w:sz w:val="24"/>
              </w:rPr>
              <w:t>兰州机场</w:t>
            </w:r>
          </w:p>
        </w:tc>
        <w:tc>
          <w:tcPr>
            <w:tcW w:w="2520" w:type="dxa"/>
            <w:noWrap w:val="0"/>
            <w:vAlign w:val="center"/>
          </w:tcPr>
          <w:p>
            <w:pPr>
              <w:jc w:val="center"/>
              <w:rPr>
                <w:rFonts w:hint="eastAsia" w:ascii="宋体" w:hAnsi="Bookman Old Style"/>
                <w:sz w:val="24"/>
              </w:rPr>
            </w:pPr>
            <w:r>
              <w:rPr>
                <w:rFonts w:hint="eastAsia" w:ascii="宋体" w:hAnsi="Bookman Old Style"/>
                <w:sz w:val="24"/>
              </w:rPr>
              <w:t>甘肃省兰州市城关区南昌路509号中国科学院近代物理研究所或研究所指定地点</w:t>
            </w:r>
          </w:p>
        </w:tc>
      </w:tr>
    </w:tbl>
    <w:p>
      <w:pPr>
        <w:spacing w:line="360" w:lineRule="auto"/>
        <w:rPr>
          <w:rFonts w:hint="eastAsia"/>
          <w:sz w:val="24"/>
        </w:rPr>
      </w:pPr>
    </w:p>
    <w:p>
      <w:pPr>
        <w:spacing w:line="360" w:lineRule="auto"/>
        <w:ind w:firstLine="480" w:firstLineChars="200"/>
        <w:rPr>
          <w:rFonts w:hint="eastAsia"/>
        </w:rPr>
      </w:pPr>
      <w:r>
        <w:rPr>
          <w:sz w:val="24"/>
        </w:rPr>
        <w:t xml:space="preserve">   </w:t>
      </w:r>
      <w:r>
        <w:br w:type="page"/>
      </w:r>
      <w:bookmarkStart w:id="3" w:name="_Toc347059233"/>
      <w:bookmarkStart w:id="4" w:name="_Toc327257821"/>
    </w:p>
    <w:p>
      <w:pPr>
        <w:spacing w:line="360" w:lineRule="auto"/>
        <w:ind w:firstLine="600"/>
        <w:jc w:val="center"/>
        <w:rPr>
          <w:rFonts w:hint="eastAsia" w:ascii="宋体" w:hAnsi="宋体"/>
          <w:sz w:val="30"/>
          <w:szCs w:val="30"/>
        </w:rPr>
      </w:pPr>
      <w:r>
        <w:rPr>
          <w:rFonts w:ascii="宋体" w:hAnsi="宋体"/>
          <w:sz w:val="30"/>
          <w:szCs w:val="30"/>
        </w:rPr>
        <w:t>技 术 规 格</w:t>
      </w:r>
      <w:bookmarkEnd w:id="3"/>
      <w:bookmarkEnd w:id="4"/>
    </w:p>
    <w:p>
      <w:pPr>
        <w:pStyle w:val="6"/>
        <w:spacing w:line="300" w:lineRule="auto"/>
        <w:rPr>
          <w:rFonts w:hint="eastAsia" w:ascii="宋体" w:hAnsi="宋体" w:cs="宋体"/>
          <w:b/>
          <w:sz w:val="24"/>
          <w:szCs w:val="24"/>
        </w:rPr>
      </w:pPr>
      <w:r>
        <w:rPr>
          <w:rFonts w:hint="eastAsia" w:ascii="宋体" w:hAnsi="宋体" w:cs="宋体"/>
          <w:b/>
          <w:sz w:val="24"/>
          <w:szCs w:val="24"/>
        </w:rPr>
        <w:t>一、采购项目用途说明：</w:t>
      </w:r>
    </w:p>
    <w:p>
      <w:pPr>
        <w:spacing w:line="480" w:lineRule="auto"/>
        <w:ind w:firstLine="480" w:firstLineChars="200"/>
        <w:rPr>
          <w:rFonts w:hint="eastAsia" w:ascii="宋体" w:hAnsi="宋体" w:cs="宋体"/>
          <w:sz w:val="24"/>
        </w:rPr>
      </w:pPr>
      <w:r>
        <w:rPr>
          <w:rFonts w:hint="eastAsia" w:ascii="宋体" w:hAnsi="宋体" w:cs="宋体"/>
          <w:sz w:val="24"/>
        </w:rPr>
        <w:t>低温环境辐照靶室是中科院近代物理研究所低能量强流高电荷态重离子研究装置LEAF装置提供开展低温环境下材料辐照效应研究的平台。由于在极低温环境下热扰动等因素的干扰极小，更多本征的物理现象能够被观测到，这对于开展全面材料性能评价以及新材料的本征特性研究都十分重要。通过开展离线、在线多种方式研究材料在重离子辐照后其电学性质在不同温区的变化规律，揭示离子束辐照引起材料结构变化及相应的物理性质变化，找出内在规律，为新型材料的研制提供基础数据和参考。同时，该靶室兼具全自动快速传样系统，可将样品从大气环境快速送入高真空系统进行离子束辐照。</w:t>
      </w:r>
    </w:p>
    <w:p>
      <w:pPr>
        <w:spacing w:line="480" w:lineRule="auto"/>
        <w:ind w:firstLine="480" w:firstLineChars="200"/>
        <w:rPr>
          <w:rFonts w:hint="eastAsia" w:ascii="宋体" w:hAnsi="宋体" w:cs="宋体"/>
          <w:sz w:val="24"/>
        </w:rPr>
      </w:pPr>
      <w:r>
        <w:rPr>
          <w:rFonts w:hint="eastAsia" w:ascii="宋体" w:hAnsi="宋体" w:cs="宋体"/>
          <w:sz w:val="24"/>
        </w:rPr>
        <w:t>此次采购项目为非标定制产品，包括能提供低温环境的真空靶室系统一套，快速传样系统装置一套、低温系统一套以及相应的束流观测系统和转接口。</w:t>
      </w:r>
    </w:p>
    <w:p>
      <w:pPr>
        <w:pStyle w:val="6"/>
        <w:numPr>
          <w:ilvl w:val="0"/>
          <w:numId w:val="1"/>
        </w:numPr>
        <w:spacing w:line="300" w:lineRule="auto"/>
        <w:rPr>
          <w:rFonts w:hint="eastAsia" w:ascii="宋体" w:hAnsi="宋体" w:cs="宋体"/>
          <w:b/>
          <w:sz w:val="24"/>
          <w:szCs w:val="24"/>
        </w:rPr>
      </w:pPr>
      <w:r>
        <w:rPr>
          <w:rFonts w:hint="eastAsia" w:ascii="宋体" w:hAnsi="宋体" w:cs="宋体"/>
          <w:b/>
          <w:sz w:val="24"/>
          <w:szCs w:val="24"/>
        </w:rPr>
        <w:t>工作条件：</w:t>
      </w:r>
    </w:p>
    <w:p>
      <w:pPr>
        <w:pStyle w:val="6"/>
        <w:numPr>
          <w:ilvl w:val="1"/>
          <w:numId w:val="1"/>
        </w:numPr>
        <w:spacing w:line="300" w:lineRule="auto"/>
        <w:rPr>
          <w:rFonts w:hint="eastAsia" w:ascii="宋体" w:hAnsi="宋体" w:cs="宋体"/>
          <w:sz w:val="24"/>
          <w:szCs w:val="24"/>
        </w:rPr>
      </w:pPr>
      <w:r>
        <w:rPr>
          <w:rFonts w:hint="eastAsia" w:ascii="宋体" w:hAnsi="宋体" w:cs="宋体"/>
          <w:sz w:val="24"/>
          <w:szCs w:val="24"/>
        </w:rPr>
        <w:t>该仪器依托低能量强流高电荷态重离子研究装置（LEAF），主要进行模拟多物理场耦合环境，创造混合双/三束辐照、温度、大面积辐照等精确实验条件，离子辐射环境，离子种类为H-U,能量为0.1-100 MeV，流强为100 enA- 2 emA，束流宽度2—25 cm。</w:t>
      </w:r>
    </w:p>
    <w:p>
      <w:pPr>
        <w:pStyle w:val="6"/>
        <w:numPr>
          <w:ilvl w:val="1"/>
          <w:numId w:val="1"/>
        </w:numPr>
        <w:spacing w:line="300" w:lineRule="auto"/>
        <w:rPr>
          <w:rFonts w:hint="eastAsia" w:ascii="宋体" w:hAnsi="宋体" w:cs="宋体"/>
          <w:sz w:val="24"/>
          <w:szCs w:val="24"/>
        </w:rPr>
      </w:pPr>
      <w:r>
        <w:rPr>
          <w:rFonts w:hint="eastAsia" w:ascii="宋体" w:hAnsi="宋体" w:cs="宋体"/>
          <w:sz w:val="24"/>
          <w:szCs w:val="24"/>
        </w:rPr>
        <w:t>安装位置为LEAF装置实验大厅，束流中心线高度为150 mm。</w:t>
      </w:r>
    </w:p>
    <w:p>
      <w:pPr>
        <w:numPr>
          <w:ilvl w:val="0"/>
          <w:numId w:val="1"/>
        </w:numPr>
        <w:spacing w:line="360" w:lineRule="auto"/>
        <w:rPr>
          <w:rFonts w:hint="eastAsia" w:ascii="宋体" w:hAnsi="宋体" w:cs="宋体"/>
          <w:b/>
          <w:sz w:val="24"/>
        </w:rPr>
      </w:pPr>
      <w:r>
        <w:rPr>
          <w:rFonts w:hint="eastAsia" w:ascii="宋体" w:hAnsi="宋体" w:cs="宋体"/>
          <w:b/>
          <w:sz w:val="24"/>
        </w:rPr>
        <w:t>规格、技术要求及参数：</w:t>
      </w:r>
    </w:p>
    <w:p>
      <w:pPr>
        <w:spacing w:line="360" w:lineRule="auto"/>
        <w:rPr>
          <w:rFonts w:hint="eastAsia" w:ascii="宋体" w:hAnsi="宋体" w:cs="宋体"/>
          <w:b/>
          <w:sz w:val="24"/>
        </w:rPr>
      </w:pPr>
      <w:r>
        <w:rPr>
          <w:rFonts w:hint="eastAsia" w:ascii="宋体" w:hAnsi="宋体" w:cs="宋体"/>
          <w:sz w:val="24"/>
        </w:rPr>
        <w:t>（需实现的功能或者目标、需满足的质量、安全、技术规格、物理特性等，</w:t>
      </w:r>
      <w:r>
        <w:rPr>
          <w:rFonts w:hint="eastAsia" w:ascii="宋体" w:hAnsi="宋体" w:cs="宋体"/>
          <w:b/>
          <w:bCs/>
          <w:sz w:val="24"/>
        </w:rPr>
        <w:t>非标产品提供技术方案和设计草图</w:t>
      </w:r>
      <w:r>
        <w:rPr>
          <w:rFonts w:hint="eastAsia" w:ascii="宋体" w:hAnsi="宋体" w:cs="宋体"/>
          <w:sz w:val="24"/>
        </w:rPr>
        <w:t>）</w:t>
      </w:r>
    </w:p>
    <w:p>
      <w:pPr>
        <w:pStyle w:val="6"/>
        <w:spacing w:line="300" w:lineRule="auto"/>
        <w:ind w:left="424" w:leftChars="1" w:hanging="422" w:hangingChars="176"/>
        <w:rPr>
          <w:rFonts w:hint="eastAsia" w:ascii="宋体" w:hAnsi="宋体" w:cs="宋体"/>
          <w:bCs/>
          <w:sz w:val="24"/>
          <w:szCs w:val="24"/>
        </w:rPr>
      </w:pPr>
      <w:r>
        <w:rPr>
          <w:rFonts w:hint="eastAsia" w:ascii="宋体" w:hAnsi="宋体" w:cs="宋体"/>
          <w:bCs/>
          <w:sz w:val="24"/>
          <w:szCs w:val="24"/>
        </w:rPr>
        <w:t>2.1. 低温环境辐照靶室一套，靶室腔体材质为不锈钢，内径&gt;=350 mm，真空度好于5×10</w:t>
      </w:r>
      <w:r>
        <w:rPr>
          <w:rFonts w:hint="eastAsia" w:ascii="宋体" w:hAnsi="宋体" w:cs="宋体"/>
          <w:bCs/>
          <w:sz w:val="24"/>
          <w:szCs w:val="24"/>
          <w:vertAlign w:val="superscript"/>
        </w:rPr>
        <w:t xml:space="preserve">-5 </w:t>
      </w:r>
      <w:r>
        <w:rPr>
          <w:rFonts w:hint="eastAsia" w:ascii="宋体" w:hAnsi="宋体" w:cs="宋体"/>
          <w:bCs/>
          <w:sz w:val="24"/>
          <w:szCs w:val="24"/>
        </w:rPr>
        <w:t>Pa，外表面电抛光处理。</w:t>
      </w:r>
    </w:p>
    <w:p>
      <w:pPr>
        <w:pStyle w:val="6"/>
        <w:spacing w:line="300" w:lineRule="auto"/>
        <w:ind w:left="426" w:leftChars="1" w:hanging="424" w:hangingChars="176"/>
        <w:rPr>
          <w:rFonts w:hint="eastAsia" w:ascii="宋体" w:hAnsi="宋体" w:cs="宋体"/>
          <w:bCs/>
          <w:sz w:val="24"/>
          <w:szCs w:val="24"/>
        </w:rPr>
      </w:pPr>
      <w:r>
        <w:rPr>
          <w:rFonts w:hint="eastAsia" w:ascii="宋体" w:hAnsi="宋体" w:cs="宋体"/>
          <w:b/>
          <w:color w:val="FF0000"/>
          <w:sz w:val="24"/>
          <w:szCs w:val="24"/>
        </w:rPr>
        <w:t>2.2.</w:t>
      </w:r>
      <w:r>
        <w:rPr>
          <w:rFonts w:ascii="宋体" w:hAnsi="宋体" w:cs="宋体"/>
          <w:b/>
          <w:color w:val="FF0000"/>
          <w:sz w:val="24"/>
          <w:szCs w:val="24"/>
        </w:rPr>
        <w:t>#</w:t>
      </w:r>
      <w:r>
        <w:rPr>
          <w:rFonts w:hint="eastAsia" w:ascii="宋体" w:hAnsi="宋体" w:cs="宋体"/>
          <w:b/>
          <w:color w:val="FF0000"/>
          <w:sz w:val="24"/>
          <w:szCs w:val="24"/>
        </w:rPr>
        <w:t xml:space="preserve"> </w:t>
      </w:r>
      <w:r>
        <w:rPr>
          <w:rFonts w:hint="eastAsia" w:ascii="宋体" w:hAnsi="宋体" w:cs="宋体"/>
          <w:bCs/>
          <w:sz w:val="24"/>
          <w:szCs w:val="24"/>
        </w:rPr>
        <w:t>配备快速传样系统，可在60秒内将尺寸为70 mm×70 mm×10 mm的样品从大气环境传入到靶室，传样到位后真空度好于5×10</w:t>
      </w:r>
      <w:r>
        <w:rPr>
          <w:rFonts w:hint="eastAsia" w:ascii="宋体" w:hAnsi="宋体" w:cs="宋体"/>
          <w:bCs/>
          <w:sz w:val="24"/>
          <w:szCs w:val="24"/>
          <w:vertAlign w:val="superscript"/>
        </w:rPr>
        <w:t xml:space="preserve">-4 </w:t>
      </w:r>
      <w:r>
        <w:rPr>
          <w:rFonts w:hint="eastAsia" w:ascii="宋体" w:hAnsi="宋体" w:cs="宋体"/>
          <w:bCs/>
          <w:sz w:val="24"/>
          <w:szCs w:val="24"/>
        </w:rPr>
        <w:t>Pa。</w:t>
      </w:r>
    </w:p>
    <w:p>
      <w:pPr>
        <w:pStyle w:val="6"/>
        <w:spacing w:line="300" w:lineRule="auto"/>
        <w:ind w:left="424" w:leftChars="1" w:hanging="422" w:hangingChars="176"/>
        <w:rPr>
          <w:rFonts w:hint="eastAsia" w:ascii="宋体" w:hAnsi="宋体" w:cs="宋体"/>
          <w:bCs/>
          <w:sz w:val="24"/>
          <w:szCs w:val="24"/>
        </w:rPr>
      </w:pPr>
      <w:r>
        <w:rPr>
          <w:rFonts w:hint="eastAsia" w:ascii="宋体" w:hAnsi="宋体" w:cs="宋体"/>
          <w:bCs/>
          <w:sz w:val="24"/>
          <w:szCs w:val="24"/>
        </w:rPr>
        <w:t>2.3. 快速传样系统具有全程自动控制功能（包括真空监测、实验参数读取），可给20组样品(尺寸为70 mm×70 mm×10 mm)预设辐照条件，样品依次自动传送至靶室，完成所预设辐照条件后再依次返回大气环境。快速传样系统可以在靶室内±1</w:t>
      </w:r>
      <w:r>
        <w:rPr>
          <w:rFonts w:ascii="宋体" w:hAnsi="宋体" w:cs="宋体"/>
          <w:bCs/>
          <w:sz w:val="24"/>
          <w:szCs w:val="24"/>
        </w:rPr>
        <w:t>80</w:t>
      </w:r>
      <w:r>
        <w:rPr>
          <w:rFonts w:hint="eastAsia" w:ascii="宋体" w:hAnsi="宋体" w:cs="宋体"/>
          <w:bCs/>
          <w:sz w:val="24"/>
          <w:szCs w:val="24"/>
        </w:rPr>
        <w:t>度旋转，传动轴放置样品架部分需要倒角4</w:t>
      </w:r>
      <w:r>
        <w:rPr>
          <w:rFonts w:ascii="宋体" w:hAnsi="宋体" w:cs="宋体"/>
          <w:bCs/>
          <w:sz w:val="24"/>
          <w:szCs w:val="24"/>
        </w:rPr>
        <w:t>5</w:t>
      </w:r>
      <w:r>
        <w:rPr>
          <w:rFonts w:hint="eastAsia" w:ascii="宋体" w:hAnsi="宋体" w:cs="宋体"/>
          <w:bCs/>
          <w:sz w:val="24"/>
          <w:szCs w:val="24"/>
        </w:rPr>
        <w:t>度。传动轴上用于辐照的窗口尺寸&gt;</w:t>
      </w:r>
      <w:r>
        <w:rPr>
          <w:rFonts w:ascii="宋体" w:hAnsi="宋体" w:cs="宋体"/>
          <w:bCs/>
          <w:sz w:val="24"/>
          <w:szCs w:val="24"/>
        </w:rPr>
        <w:t>50</w:t>
      </w:r>
      <w:r>
        <w:rPr>
          <w:rFonts w:hint="eastAsia" w:ascii="宋体" w:hAnsi="宋体" w:cs="宋体"/>
          <w:bCs/>
          <w:sz w:val="24"/>
          <w:szCs w:val="24"/>
        </w:rPr>
        <w:t xml:space="preserve"> mm×</w:t>
      </w:r>
      <w:r>
        <w:rPr>
          <w:rFonts w:ascii="宋体" w:hAnsi="宋体" w:cs="宋体"/>
          <w:bCs/>
          <w:sz w:val="24"/>
          <w:szCs w:val="24"/>
        </w:rPr>
        <w:t>50</w:t>
      </w:r>
      <w:r>
        <w:rPr>
          <w:rFonts w:hint="eastAsia" w:ascii="宋体" w:hAnsi="宋体" w:cs="宋体"/>
          <w:bCs/>
          <w:sz w:val="24"/>
          <w:szCs w:val="24"/>
        </w:rPr>
        <w:t xml:space="preserve"> mm。</w:t>
      </w:r>
    </w:p>
    <w:p>
      <w:pPr>
        <w:pStyle w:val="6"/>
        <w:spacing w:line="300" w:lineRule="auto"/>
        <w:ind w:left="426" w:leftChars="1" w:hanging="424" w:hangingChars="176"/>
        <w:rPr>
          <w:rFonts w:hint="eastAsia" w:ascii="宋体" w:hAnsi="宋体" w:cs="宋体"/>
          <w:bCs/>
          <w:sz w:val="24"/>
          <w:szCs w:val="24"/>
        </w:rPr>
      </w:pPr>
      <w:r>
        <w:rPr>
          <w:rFonts w:hint="eastAsia" w:ascii="宋体" w:hAnsi="宋体" w:cs="宋体"/>
          <w:b/>
          <w:color w:val="FF0000"/>
          <w:sz w:val="24"/>
          <w:szCs w:val="24"/>
        </w:rPr>
        <w:t>2.4.</w:t>
      </w:r>
      <w:r>
        <w:rPr>
          <w:rFonts w:ascii="宋体" w:hAnsi="宋体" w:cs="宋体"/>
          <w:b/>
          <w:color w:val="FF0000"/>
          <w:sz w:val="24"/>
          <w:szCs w:val="24"/>
        </w:rPr>
        <w:t>#</w:t>
      </w:r>
      <w:r>
        <w:rPr>
          <w:rFonts w:hint="eastAsia" w:ascii="宋体" w:hAnsi="宋体" w:cs="宋体"/>
          <w:b/>
          <w:color w:val="FF0000"/>
          <w:sz w:val="24"/>
          <w:szCs w:val="24"/>
        </w:rPr>
        <w:t xml:space="preserve"> </w:t>
      </w:r>
      <w:r>
        <w:rPr>
          <w:rFonts w:hint="eastAsia" w:ascii="宋体" w:hAnsi="宋体" w:cs="宋体"/>
          <w:bCs/>
          <w:sz w:val="24"/>
          <w:szCs w:val="24"/>
        </w:rPr>
        <w:t>利用制冷机提供低温环境，空载时冷头(带温度探头，真空好于5×10</w:t>
      </w:r>
      <w:r>
        <w:rPr>
          <w:rFonts w:hint="eastAsia" w:ascii="宋体" w:hAnsi="宋体" w:cs="宋体"/>
          <w:bCs/>
          <w:sz w:val="24"/>
          <w:szCs w:val="24"/>
          <w:vertAlign w:val="superscript"/>
        </w:rPr>
        <w:t xml:space="preserve">-4 </w:t>
      </w:r>
      <w:r>
        <w:rPr>
          <w:rFonts w:hint="eastAsia" w:ascii="宋体" w:hAnsi="宋体" w:cs="宋体"/>
          <w:bCs/>
          <w:sz w:val="24"/>
          <w:szCs w:val="24"/>
        </w:rPr>
        <w:t>Pa)最低温度为4</w:t>
      </w:r>
      <w:r>
        <w:rPr>
          <w:rFonts w:ascii="宋体" w:hAnsi="宋体" w:cs="宋体"/>
          <w:bCs/>
          <w:sz w:val="24"/>
          <w:szCs w:val="24"/>
        </w:rPr>
        <w:t>.8 K</w:t>
      </w:r>
      <w:r>
        <w:rPr>
          <w:rFonts w:hint="eastAsia" w:ascii="宋体" w:hAnsi="宋体" w:cs="宋体"/>
          <w:bCs/>
          <w:sz w:val="24"/>
          <w:szCs w:val="24"/>
        </w:rPr>
        <w:t>，并在4.8 K-300 K范围可调，温度稳定性</w:t>
      </w:r>
      <w:r>
        <w:rPr>
          <w:rFonts w:ascii="宋体" w:hAnsi="宋体" w:cs="宋体"/>
          <w:bCs/>
          <w:sz w:val="24"/>
          <w:szCs w:val="24"/>
        </w:rPr>
        <w:t>10</w:t>
      </w:r>
      <w:r>
        <w:rPr>
          <w:rFonts w:hint="eastAsia" w:ascii="宋体" w:hAnsi="宋体" w:cs="宋体"/>
          <w:bCs/>
          <w:sz w:val="24"/>
          <w:szCs w:val="24"/>
        </w:rPr>
        <w:t>分钟内好于0.1K@5</w:t>
      </w:r>
      <w:r>
        <w:rPr>
          <w:rFonts w:ascii="宋体" w:hAnsi="宋体" w:cs="宋体"/>
          <w:bCs/>
          <w:sz w:val="24"/>
          <w:szCs w:val="24"/>
        </w:rPr>
        <w:t xml:space="preserve"> </w:t>
      </w:r>
      <w:r>
        <w:rPr>
          <w:rFonts w:hint="eastAsia" w:ascii="宋体" w:hAnsi="宋体" w:cs="宋体"/>
          <w:bCs/>
          <w:sz w:val="24"/>
          <w:szCs w:val="24"/>
        </w:rPr>
        <w:t>K，冷头上用于离子辐照的区域面积&gt;20 mm×20 mm，冷屏需在相应位置开口&gt;22 mm×22 mm。在辐照区域需要配有4根电学测试线从冷头接至外置源表。冷头具有上下移动功能，可移动范围为0-200 mm，</w:t>
      </w:r>
      <w:r>
        <w:rPr>
          <w:rFonts w:ascii="宋体" w:hAnsi="宋体" w:cs="宋体"/>
          <w:bCs/>
          <w:sz w:val="24"/>
          <w:szCs w:val="24"/>
        </w:rPr>
        <w:t>0</w:t>
      </w:r>
      <w:r>
        <w:rPr>
          <w:rFonts w:hint="eastAsia" w:ascii="宋体" w:hAnsi="宋体" w:cs="宋体"/>
          <w:bCs/>
          <w:sz w:val="24"/>
          <w:szCs w:val="24"/>
        </w:rPr>
        <w:t>点位置为束流辐照位置。</w:t>
      </w:r>
    </w:p>
    <w:p>
      <w:pPr>
        <w:pStyle w:val="6"/>
        <w:spacing w:line="300" w:lineRule="auto"/>
        <w:ind w:left="424" w:leftChars="1" w:hanging="422" w:hangingChars="176"/>
        <w:rPr>
          <w:rFonts w:hint="eastAsia" w:ascii="宋体" w:hAnsi="宋体" w:cs="宋体"/>
          <w:bCs/>
          <w:sz w:val="24"/>
          <w:szCs w:val="24"/>
        </w:rPr>
      </w:pPr>
      <w:r>
        <w:rPr>
          <w:rFonts w:hint="eastAsia" w:ascii="宋体" w:hAnsi="宋体" w:cs="宋体"/>
          <w:bCs/>
          <w:sz w:val="24"/>
          <w:szCs w:val="24"/>
        </w:rPr>
        <w:t>2.5. 配有束流观察和诊断系统，自靶室前端开始依次配有镂空法拉第筒(固定，镂空面积50 mm×50 mm，探测区域均分为四个),可上下移动式法拉第筒（有效面积Ф30</w:t>
      </w:r>
      <w:r>
        <w:rPr>
          <w:rFonts w:ascii="宋体" w:hAnsi="宋体" w:cs="宋体"/>
          <w:bCs/>
          <w:sz w:val="24"/>
          <w:szCs w:val="24"/>
        </w:rPr>
        <w:t xml:space="preserve"> </w:t>
      </w:r>
      <w:r>
        <w:rPr>
          <w:rFonts w:hint="eastAsia" w:ascii="宋体" w:hAnsi="宋体" w:cs="宋体"/>
          <w:bCs/>
          <w:sz w:val="24"/>
          <w:szCs w:val="24"/>
        </w:rPr>
        <w:t>mm），荧光靶，镂空法拉第筒(固定镂空面积150 mm×150 mm，探测区域均分为四个)。</w:t>
      </w:r>
    </w:p>
    <w:p>
      <w:pPr>
        <w:pStyle w:val="6"/>
        <w:spacing w:line="300" w:lineRule="auto"/>
        <w:ind w:left="424" w:leftChars="1" w:hanging="422" w:hangingChars="176"/>
        <w:jc w:val="both"/>
        <w:rPr>
          <w:rFonts w:hint="eastAsia" w:ascii="宋体" w:hAnsi="宋体" w:cs="宋体"/>
          <w:bCs/>
          <w:sz w:val="24"/>
          <w:szCs w:val="24"/>
        </w:rPr>
      </w:pPr>
      <w:r>
        <w:rPr>
          <w:rFonts w:hint="eastAsia" w:ascii="宋体" w:hAnsi="宋体" w:cs="宋体"/>
          <w:bCs/>
          <w:sz w:val="24"/>
          <w:szCs w:val="24"/>
        </w:rPr>
        <w:t>2.6. 主腔室后方配有内径为200 mm的小腔室一个，可与主腔室通过自动插板阀隔开，并在小腔室内留有真空和实验数据获取接口。</w:t>
      </w:r>
    </w:p>
    <w:p>
      <w:pPr>
        <w:pStyle w:val="6"/>
        <w:spacing w:line="300" w:lineRule="auto"/>
        <w:ind w:left="424" w:leftChars="1" w:hanging="422" w:hangingChars="176"/>
        <w:jc w:val="both"/>
        <w:rPr>
          <w:rFonts w:hint="eastAsia" w:ascii="宋体" w:hAnsi="宋体" w:cs="宋体"/>
          <w:bCs/>
          <w:sz w:val="24"/>
          <w:szCs w:val="24"/>
        </w:rPr>
      </w:pPr>
      <w:r>
        <w:rPr>
          <w:rFonts w:hint="eastAsia" w:ascii="宋体" w:hAnsi="宋体" w:cs="宋体"/>
          <w:bCs/>
          <w:sz w:val="24"/>
          <w:szCs w:val="24"/>
        </w:rPr>
        <w:t>2.6. 智能控制系统一套，该控制系统集成泵组控制、真空读取、阀门控制、传样系统、冷头控温及运动控制、束流参数读取等。</w:t>
      </w:r>
    </w:p>
    <w:p>
      <w:pPr>
        <w:pStyle w:val="6"/>
        <w:spacing w:line="300" w:lineRule="auto"/>
        <w:ind w:left="424" w:leftChars="1" w:hanging="422" w:hangingChars="176"/>
        <w:rPr>
          <w:rFonts w:hint="eastAsia" w:ascii="宋体" w:hAnsi="宋体" w:cs="宋体"/>
          <w:bCs/>
          <w:sz w:val="24"/>
          <w:szCs w:val="24"/>
        </w:rPr>
      </w:pPr>
      <w:r>
        <w:rPr>
          <w:rFonts w:hint="eastAsia" w:ascii="宋体" w:hAnsi="宋体" w:cs="宋体"/>
          <w:bCs/>
          <w:sz w:val="24"/>
          <w:szCs w:val="24"/>
        </w:rPr>
        <w:t>2.7. 由用户根据需求自备真空泵和真空计。</w:t>
      </w:r>
    </w:p>
    <w:p>
      <w:pPr>
        <w:pStyle w:val="6"/>
        <w:spacing w:line="300" w:lineRule="auto"/>
        <w:rPr>
          <w:rFonts w:hint="eastAsia" w:ascii="宋体" w:hAnsi="宋体" w:cs="宋体"/>
          <w:bCs/>
          <w:sz w:val="24"/>
          <w:szCs w:val="24"/>
        </w:rPr>
      </w:pPr>
      <w:r>
        <w:rPr>
          <w:rFonts w:hint="eastAsia" w:ascii="宋体" w:hAnsi="宋体" w:cs="宋体"/>
          <w:bCs/>
          <w:sz w:val="24"/>
          <w:szCs w:val="24"/>
        </w:rPr>
        <w:t>设计草图如下：</w:t>
      </w:r>
    </w:p>
    <w:p>
      <w:pPr>
        <w:pStyle w:val="6"/>
        <w:spacing w:line="300" w:lineRule="auto"/>
        <w:rPr>
          <w:rFonts w:hint="eastAsia" w:ascii="宋体" w:hAnsi="宋体" w:cs="宋体"/>
          <w:bCs/>
          <w:sz w:val="24"/>
          <w:szCs w:val="24"/>
        </w:rPr>
      </w:pPr>
      <w:r>
        <w:rPr>
          <w:rFonts w:hint="eastAsia" w:ascii="宋体" w:hAnsi="宋体" w:cs="宋体"/>
          <w:sz w:val="24"/>
          <w:szCs w:val="24"/>
        </w:rPr>
        <w:drawing>
          <wp:anchor distT="0" distB="0" distL="114300" distR="114300" simplePos="0" relativeHeight="251659264" behindDoc="0" locked="0" layoutInCell="1" allowOverlap="1">
            <wp:simplePos x="0" y="0"/>
            <wp:positionH relativeFrom="column">
              <wp:posOffset>2540</wp:posOffset>
            </wp:positionH>
            <wp:positionV relativeFrom="paragraph">
              <wp:posOffset>36195</wp:posOffset>
            </wp:positionV>
            <wp:extent cx="2415540" cy="2503805"/>
            <wp:effectExtent l="0" t="0" r="3810" b="1079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rcRect l="25632" r="28558"/>
                    <a:stretch>
                      <a:fillRect/>
                    </a:stretch>
                  </pic:blipFill>
                  <pic:spPr>
                    <a:xfrm>
                      <a:off x="0" y="0"/>
                      <a:ext cx="2415540" cy="2503805"/>
                    </a:xfrm>
                    <a:prstGeom prst="rect">
                      <a:avLst/>
                    </a:prstGeom>
                    <a:noFill/>
                    <a:ln>
                      <a:noFill/>
                    </a:ln>
                  </pic:spPr>
                </pic:pic>
              </a:graphicData>
            </a:graphic>
          </wp:anchor>
        </w:drawing>
      </w:r>
    </w:p>
    <w:p>
      <w:pPr>
        <w:pStyle w:val="6"/>
        <w:spacing w:line="300" w:lineRule="auto"/>
        <w:rPr>
          <w:rFonts w:hint="eastAsia" w:ascii="宋体" w:hAnsi="宋体" w:cs="宋体"/>
          <w:b/>
          <w:sz w:val="24"/>
          <w:szCs w:val="24"/>
        </w:rPr>
      </w:pPr>
      <w:r>
        <w:rPr>
          <w:rFonts w:hint="eastAsia" w:ascii="宋体" w:hAnsi="宋体" w:cs="宋体"/>
          <w:b/>
          <w:sz w:val="24"/>
          <w:szCs w:val="24"/>
        </w:rPr>
        <w:t>3.技术服务条款：</w:t>
      </w:r>
    </w:p>
    <w:p>
      <w:pPr>
        <w:pStyle w:val="6"/>
        <w:spacing w:line="300" w:lineRule="auto"/>
        <w:rPr>
          <w:rFonts w:hint="eastAsia" w:ascii="宋体" w:hAnsi="宋体" w:cs="宋体"/>
          <w:b/>
          <w:bCs/>
          <w:sz w:val="24"/>
          <w:szCs w:val="24"/>
        </w:rPr>
      </w:pPr>
      <w:r>
        <w:rPr>
          <w:rFonts w:hint="eastAsia" w:ascii="宋体" w:hAnsi="宋体" w:cs="宋体"/>
          <w:b/>
          <w:bCs/>
          <w:sz w:val="24"/>
          <w:szCs w:val="24"/>
        </w:rPr>
        <w:t>3.1.设计方案确认及预验收：</w:t>
      </w:r>
    </w:p>
    <w:p>
      <w:pPr>
        <w:pStyle w:val="6"/>
        <w:spacing w:line="300" w:lineRule="auto"/>
        <w:rPr>
          <w:rFonts w:hint="eastAsia" w:ascii="宋体" w:hAnsi="宋体" w:cs="宋体"/>
          <w:sz w:val="24"/>
          <w:szCs w:val="24"/>
          <w:u w:val="single"/>
        </w:rPr>
      </w:pPr>
      <w:r>
        <w:rPr>
          <w:rFonts w:hint="eastAsia" w:ascii="宋体" w:hAnsi="宋体" w:cs="宋体"/>
          <w:bCs/>
          <w:sz w:val="24"/>
          <w:szCs w:val="24"/>
        </w:rPr>
        <w:tab/>
      </w:r>
      <w:r>
        <w:rPr>
          <w:rFonts w:hint="eastAsia" w:ascii="宋体" w:hAnsi="宋体" w:cs="宋体"/>
          <w:bCs/>
          <w:sz w:val="24"/>
          <w:szCs w:val="24"/>
        </w:rPr>
        <w:t>采购方和厂家共同协商，最终确定设计方案。按照最终设计方案，开展仪器设备加工，加工完成后，在厂家进行仪器调试、完成预验收。</w:t>
      </w:r>
    </w:p>
    <w:p>
      <w:pPr>
        <w:pStyle w:val="6"/>
        <w:spacing w:line="300" w:lineRule="auto"/>
        <w:rPr>
          <w:rFonts w:hint="eastAsia" w:ascii="宋体" w:hAnsi="宋体" w:cs="宋体"/>
          <w:b/>
          <w:bCs/>
          <w:sz w:val="24"/>
          <w:szCs w:val="24"/>
        </w:rPr>
      </w:pPr>
      <w:r>
        <w:rPr>
          <w:rFonts w:hint="eastAsia" w:ascii="宋体" w:hAnsi="宋体" w:cs="宋体"/>
          <w:b/>
          <w:bCs/>
          <w:sz w:val="24"/>
          <w:szCs w:val="24"/>
        </w:rPr>
        <w:t>3.2.安装、试运行及最终验收：</w:t>
      </w:r>
    </w:p>
    <w:p>
      <w:pPr>
        <w:pStyle w:val="6"/>
        <w:spacing w:line="300" w:lineRule="auto"/>
        <w:rPr>
          <w:rFonts w:hint="eastAsia" w:ascii="宋体" w:hAnsi="宋体" w:cs="宋体"/>
          <w:b/>
          <w:bCs/>
          <w:sz w:val="24"/>
          <w:szCs w:val="24"/>
        </w:rPr>
      </w:pPr>
      <w:r>
        <w:rPr>
          <w:rFonts w:hint="eastAsia" w:ascii="宋体" w:hAnsi="宋体" w:cs="宋体"/>
          <w:bCs/>
          <w:sz w:val="24"/>
          <w:szCs w:val="24"/>
        </w:rPr>
        <w:tab/>
      </w:r>
      <w:r>
        <w:rPr>
          <w:rFonts w:hint="eastAsia" w:ascii="宋体" w:hAnsi="宋体" w:cs="宋体"/>
          <w:bCs/>
          <w:sz w:val="24"/>
          <w:szCs w:val="24"/>
        </w:rPr>
        <w:t>经得采购方许可，进行设备托运、卸装，由厂家指排专业工程师进行现场安装、调试，提供培训服务，试运行正常后，进行最终验收。最终验收时需要加工方提供全套加工图纸和相应软件。</w:t>
      </w:r>
    </w:p>
    <w:p>
      <w:pPr>
        <w:pStyle w:val="6"/>
        <w:spacing w:line="300" w:lineRule="auto"/>
        <w:rPr>
          <w:rFonts w:hint="eastAsia" w:ascii="宋体" w:hAnsi="宋体" w:cs="宋体"/>
          <w:b/>
          <w:bCs/>
          <w:sz w:val="24"/>
          <w:szCs w:val="24"/>
        </w:rPr>
      </w:pPr>
      <w:r>
        <w:rPr>
          <w:rFonts w:hint="eastAsia" w:ascii="宋体" w:hAnsi="宋体" w:cs="宋体"/>
          <w:b/>
          <w:bCs/>
          <w:sz w:val="24"/>
          <w:szCs w:val="24"/>
        </w:rPr>
        <w:t>3.3.培训：</w:t>
      </w:r>
    </w:p>
    <w:p>
      <w:pPr>
        <w:pStyle w:val="6"/>
        <w:spacing w:line="300" w:lineRule="auto"/>
        <w:rPr>
          <w:rFonts w:hint="eastAsia" w:ascii="宋体" w:hAnsi="宋体" w:cs="宋体"/>
          <w:b/>
          <w:bCs/>
          <w:sz w:val="24"/>
          <w:szCs w:val="24"/>
        </w:rPr>
      </w:pPr>
      <w:r>
        <w:rPr>
          <w:rFonts w:hint="eastAsia" w:ascii="宋体" w:hAnsi="宋体" w:cs="宋体"/>
          <w:bCs/>
          <w:sz w:val="24"/>
          <w:szCs w:val="24"/>
        </w:rPr>
        <w:t>针对仪器的正常使用及日常维护，由厂家专业工程师现场提供系统的使用培训服务。</w:t>
      </w:r>
    </w:p>
    <w:p>
      <w:pPr>
        <w:numPr>
          <w:ilvl w:val="0"/>
          <w:numId w:val="2"/>
        </w:numPr>
        <w:spacing w:line="360" w:lineRule="auto"/>
        <w:rPr>
          <w:rFonts w:hint="eastAsia" w:ascii="宋体" w:hAnsi="宋体" w:cs="宋体"/>
          <w:b/>
          <w:bCs/>
          <w:sz w:val="24"/>
        </w:rPr>
      </w:pPr>
      <w:r>
        <w:rPr>
          <w:rFonts w:hint="eastAsia" w:ascii="宋体" w:hAnsi="宋体" w:cs="宋体"/>
          <w:b/>
          <w:bCs/>
          <w:sz w:val="24"/>
        </w:rPr>
        <w:t>采购标的需执行的国家相关标准、行业标准、地方标准或者其他标准、规范：</w:t>
      </w:r>
    </w:p>
    <w:p>
      <w:pPr>
        <w:pStyle w:val="6"/>
        <w:spacing w:line="360" w:lineRule="auto"/>
        <w:ind w:left="420"/>
        <w:rPr>
          <w:rFonts w:hint="eastAsia" w:ascii="宋体" w:hAnsi="宋体" w:cs="宋体"/>
          <w:b/>
          <w:bCs/>
          <w:sz w:val="24"/>
          <w:szCs w:val="24"/>
        </w:rPr>
      </w:pPr>
      <w:r>
        <w:rPr>
          <w:rFonts w:hint="eastAsia" w:ascii="宋体" w:hAnsi="宋体" w:cs="宋体"/>
          <w:sz w:val="24"/>
          <w:szCs w:val="24"/>
          <w:u w:val="single"/>
        </w:rPr>
        <w:t>按照真空部件相关标准执行</w:t>
      </w:r>
    </w:p>
    <w:p>
      <w:pPr>
        <w:numPr>
          <w:ilvl w:val="0"/>
          <w:numId w:val="2"/>
        </w:numPr>
        <w:spacing w:line="360" w:lineRule="auto"/>
        <w:rPr>
          <w:rFonts w:hint="eastAsia" w:ascii="宋体" w:hAnsi="宋体" w:cs="宋体"/>
          <w:b/>
          <w:bCs/>
          <w:sz w:val="24"/>
        </w:rPr>
      </w:pPr>
      <w:bookmarkStart w:id="5" w:name="_Toc258264687"/>
      <w:bookmarkStart w:id="6" w:name="_Toc289948435"/>
      <w:bookmarkStart w:id="7" w:name="_Toc403258042"/>
      <w:bookmarkStart w:id="8" w:name="_Toc230357439"/>
      <w:r>
        <w:rPr>
          <w:rFonts w:hint="eastAsia" w:ascii="宋体" w:hAnsi="宋体" w:cs="宋体"/>
          <w:b/>
          <w:bCs/>
          <w:sz w:val="24"/>
        </w:rPr>
        <w:t>售后服务要求：（其他）</w:t>
      </w:r>
    </w:p>
    <w:p>
      <w:pPr>
        <w:spacing w:line="360" w:lineRule="auto"/>
        <w:rPr>
          <w:rFonts w:hint="eastAsia" w:ascii="宋体" w:hAnsi="宋体" w:cs="宋体"/>
          <w:b/>
          <w:bCs/>
          <w:sz w:val="24"/>
        </w:rPr>
      </w:pPr>
      <w:r>
        <w:rPr>
          <w:rFonts w:hint="eastAsia" w:ascii="宋体" w:hAnsi="宋体" w:cs="宋体"/>
          <w:b/>
          <w:bCs/>
          <w:sz w:val="24"/>
        </w:rPr>
        <w:t>（应包括采购标的需满足的技术服务条款中所涉要求、标准、期限、效率等要求)：</w:t>
      </w:r>
    </w:p>
    <w:p>
      <w:pPr>
        <w:pStyle w:val="6"/>
        <w:spacing w:line="300" w:lineRule="auto"/>
        <w:rPr>
          <w:rFonts w:hint="eastAsia" w:ascii="宋体" w:hAnsi="宋体" w:cs="宋体"/>
          <w:sz w:val="24"/>
          <w:szCs w:val="24"/>
          <w:u w:val="single"/>
        </w:rPr>
      </w:pPr>
      <w:r>
        <w:rPr>
          <w:rFonts w:hint="eastAsia" w:ascii="宋体" w:hAnsi="宋体" w:cs="宋体"/>
          <w:bCs/>
          <w:sz w:val="24"/>
          <w:szCs w:val="24"/>
        </w:rPr>
        <w:t>3.1. 质保期要求，自安装调试验收后2年内。质保期内，任何由制造商选材和制造不当引起的质量问题，厂商负责免费维修或更换。质保期自验收完成后签字之日起计算。</w:t>
      </w:r>
    </w:p>
    <w:p>
      <w:pPr>
        <w:spacing w:line="360" w:lineRule="auto"/>
        <w:rPr>
          <w:rFonts w:hint="eastAsia" w:ascii="宋体" w:hAnsi="宋体" w:cs="宋体"/>
          <w:b/>
          <w:bCs/>
          <w:sz w:val="24"/>
        </w:rPr>
      </w:pPr>
      <w:r>
        <w:rPr>
          <w:rFonts w:hint="eastAsia" w:ascii="宋体" w:hAnsi="宋体" w:cs="宋体"/>
          <w:b/>
          <w:bCs/>
          <w:sz w:val="24"/>
        </w:rPr>
        <w:t>3.2.维修响应时间：</w:t>
      </w:r>
    </w:p>
    <w:p>
      <w:pPr>
        <w:spacing w:line="360" w:lineRule="auto"/>
        <w:rPr>
          <w:rFonts w:hint="eastAsia" w:ascii="宋体" w:hAnsi="宋体" w:cs="宋体"/>
          <w:b/>
          <w:bCs/>
          <w:sz w:val="24"/>
        </w:rPr>
      </w:pPr>
      <w:r>
        <w:rPr>
          <w:rFonts w:hint="eastAsia" w:ascii="宋体" w:hAnsi="宋体" w:cs="宋体"/>
          <w:bCs/>
          <w:sz w:val="24"/>
        </w:rPr>
        <w:t>维修响应时间：1-3天</w:t>
      </w:r>
    </w:p>
    <w:p>
      <w:pPr>
        <w:spacing w:line="360" w:lineRule="auto"/>
        <w:rPr>
          <w:rFonts w:hint="eastAsia" w:ascii="宋体" w:hAnsi="宋体" w:cs="宋体"/>
          <w:b/>
          <w:bCs/>
          <w:sz w:val="24"/>
        </w:rPr>
      </w:pPr>
      <w:r>
        <w:rPr>
          <w:rFonts w:hint="eastAsia" w:ascii="宋体" w:hAnsi="宋体" w:cs="宋体"/>
          <w:b/>
          <w:bCs/>
          <w:sz w:val="24"/>
        </w:rPr>
        <w:t>3.3.到货安装调试完成后，有专业工程师现场提供一次系统的使用培训服务，直至采购相关人员熟练掌握为止。</w:t>
      </w:r>
    </w:p>
    <w:p>
      <w:pPr>
        <w:spacing w:line="360" w:lineRule="auto"/>
        <w:rPr>
          <w:rFonts w:hint="eastAsia" w:ascii="宋体" w:hAnsi="宋体" w:cs="宋体"/>
          <w:b/>
          <w:bCs/>
          <w:sz w:val="24"/>
        </w:rPr>
      </w:pPr>
      <w:r>
        <w:rPr>
          <w:rFonts w:hint="eastAsia" w:ascii="宋体" w:hAnsi="宋体" w:cs="宋体"/>
          <w:b/>
          <w:bCs/>
          <w:sz w:val="24"/>
        </w:rPr>
        <w:t>四、验收标准：</w:t>
      </w:r>
    </w:p>
    <w:p>
      <w:pPr>
        <w:spacing w:line="360" w:lineRule="auto"/>
        <w:rPr>
          <w:rFonts w:hint="eastAsia" w:ascii="宋体" w:hAnsi="宋体" w:cs="宋体"/>
          <w:b/>
          <w:bCs/>
          <w:sz w:val="24"/>
        </w:rPr>
      </w:pPr>
      <w:r>
        <w:rPr>
          <w:rFonts w:hint="eastAsia" w:ascii="宋体" w:hAnsi="宋体" w:cs="宋体"/>
          <w:b/>
          <w:bCs/>
          <w:sz w:val="24"/>
        </w:rPr>
        <w:t>4.1.设备到货：</w:t>
      </w:r>
      <w:r>
        <w:rPr>
          <w:rFonts w:hint="eastAsia" w:ascii="宋体" w:hAnsi="宋体" w:cs="宋体"/>
          <w:bCs/>
          <w:sz w:val="24"/>
        </w:rPr>
        <w:t>由采购人协助厂家进行货物卸运、场地协调等事宜。</w:t>
      </w:r>
    </w:p>
    <w:p>
      <w:pPr>
        <w:spacing w:line="360" w:lineRule="auto"/>
        <w:rPr>
          <w:rFonts w:hint="eastAsia" w:ascii="宋体" w:hAnsi="宋体" w:cs="宋体"/>
          <w:b/>
          <w:bCs/>
          <w:sz w:val="24"/>
        </w:rPr>
      </w:pPr>
      <w:r>
        <w:rPr>
          <w:rFonts w:hint="eastAsia" w:ascii="宋体" w:hAnsi="宋体" w:cs="宋体"/>
          <w:b/>
          <w:bCs/>
          <w:sz w:val="24"/>
        </w:rPr>
        <w:t>4.3.设备安装调试：设备的性能应符合供货方应答文件中承诺的技术指标，所有指标验收必须由用户确认。</w:t>
      </w:r>
    </w:p>
    <w:bookmarkEnd w:id="5"/>
    <w:bookmarkEnd w:id="6"/>
    <w:bookmarkEnd w:id="7"/>
    <w:bookmarkEnd w:id="8"/>
    <w:p>
      <w:pPr>
        <w:numPr>
          <w:ilvl w:val="0"/>
          <w:numId w:val="3"/>
        </w:numPr>
        <w:spacing w:line="300" w:lineRule="auto"/>
        <w:rPr>
          <w:rFonts w:hint="eastAsia" w:ascii="宋体" w:hAnsi="宋体" w:cs="宋体"/>
          <w:b/>
          <w:bCs/>
          <w:sz w:val="24"/>
        </w:rPr>
      </w:pPr>
      <w:r>
        <w:rPr>
          <w:rFonts w:hint="eastAsia" w:ascii="宋体" w:hAnsi="宋体" w:cs="宋体"/>
          <w:b/>
          <w:bCs/>
          <w:sz w:val="24"/>
        </w:rPr>
        <w:t>交货地点：</w:t>
      </w:r>
    </w:p>
    <w:p>
      <w:pPr>
        <w:spacing w:line="300" w:lineRule="auto"/>
        <w:rPr>
          <w:rFonts w:hint="eastAsia" w:ascii="宋体" w:hAnsi="宋体" w:cs="宋体"/>
          <w:sz w:val="24"/>
        </w:rPr>
      </w:pPr>
      <w:r>
        <w:rPr>
          <w:rFonts w:hint="eastAsia" w:ascii="宋体" w:hAnsi="宋体" w:cs="宋体"/>
          <w:sz w:val="24"/>
        </w:rPr>
        <w:t>甘肃省兰州市城关区南昌路509号中国科学院近代物理研究所或研究所指定地点。</w:t>
      </w:r>
    </w:p>
    <w:p>
      <w:pPr>
        <w:spacing w:line="360" w:lineRule="auto"/>
        <w:rPr>
          <w:rFonts w:hint="eastAsia" w:ascii="宋体" w:hAnsi="宋体" w:cs="宋体"/>
          <w:b/>
          <w:bCs/>
          <w:sz w:val="24"/>
        </w:rPr>
      </w:pPr>
      <w:r>
        <w:rPr>
          <w:rFonts w:hint="eastAsia" w:ascii="宋体" w:hAnsi="宋体" w:cs="宋体"/>
          <w:b/>
          <w:bCs/>
          <w:sz w:val="24"/>
        </w:rPr>
        <w:t>六、交货期：合同签订后</w:t>
      </w:r>
      <w:r>
        <w:rPr>
          <w:rFonts w:ascii="宋体" w:hAnsi="宋体" w:cs="宋体"/>
          <w:b/>
          <w:bCs/>
          <w:sz w:val="24"/>
        </w:rPr>
        <w:t>180</w:t>
      </w:r>
      <w:r>
        <w:rPr>
          <w:rFonts w:hint="eastAsia" w:ascii="宋体" w:hAnsi="宋体" w:cs="宋体"/>
          <w:b/>
          <w:bCs/>
          <w:sz w:val="24"/>
        </w:rPr>
        <w:t>日内交货并安装完毕。</w:t>
      </w:r>
    </w:p>
    <w:p>
      <w:pPr>
        <w:spacing w:line="360" w:lineRule="auto"/>
        <w:ind w:firstLine="600"/>
        <w:rPr>
          <w:rFonts w:hint="eastAsia" w:ascii="宋体" w:hAnsi="宋体" w:cs="宋体"/>
          <w:sz w:val="24"/>
        </w:rPr>
      </w:pPr>
    </w:p>
    <w:p>
      <w:bookmarkStart w:id="9" w:name="_GoBack"/>
      <w:bookmarkEnd w:id="9"/>
    </w:p>
    <w:sectPr>
      <w:footerReference r:id="rId3" w:type="default"/>
      <w:footerReference r:id="rId4" w:type="even"/>
      <w:pgSz w:w="11906" w:h="16838"/>
      <w:pgMar w:top="1134" w:right="1466" w:bottom="1134" w:left="1260" w:header="737" w:footer="851"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fldChar w:fldCharType="begin"/>
    </w:r>
    <w:r>
      <w:rPr>
        <w:rStyle w:val="5"/>
      </w:rPr>
      <w:instrText xml:space="preserve">PAGE  </w:instrText>
    </w:r>
    <w:r>
      <w:fldChar w:fldCharType="separate"/>
    </w:r>
    <w:r>
      <w:rPr>
        <w:rStyle w:val="5"/>
      </w:rPr>
      <w:t>65</w:t>
    </w:r>
    <w: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fldChar w:fldCharType="begin"/>
    </w:r>
    <w:r>
      <w:rPr>
        <w:rStyle w:val="5"/>
      </w:rPr>
      <w:instrText xml:space="preserve">PAGE  </w:instrText>
    </w:r>
    <w:r>
      <w:fldChar w:fldCharType="separate"/>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2FEB78"/>
    <w:multiLevelType w:val="singleLevel"/>
    <w:tmpl w:val="F52FEB78"/>
    <w:lvl w:ilvl="0" w:tentative="0">
      <w:start w:val="5"/>
      <w:numFmt w:val="chineseCounting"/>
      <w:suff w:val="nothing"/>
      <w:lvlText w:val="%1、"/>
      <w:lvlJc w:val="left"/>
      <w:rPr>
        <w:rFonts w:hint="eastAsia"/>
      </w:rPr>
    </w:lvl>
  </w:abstractNum>
  <w:abstractNum w:abstractNumId="1">
    <w:nsid w:val="24754ED2"/>
    <w:multiLevelType w:val="multilevel"/>
    <w:tmpl w:val="24754ED2"/>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69CC3875"/>
    <w:multiLevelType w:val="singleLevel"/>
    <w:tmpl w:val="69CC3875"/>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D1102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szCs w:val="18"/>
    </w:rPr>
  </w:style>
  <w:style w:type="character" w:styleId="5">
    <w:name w:val="page number"/>
    <w:basedOn w:val="4"/>
    <w:uiPriority w:val="0"/>
  </w:style>
  <w:style w:type="paragraph" w:styleId="6">
    <w:name w:val="List Paragraph"/>
    <w:basedOn w:val="1"/>
    <w:qFormat/>
    <w:uiPriority w:val="34"/>
    <w:pPr>
      <w:widowControl/>
      <w:spacing w:after="160" w:line="259" w:lineRule="auto"/>
      <w:ind w:left="720"/>
      <w:contextualSpacing/>
      <w:jc w:val="left"/>
    </w:pPr>
    <w:rPr>
      <w:rFonts w:ascii="Calibri" w:hAnsi="Calibri" w:eastAsia="宋体" w:cs="Times New Roman"/>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2020-06-11T09:31:28Z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