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D6280">
      <w:pPr>
        <w:keepNext/>
        <w:spacing w:line="480" w:lineRule="auto"/>
        <w:rPr>
          <w:rFonts w:ascii="华文中宋" w:hAnsi="华文中宋" w:eastAsia="华文中宋"/>
          <w:b/>
          <w:sz w:val="72"/>
        </w:rPr>
      </w:pPr>
      <w:r>
        <w:rPr>
          <w:rFonts w:ascii="宋体" w:hAnsi="宋体"/>
        </w:rPr>
        <w:drawing>
          <wp:inline distT="0" distB="0" distL="0" distR="0">
            <wp:extent cx="1421765" cy="553085"/>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2355" cy="553658"/>
                    </a:xfrm>
                    <a:prstGeom prst="rect">
                      <a:avLst/>
                    </a:prstGeom>
                    <a:noFill/>
                    <a:ln>
                      <a:noFill/>
                    </a:ln>
                  </pic:spPr>
                </pic:pic>
              </a:graphicData>
            </a:graphic>
          </wp:inline>
        </w:drawing>
      </w:r>
    </w:p>
    <w:p w14:paraId="43C554C1">
      <w:pPr>
        <w:snapToGrid w:val="0"/>
        <w:spacing w:before="156" w:beforeLines="50"/>
        <w:rPr>
          <w:rFonts w:ascii="仿宋_GB2312" w:eastAsia="仿宋_GB2312"/>
          <w:b/>
          <w:sz w:val="32"/>
        </w:rPr>
      </w:pPr>
    </w:p>
    <w:p w14:paraId="0B4241A3">
      <w:pPr>
        <w:snapToGrid w:val="0"/>
        <w:spacing w:before="156" w:beforeLines="50"/>
        <w:rPr>
          <w:rFonts w:ascii="仿宋_GB2312" w:eastAsia="仿宋_GB2312"/>
          <w:b/>
          <w:sz w:val="32"/>
        </w:rPr>
      </w:pPr>
    </w:p>
    <w:p w14:paraId="71A0A1B5">
      <w:pPr>
        <w:snapToGrid w:val="0"/>
        <w:spacing w:before="156" w:beforeLines="50"/>
        <w:jc w:val="center"/>
        <w:rPr>
          <w:rFonts w:ascii="仿宋_GB2312" w:eastAsia="仿宋_GB2312"/>
          <w:b/>
          <w:sz w:val="44"/>
          <w:szCs w:val="44"/>
        </w:rPr>
      </w:pPr>
      <w:r>
        <w:rPr>
          <w:rFonts w:hint="eastAsia" w:ascii="仿宋_GB2312" w:eastAsia="仿宋_GB2312"/>
          <w:b/>
          <w:sz w:val="44"/>
          <w:szCs w:val="44"/>
        </w:rPr>
        <w:t>采购服务公开招标项目</w:t>
      </w:r>
    </w:p>
    <w:p w14:paraId="26EC1FBD">
      <w:pPr>
        <w:snapToGrid w:val="0"/>
        <w:spacing w:before="156" w:beforeLines="50"/>
        <w:jc w:val="center"/>
        <w:rPr>
          <w:rFonts w:ascii="黑体" w:hAnsi="华文中宋" w:eastAsia="黑体" w:cs="华文中宋"/>
          <w:b/>
          <w:bCs/>
          <w:sz w:val="72"/>
          <w:szCs w:val="72"/>
        </w:rPr>
      </w:pPr>
    </w:p>
    <w:p w14:paraId="5E691627">
      <w:pPr>
        <w:snapToGrid w:val="0"/>
        <w:spacing w:before="156" w:beforeLines="50"/>
        <w:jc w:val="center"/>
        <w:rPr>
          <w:rFonts w:ascii="楷体_GB2312" w:eastAsia="楷体_GB2312"/>
          <w:b/>
          <w:sz w:val="120"/>
          <w:szCs w:val="120"/>
        </w:rPr>
      </w:pPr>
      <w:r>
        <w:rPr>
          <w:rFonts w:hint="eastAsia" w:ascii="楷体_GB2312" w:eastAsia="楷体_GB2312"/>
          <w:b/>
          <w:sz w:val="120"/>
          <w:szCs w:val="120"/>
        </w:rPr>
        <w:t>招 标 文 件</w:t>
      </w:r>
    </w:p>
    <w:p w14:paraId="1C5F6D86">
      <w:pPr>
        <w:spacing w:line="360" w:lineRule="auto"/>
        <w:rPr>
          <w:rFonts w:ascii="宋体" w:hAnsi="宋体"/>
          <w:sz w:val="24"/>
        </w:rPr>
      </w:pPr>
    </w:p>
    <w:p w14:paraId="00DD80C5">
      <w:pPr>
        <w:snapToGrid w:val="0"/>
        <w:spacing w:before="156" w:beforeLines="50"/>
        <w:jc w:val="left"/>
        <w:rPr>
          <w:rFonts w:hint="eastAsia" w:ascii="仿宋_GB2312" w:eastAsia="仿宋_GB2312"/>
          <w:b/>
          <w:sz w:val="36"/>
          <w:szCs w:val="36"/>
          <w:lang w:eastAsia="zh-CN"/>
        </w:rPr>
      </w:pPr>
      <w:r>
        <w:rPr>
          <w:rFonts w:hint="eastAsia" w:ascii="仿宋_GB2312" w:eastAsia="仿宋_GB2312"/>
          <w:b/>
          <w:sz w:val="36"/>
          <w:szCs w:val="36"/>
        </w:rPr>
        <w:t>项目编号：</w:t>
      </w:r>
      <w:r>
        <w:rPr>
          <w:rFonts w:hint="eastAsia" w:ascii="仿宋_GB2312" w:eastAsia="仿宋_GB2312"/>
          <w:b/>
          <w:sz w:val="36"/>
          <w:szCs w:val="36"/>
          <w:lang w:eastAsia="zh-CN"/>
        </w:rPr>
        <w:t>CLZ0126FS00QY05</w:t>
      </w:r>
    </w:p>
    <w:p w14:paraId="4FE5B1B8">
      <w:pPr>
        <w:snapToGrid w:val="0"/>
        <w:spacing w:before="156" w:beforeLines="50"/>
        <w:ind w:left="1843" w:hanging="1835" w:hangingChars="510"/>
        <w:jc w:val="left"/>
        <w:rPr>
          <w:rFonts w:hint="eastAsia" w:ascii="仿宋_GB2312" w:eastAsia="仿宋_GB2312"/>
          <w:b/>
          <w:sz w:val="36"/>
          <w:szCs w:val="36"/>
          <w:lang w:eastAsia="zh-CN"/>
        </w:rPr>
      </w:pPr>
      <w:r>
        <w:rPr>
          <w:rFonts w:hint="eastAsia" w:ascii="仿宋_GB2312" w:eastAsia="仿宋_GB2312"/>
          <w:b/>
          <w:sz w:val="36"/>
          <w:szCs w:val="36"/>
        </w:rPr>
        <w:t>项目名称：</w:t>
      </w:r>
      <w:r>
        <w:rPr>
          <w:rFonts w:hint="eastAsia" w:ascii="仿宋_GB2312" w:eastAsia="仿宋_GB2312"/>
          <w:b/>
          <w:sz w:val="36"/>
          <w:szCs w:val="36"/>
          <w:lang w:eastAsia="zh-CN"/>
        </w:rPr>
        <w:t>中华人民共和国佛山出入境边防检查站2026年度节日慰问品采购项目</w:t>
      </w:r>
    </w:p>
    <w:p w14:paraId="258F94AC">
      <w:pPr>
        <w:spacing w:line="360" w:lineRule="auto"/>
        <w:rPr>
          <w:rFonts w:eastAsia="华文中宋"/>
          <w:sz w:val="24"/>
          <w:szCs w:val="21"/>
        </w:rPr>
      </w:pPr>
    </w:p>
    <w:p w14:paraId="6C433893">
      <w:pPr>
        <w:spacing w:line="360" w:lineRule="auto"/>
        <w:rPr>
          <w:rFonts w:eastAsia="华文中宋"/>
          <w:sz w:val="24"/>
          <w:szCs w:val="21"/>
        </w:rPr>
      </w:pPr>
    </w:p>
    <w:p w14:paraId="1F6FDCA9">
      <w:pPr>
        <w:snapToGrid w:val="0"/>
        <w:spacing w:before="156" w:beforeLines="50"/>
        <w:jc w:val="center"/>
        <w:rPr>
          <w:rFonts w:hint="eastAsia" w:ascii="仿宋_GB2312" w:eastAsia="仿宋_GB2312"/>
          <w:b/>
          <w:sz w:val="36"/>
          <w:szCs w:val="36"/>
          <w:lang w:eastAsia="zh-CN"/>
        </w:rPr>
      </w:pPr>
      <w:r>
        <w:rPr>
          <w:rFonts w:hint="eastAsia" w:ascii="仿宋_GB2312" w:eastAsia="仿宋_GB2312"/>
          <w:b/>
          <w:sz w:val="36"/>
          <w:szCs w:val="36"/>
          <w:lang w:eastAsia="zh-CN"/>
        </w:rPr>
        <w:t>中华人民共和国佛山出入境边防检查站</w:t>
      </w:r>
    </w:p>
    <w:p w14:paraId="3F777688">
      <w:pPr>
        <w:snapToGrid w:val="0"/>
        <w:spacing w:before="156" w:beforeLines="50"/>
        <w:jc w:val="center"/>
        <w:rPr>
          <w:rFonts w:ascii="仿宋_GB2312" w:eastAsia="仿宋_GB2312"/>
          <w:b/>
          <w:sz w:val="36"/>
          <w:szCs w:val="36"/>
        </w:rPr>
      </w:pPr>
      <w:r>
        <w:rPr>
          <w:rFonts w:hint="eastAsia" w:ascii="仿宋_GB2312" w:eastAsia="仿宋_GB2312"/>
          <w:b/>
          <w:sz w:val="36"/>
          <w:szCs w:val="36"/>
        </w:rPr>
        <w:t>佛山采联采购招标有限公司</w:t>
      </w:r>
    </w:p>
    <w:p w14:paraId="78A38626">
      <w:pPr>
        <w:snapToGrid w:val="0"/>
        <w:spacing w:before="156" w:beforeLines="50"/>
        <w:jc w:val="center"/>
        <w:rPr>
          <w:rFonts w:ascii="仿宋_GB2312" w:eastAsia="仿宋_GB2312"/>
          <w:b/>
          <w:sz w:val="40"/>
          <w:szCs w:val="40"/>
        </w:rPr>
        <w:sectPr>
          <w:headerReference r:id="rId7" w:type="first"/>
          <w:footerReference r:id="rId9" w:type="first"/>
          <w:headerReference r:id="rId5" w:type="default"/>
          <w:headerReference r:id="rId6" w:type="even"/>
          <w:footerReference r:id="rId8" w:type="even"/>
          <w:pgSz w:w="11906" w:h="16838"/>
          <w:pgMar w:top="1440" w:right="1466" w:bottom="1440" w:left="1800" w:header="567" w:footer="992" w:gutter="0"/>
          <w:cols w:space="720" w:num="1"/>
          <w:docGrid w:type="linesAndChars" w:linePitch="312" w:charSpace="0"/>
        </w:sectPr>
      </w:pPr>
      <w:r>
        <w:rPr>
          <w:rFonts w:hint="eastAsia" w:ascii="仿宋_GB2312" w:eastAsia="仿宋_GB2312"/>
          <w:b/>
          <w:sz w:val="36"/>
          <w:szCs w:val="36"/>
        </w:rPr>
        <w:t>二○二</w:t>
      </w:r>
      <w:r>
        <w:rPr>
          <w:rFonts w:hint="eastAsia" w:ascii="仿宋_GB2312" w:eastAsia="仿宋_GB2312"/>
          <w:b/>
          <w:sz w:val="36"/>
          <w:szCs w:val="36"/>
          <w:lang w:eastAsia="zh-CN"/>
        </w:rPr>
        <w:t>六</w:t>
      </w:r>
      <w:r>
        <w:rPr>
          <w:rFonts w:hint="eastAsia" w:ascii="仿宋_GB2312" w:eastAsia="仿宋_GB2312"/>
          <w:b/>
          <w:sz w:val="36"/>
          <w:szCs w:val="36"/>
        </w:rPr>
        <w:t>年</w:t>
      </w:r>
    </w:p>
    <w:p w14:paraId="3B7875BD">
      <w:pPr>
        <w:autoSpaceDE w:val="0"/>
        <w:autoSpaceDN w:val="0"/>
        <w:snapToGrid w:val="0"/>
        <w:spacing w:before="156" w:beforeLines="50" w:after="156" w:afterLines="50"/>
        <w:jc w:val="center"/>
        <w:rPr>
          <w:rFonts w:ascii="黑体" w:hAnsi="黑体" w:eastAsia="黑体"/>
          <w:b/>
          <w:sz w:val="44"/>
          <w:szCs w:val="44"/>
        </w:rPr>
      </w:pPr>
      <w:r>
        <w:rPr>
          <w:rFonts w:hint="eastAsia" w:ascii="黑体" w:hAnsi="黑体" w:eastAsia="黑体"/>
          <w:b/>
          <w:sz w:val="44"/>
          <w:szCs w:val="44"/>
        </w:rPr>
        <w:t>温馨提示！！！</w:t>
      </w:r>
    </w:p>
    <w:p w14:paraId="1AFEA8ED">
      <w:pPr>
        <w:numPr>
          <w:ilvl w:val="0"/>
          <w:numId w:val="2"/>
        </w:numPr>
        <w:tabs>
          <w:tab w:val="left" w:pos="709"/>
        </w:tabs>
        <w:spacing w:line="360" w:lineRule="auto"/>
        <w:ind w:left="700" w:hanging="700"/>
        <w:rPr>
          <w:rFonts w:ascii="宋体" w:hAnsi="宋体"/>
          <w:sz w:val="24"/>
        </w:rPr>
      </w:pPr>
      <w:r>
        <w:rPr>
          <w:rFonts w:hint="eastAsia" w:ascii="宋体" w:hAnsi="宋体"/>
          <w:sz w:val="24"/>
        </w:rPr>
        <w:t>本项目邀请投标人参加开标会议，请</w:t>
      </w:r>
      <w:r>
        <w:rPr>
          <w:rFonts w:hint="eastAsia" w:ascii="宋体" w:hAnsi="宋体"/>
          <w:b/>
          <w:sz w:val="24"/>
        </w:rPr>
        <w:t>适当提前到达</w:t>
      </w:r>
      <w:r>
        <w:rPr>
          <w:rFonts w:hint="eastAsia" w:ascii="宋体" w:hAnsi="宋体"/>
          <w:sz w:val="24"/>
        </w:rPr>
        <w:t>。</w:t>
      </w:r>
    </w:p>
    <w:p w14:paraId="0F5CC688">
      <w:pPr>
        <w:numPr>
          <w:ilvl w:val="0"/>
          <w:numId w:val="2"/>
        </w:numPr>
        <w:tabs>
          <w:tab w:val="left" w:pos="709"/>
        </w:tabs>
        <w:spacing w:line="360" w:lineRule="auto"/>
        <w:ind w:left="700" w:hanging="700"/>
        <w:rPr>
          <w:rFonts w:ascii="宋体" w:hAnsi="宋体"/>
          <w:sz w:val="24"/>
        </w:rPr>
      </w:pPr>
      <w:r>
        <w:rPr>
          <w:rFonts w:hint="eastAsia" w:ascii="宋体" w:hAnsi="宋体"/>
          <w:sz w:val="24"/>
        </w:rPr>
        <w:t>投标文件应按顺序</w:t>
      </w:r>
      <w:r>
        <w:rPr>
          <w:rFonts w:hint="eastAsia" w:ascii="宋体" w:hAnsi="宋体"/>
          <w:b/>
          <w:sz w:val="24"/>
        </w:rPr>
        <w:t>编制页码</w:t>
      </w:r>
      <w:r>
        <w:rPr>
          <w:rFonts w:hint="eastAsia" w:ascii="宋体" w:hAnsi="宋体"/>
          <w:sz w:val="24"/>
        </w:rPr>
        <w:t>。</w:t>
      </w:r>
    </w:p>
    <w:p w14:paraId="467C503F">
      <w:pPr>
        <w:numPr>
          <w:ilvl w:val="0"/>
          <w:numId w:val="2"/>
        </w:numPr>
        <w:tabs>
          <w:tab w:val="left" w:pos="709"/>
        </w:tabs>
        <w:spacing w:line="360" w:lineRule="auto"/>
        <w:ind w:left="700" w:hanging="700"/>
        <w:rPr>
          <w:rFonts w:ascii="宋体" w:hAnsi="宋体"/>
          <w:sz w:val="24"/>
        </w:rPr>
      </w:pPr>
      <w:r>
        <w:rPr>
          <w:rFonts w:hint="eastAsia" w:ascii="宋体" w:hAnsi="宋体"/>
          <w:sz w:val="24"/>
        </w:rPr>
        <w:t>请仔细检查投标文件是否已按招标文件要求</w:t>
      </w:r>
      <w:r>
        <w:rPr>
          <w:rFonts w:hint="eastAsia" w:ascii="宋体" w:hAnsi="宋体"/>
          <w:b/>
          <w:sz w:val="24"/>
        </w:rPr>
        <w:t>盖章、签名、签署日期</w:t>
      </w:r>
      <w:r>
        <w:rPr>
          <w:rFonts w:hint="eastAsia" w:ascii="宋体" w:hAnsi="宋体"/>
          <w:sz w:val="24"/>
        </w:rPr>
        <w:t>。</w:t>
      </w:r>
    </w:p>
    <w:p w14:paraId="6DEAA843">
      <w:pPr>
        <w:numPr>
          <w:ilvl w:val="0"/>
          <w:numId w:val="2"/>
        </w:numPr>
        <w:tabs>
          <w:tab w:val="left" w:pos="709"/>
        </w:tabs>
        <w:spacing w:line="360" w:lineRule="auto"/>
        <w:ind w:left="700" w:hanging="700"/>
        <w:rPr>
          <w:rFonts w:ascii="宋体" w:hAnsi="宋体"/>
          <w:sz w:val="24"/>
        </w:rPr>
      </w:pPr>
      <w:r>
        <w:rPr>
          <w:rFonts w:hint="eastAsia" w:ascii="宋体" w:hAnsi="宋体"/>
          <w:sz w:val="24"/>
        </w:rPr>
        <w:t>请正确填写《开标一览表（报价表）》、《投标分项报价表》(如有)。</w:t>
      </w:r>
    </w:p>
    <w:p w14:paraId="03ACC30F">
      <w:pPr>
        <w:numPr>
          <w:ilvl w:val="0"/>
          <w:numId w:val="2"/>
        </w:numPr>
        <w:tabs>
          <w:tab w:val="left" w:pos="709"/>
        </w:tabs>
        <w:spacing w:line="360" w:lineRule="auto"/>
        <w:ind w:left="700" w:hanging="700"/>
        <w:rPr>
          <w:rFonts w:ascii="宋体" w:hAnsi="宋体"/>
          <w:sz w:val="24"/>
        </w:rPr>
      </w:pPr>
      <w:r>
        <w:rPr>
          <w:rFonts w:hint="eastAsia" w:ascii="宋体" w:hAnsi="宋体"/>
          <w:sz w:val="24"/>
        </w:rPr>
        <w:t>如投标产品属于许可证管理范围内的，须提交相应的许可证复印件。</w:t>
      </w:r>
    </w:p>
    <w:p w14:paraId="6940ACDD">
      <w:pPr>
        <w:numPr>
          <w:ilvl w:val="0"/>
          <w:numId w:val="2"/>
        </w:numPr>
        <w:tabs>
          <w:tab w:val="left" w:pos="709"/>
        </w:tabs>
        <w:spacing w:line="360" w:lineRule="auto"/>
        <w:ind w:left="700" w:hanging="700"/>
        <w:rPr>
          <w:rFonts w:ascii="宋体" w:hAnsi="宋体"/>
          <w:sz w:val="24"/>
        </w:rPr>
      </w:pPr>
      <w:r>
        <w:rPr>
          <w:rFonts w:hint="eastAsia" w:ascii="宋体" w:hAnsi="宋体" w:cs="宋体"/>
          <w:sz w:val="24"/>
        </w:rPr>
        <w:t>分公司投标，须取得</w:t>
      </w:r>
      <w:r>
        <w:rPr>
          <w:rFonts w:hint="eastAsia" w:ascii="宋体" w:hAnsi="宋体" w:cs="黑体"/>
          <w:sz w:val="24"/>
        </w:rPr>
        <w:t>具有法人资格的总公司</w:t>
      </w:r>
      <w:r>
        <w:rPr>
          <w:rStyle w:val="59"/>
          <w:rFonts w:hint="eastAsia" w:ascii="宋体" w:hAnsi="宋体"/>
          <w:sz w:val="24"/>
          <w:szCs w:val="24"/>
        </w:rPr>
        <w:t>（总所）</w:t>
      </w:r>
      <w:r>
        <w:rPr>
          <w:rFonts w:hint="eastAsia" w:ascii="宋体" w:hAnsi="宋体" w:cs="黑体"/>
          <w:sz w:val="24"/>
        </w:rPr>
        <w:t>出具给分公司的授权书，并提供总公司</w:t>
      </w:r>
      <w:r>
        <w:rPr>
          <w:rStyle w:val="59"/>
          <w:rFonts w:hint="eastAsia" w:ascii="宋体" w:hAnsi="宋体"/>
          <w:sz w:val="24"/>
          <w:szCs w:val="24"/>
        </w:rPr>
        <w:t>（总所）</w:t>
      </w:r>
      <w:r>
        <w:rPr>
          <w:rFonts w:hint="eastAsia" w:ascii="宋体" w:hAnsi="宋体" w:cs="黑体"/>
          <w:sz w:val="24"/>
        </w:rPr>
        <w:t>和分公司的营业执照（执业许可证）复印件。</w:t>
      </w:r>
      <w:r>
        <w:rPr>
          <w:rStyle w:val="59"/>
          <w:rFonts w:hint="eastAsia" w:ascii="宋体" w:hAnsi="宋体"/>
          <w:sz w:val="24"/>
          <w:szCs w:val="24"/>
        </w:rPr>
        <w:t>已由总公司（总所）授权的，总公司（总所）取得的相关资质证书对分公司有效，法律法规或者行业另有规定的除外。</w:t>
      </w:r>
    </w:p>
    <w:p w14:paraId="3D11953E">
      <w:pPr>
        <w:numPr>
          <w:ilvl w:val="0"/>
          <w:numId w:val="2"/>
        </w:numPr>
        <w:tabs>
          <w:tab w:val="left" w:pos="709"/>
        </w:tabs>
        <w:spacing w:line="360" w:lineRule="auto"/>
        <w:ind w:left="700" w:hanging="700"/>
        <w:rPr>
          <w:rFonts w:ascii="宋体" w:hAnsi="宋体"/>
          <w:sz w:val="24"/>
        </w:rPr>
      </w:pPr>
      <w:r>
        <w:rPr>
          <w:rFonts w:ascii="宋体" w:hAnsi="宋体"/>
          <w:sz w:val="24"/>
        </w:rPr>
        <w:t>递交投标文件前请仔细检查投标文件是否已胶装成册、已密封完好。</w:t>
      </w:r>
    </w:p>
    <w:p w14:paraId="4FCE3410">
      <w:pPr>
        <w:numPr>
          <w:ilvl w:val="0"/>
          <w:numId w:val="2"/>
        </w:numPr>
        <w:tabs>
          <w:tab w:val="left" w:pos="709"/>
        </w:tabs>
        <w:snapToGrid w:val="0"/>
        <w:spacing w:line="400" w:lineRule="exact"/>
        <w:ind w:left="700" w:hanging="700"/>
        <w:rPr>
          <w:rFonts w:ascii="宋体" w:hAnsi="宋体"/>
          <w:sz w:val="24"/>
        </w:rPr>
      </w:pPr>
      <w:r>
        <w:rPr>
          <w:rFonts w:hint="eastAsia" w:ascii="宋体" w:hAnsi="宋体"/>
          <w:sz w:val="24"/>
        </w:rPr>
        <w:t>投标人如需对项目提出询问或质疑，应按招标文件附件中的询问函和质疑函的格式提交。</w:t>
      </w:r>
    </w:p>
    <w:p w14:paraId="11E0B42E">
      <w:pPr>
        <w:numPr>
          <w:ilvl w:val="0"/>
          <w:numId w:val="2"/>
        </w:numPr>
        <w:tabs>
          <w:tab w:val="left" w:pos="709"/>
        </w:tabs>
        <w:snapToGrid w:val="0"/>
        <w:spacing w:line="400" w:lineRule="exact"/>
        <w:ind w:left="851" w:hanging="851"/>
        <w:rPr>
          <w:rFonts w:ascii="宋体" w:hAnsi="宋体"/>
          <w:sz w:val="24"/>
        </w:rPr>
      </w:pPr>
      <w:r>
        <w:rPr>
          <w:rFonts w:hint="eastAsia" w:ascii="宋体" w:hAnsi="宋体"/>
          <w:sz w:val="24"/>
        </w:rPr>
        <w:t>投标文件建议采用A4纸、双面打印、胶装。</w:t>
      </w:r>
    </w:p>
    <w:p w14:paraId="1258988B">
      <w:pPr>
        <w:numPr>
          <w:ilvl w:val="0"/>
          <w:numId w:val="2"/>
        </w:numPr>
        <w:tabs>
          <w:tab w:val="left" w:pos="709"/>
        </w:tabs>
        <w:spacing w:line="360" w:lineRule="auto"/>
        <w:ind w:left="700" w:hanging="700"/>
        <w:rPr>
          <w:rFonts w:ascii="宋体" w:hAnsi="宋体"/>
          <w:sz w:val="24"/>
        </w:rPr>
      </w:pPr>
      <w:r>
        <w:rPr>
          <w:rFonts w:hint="eastAsia" w:ascii="宋体" w:hAnsi="宋体"/>
          <w:sz w:val="24"/>
        </w:rPr>
        <w:t>上述提示内容非招标文件的组成部分，仅为善意提醒。如有不一致的地方，以招标文件为准。</w:t>
      </w:r>
    </w:p>
    <w:p w14:paraId="1DAEED78">
      <w:pPr>
        <w:spacing w:line="360" w:lineRule="auto"/>
        <w:jc w:val="center"/>
        <w:rPr>
          <w:rFonts w:ascii="宋体" w:hAnsi="宋体"/>
          <w:b/>
          <w:sz w:val="24"/>
        </w:rPr>
      </w:pPr>
      <w:r>
        <w:rPr>
          <w:rFonts w:ascii="宋体" w:hAnsi="宋体"/>
          <w:sz w:val="24"/>
        </w:rPr>
        <w:br w:type="page"/>
      </w:r>
      <w:bookmarkStart w:id="0" w:name="_Toc435115363"/>
      <w:bookmarkStart w:id="1" w:name="_Toc435114676"/>
      <w:bookmarkStart w:id="2" w:name="_Toc292267790"/>
      <w:bookmarkStart w:id="3" w:name="_Toc435115051"/>
    </w:p>
    <w:p w14:paraId="5CE741E7">
      <w:pPr>
        <w:spacing w:line="360" w:lineRule="auto"/>
        <w:jc w:val="center"/>
        <w:rPr>
          <w:rFonts w:ascii="宋体" w:hAnsi="宋体"/>
          <w:b/>
          <w:sz w:val="44"/>
          <w:szCs w:val="44"/>
        </w:rPr>
      </w:pPr>
      <w:r>
        <w:rPr>
          <w:rFonts w:hint="eastAsia" w:ascii="宋体" w:hAnsi="宋体"/>
          <w:b/>
          <w:sz w:val="44"/>
          <w:szCs w:val="44"/>
        </w:rPr>
        <w:t>目   录</w:t>
      </w:r>
    </w:p>
    <w:bookmarkEnd w:id="0"/>
    <w:bookmarkEnd w:id="1"/>
    <w:bookmarkEnd w:id="2"/>
    <w:p w14:paraId="2243DA6B">
      <w:pPr>
        <w:pStyle w:val="28"/>
        <w:tabs>
          <w:tab w:val="right" w:leader="dot" w:pos="10064"/>
        </w:tabs>
        <w:snapToGrid w:val="0"/>
        <w:spacing w:line="360" w:lineRule="auto"/>
        <w:rPr>
          <w:rFonts w:ascii="宋体" w:hAnsi="宋体"/>
          <w:sz w:val="24"/>
          <w:szCs w:val="24"/>
        </w:rPr>
      </w:pPr>
      <w:bookmarkStart w:id="4" w:name="_Toc435514842"/>
      <w:r>
        <w:rPr>
          <w:rFonts w:ascii="宋体" w:hAnsi="宋体"/>
          <w:bCs w:val="0"/>
          <w:caps w:val="0"/>
          <w:sz w:val="24"/>
          <w:szCs w:val="24"/>
        </w:rPr>
        <w:fldChar w:fldCharType="begin"/>
      </w:r>
      <w:r>
        <w:rPr>
          <w:rFonts w:ascii="宋体" w:hAnsi="宋体"/>
          <w:bCs w:val="0"/>
          <w:caps w:val="0"/>
          <w:sz w:val="24"/>
          <w:szCs w:val="24"/>
        </w:rPr>
        <w:instrText xml:space="preserve"> TOC \o "1-3" \h \z \u </w:instrText>
      </w:r>
      <w:r>
        <w:rPr>
          <w:rFonts w:ascii="宋体" w:hAnsi="宋体"/>
          <w:bCs w:val="0"/>
          <w:caps w:val="0"/>
          <w:sz w:val="24"/>
          <w:szCs w:val="24"/>
        </w:rPr>
        <w:fldChar w:fldCharType="separate"/>
      </w:r>
      <w:r>
        <w:fldChar w:fldCharType="begin"/>
      </w:r>
      <w:r>
        <w:instrText xml:space="preserve"> HYPERLINK \l "_Toc25689" </w:instrText>
      </w:r>
      <w:r>
        <w:fldChar w:fldCharType="separate"/>
      </w:r>
      <w:r>
        <w:rPr>
          <w:rFonts w:hint="eastAsia" w:ascii="宋体" w:hAnsi="宋体"/>
          <w:sz w:val="24"/>
          <w:szCs w:val="24"/>
        </w:rPr>
        <w:t>第一</w:t>
      </w:r>
      <w:r>
        <w:rPr>
          <w:rFonts w:ascii="宋体" w:hAnsi="宋体"/>
          <w:sz w:val="24"/>
          <w:szCs w:val="24"/>
        </w:rPr>
        <w:t>章</w:t>
      </w:r>
      <w:r>
        <w:rPr>
          <w:rFonts w:hint="eastAsia" w:ascii="宋体" w:hAnsi="宋体"/>
          <w:sz w:val="24"/>
          <w:szCs w:val="24"/>
        </w:rPr>
        <w:t xml:space="preserve"> </w:t>
      </w:r>
      <w:r>
        <w:rPr>
          <w:rFonts w:ascii="宋体" w:hAnsi="宋体"/>
          <w:sz w:val="24"/>
          <w:szCs w:val="24"/>
        </w:rPr>
        <w:t>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_Toc25689 \h </w:instrText>
      </w:r>
      <w:r>
        <w:rPr>
          <w:rFonts w:ascii="宋体" w:hAnsi="宋体"/>
          <w:sz w:val="24"/>
          <w:szCs w:val="24"/>
        </w:rPr>
        <w:fldChar w:fldCharType="separate"/>
      </w:r>
      <w:r>
        <w:rPr>
          <w:rFonts w:ascii="宋体" w:hAnsi="宋体"/>
          <w:sz w:val="24"/>
          <w:szCs w:val="24"/>
        </w:rPr>
        <w:t>4</w:t>
      </w:r>
      <w:r>
        <w:rPr>
          <w:rFonts w:ascii="宋体" w:hAnsi="宋体"/>
          <w:sz w:val="24"/>
          <w:szCs w:val="24"/>
        </w:rPr>
        <w:fldChar w:fldCharType="end"/>
      </w:r>
      <w:r>
        <w:rPr>
          <w:rFonts w:ascii="宋体" w:hAnsi="宋体"/>
          <w:sz w:val="24"/>
          <w:szCs w:val="24"/>
        </w:rPr>
        <w:fldChar w:fldCharType="end"/>
      </w:r>
    </w:p>
    <w:p w14:paraId="168CA47F">
      <w:pPr>
        <w:pStyle w:val="28"/>
        <w:tabs>
          <w:tab w:val="right" w:leader="dot" w:pos="10064"/>
        </w:tabs>
        <w:snapToGrid w:val="0"/>
        <w:spacing w:line="360" w:lineRule="auto"/>
        <w:rPr>
          <w:rFonts w:ascii="宋体" w:hAnsi="宋体"/>
          <w:sz w:val="24"/>
          <w:szCs w:val="24"/>
        </w:rPr>
      </w:pPr>
      <w:r>
        <w:fldChar w:fldCharType="begin"/>
      </w:r>
      <w:r>
        <w:instrText xml:space="preserve"> HYPERLINK \l "_Toc20703" </w:instrText>
      </w:r>
      <w:r>
        <w:fldChar w:fldCharType="separate"/>
      </w:r>
      <w:r>
        <w:rPr>
          <w:rFonts w:hint="eastAsia" w:ascii="宋体" w:hAnsi="宋体"/>
          <w:sz w:val="24"/>
          <w:szCs w:val="24"/>
        </w:rPr>
        <w:t>第二章 采购需求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_Toc20703 \h </w:instrText>
      </w:r>
      <w:r>
        <w:rPr>
          <w:rFonts w:ascii="宋体" w:hAnsi="宋体"/>
          <w:sz w:val="24"/>
          <w:szCs w:val="24"/>
        </w:rPr>
        <w:fldChar w:fldCharType="separate"/>
      </w:r>
      <w:r>
        <w:rPr>
          <w:rFonts w:ascii="宋体" w:hAnsi="宋体"/>
          <w:sz w:val="24"/>
          <w:szCs w:val="24"/>
        </w:rPr>
        <w:t>8</w:t>
      </w:r>
      <w:r>
        <w:rPr>
          <w:rFonts w:ascii="宋体" w:hAnsi="宋体"/>
          <w:sz w:val="24"/>
          <w:szCs w:val="24"/>
        </w:rPr>
        <w:fldChar w:fldCharType="end"/>
      </w:r>
      <w:r>
        <w:rPr>
          <w:rFonts w:ascii="宋体" w:hAnsi="宋体"/>
          <w:sz w:val="24"/>
          <w:szCs w:val="24"/>
        </w:rPr>
        <w:fldChar w:fldCharType="end"/>
      </w:r>
    </w:p>
    <w:p w14:paraId="36CC5D56">
      <w:pPr>
        <w:pStyle w:val="28"/>
        <w:tabs>
          <w:tab w:val="right" w:leader="dot" w:pos="10064"/>
        </w:tabs>
        <w:snapToGrid w:val="0"/>
        <w:spacing w:line="360" w:lineRule="auto"/>
        <w:rPr>
          <w:rFonts w:ascii="宋体" w:hAnsi="宋体"/>
          <w:sz w:val="24"/>
          <w:szCs w:val="24"/>
        </w:rPr>
      </w:pPr>
      <w:r>
        <w:fldChar w:fldCharType="begin"/>
      </w:r>
      <w:r>
        <w:instrText xml:space="preserve"> HYPERLINK \l "_Toc17969" </w:instrText>
      </w:r>
      <w:r>
        <w:fldChar w:fldCharType="separate"/>
      </w:r>
      <w:r>
        <w:rPr>
          <w:rFonts w:hint="eastAsia" w:ascii="宋体" w:hAnsi="宋体"/>
          <w:sz w:val="24"/>
          <w:szCs w:val="24"/>
        </w:rPr>
        <w:t>第三章 评标方法和标准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_Toc17969 \h </w:instrText>
      </w:r>
      <w:r>
        <w:rPr>
          <w:rFonts w:ascii="宋体" w:hAnsi="宋体"/>
          <w:sz w:val="24"/>
          <w:szCs w:val="24"/>
        </w:rPr>
        <w:fldChar w:fldCharType="separate"/>
      </w:r>
      <w:r>
        <w:rPr>
          <w:rFonts w:ascii="宋体" w:hAnsi="宋体"/>
          <w:sz w:val="24"/>
          <w:szCs w:val="24"/>
        </w:rPr>
        <w:t>14</w:t>
      </w:r>
      <w:r>
        <w:rPr>
          <w:rFonts w:ascii="宋体" w:hAnsi="宋体"/>
          <w:sz w:val="24"/>
          <w:szCs w:val="24"/>
        </w:rPr>
        <w:fldChar w:fldCharType="end"/>
      </w:r>
      <w:r>
        <w:rPr>
          <w:rFonts w:ascii="宋体" w:hAnsi="宋体"/>
          <w:sz w:val="24"/>
          <w:szCs w:val="24"/>
        </w:rPr>
        <w:fldChar w:fldCharType="end"/>
      </w:r>
    </w:p>
    <w:p w14:paraId="19E20AE8">
      <w:pPr>
        <w:pStyle w:val="28"/>
        <w:tabs>
          <w:tab w:val="right" w:leader="dot" w:pos="10064"/>
        </w:tabs>
        <w:snapToGrid w:val="0"/>
        <w:spacing w:line="360" w:lineRule="auto"/>
        <w:rPr>
          <w:rFonts w:ascii="宋体" w:hAnsi="宋体"/>
          <w:sz w:val="24"/>
          <w:szCs w:val="24"/>
        </w:rPr>
      </w:pPr>
      <w:r>
        <w:fldChar w:fldCharType="begin"/>
      </w:r>
      <w:r>
        <w:instrText xml:space="preserve"> HYPERLINK \l "_Toc4775" </w:instrText>
      </w:r>
      <w:r>
        <w:fldChar w:fldCharType="separate"/>
      </w:r>
      <w:r>
        <w:rPr>
          <w:rFonts w:ascii="宋体" w:hAnsi="宋体"/>
          <w:sz w:val="24"/>
          <w:szCs w:val="24"/>
        </w:rPr>
        <w:t>第</w:t>
      </w:r>
      <w:r>
        <w:rPr>
          <w:rFonts w:hint="eastAsia" w:ascii="宋体" w:hAnsi="宋体"/>
          <w:sz w:val="24"/>
          <w:szCs w:val="24"/>
        </w:rPr>
        <w:t>四</w:t>
      </w:r>
      <w:r>
        <w:rPr>
          <w:rFonts w:ascii="宋体" w:hAnsi="宋体"/>
          <w:sz w:val="24"/>
          <w:szCs w:val="24"/>
        </w:rPr>
        <w:t>章</w:t>
      </w:r>
      <w:r>
        <w:rPr>
          <w:rFonts w:hint="eastAsia" w:ascii="宋体" w:hAnsi="宋体"/>
          <w:sz w:val="24"/>
          <w:szCs w:val="24"/>
        </w:rPr>
        <w:t xml:space="preserve"> </w:t>
      </w:r>
      <w:r>
        <w:rPr>
          <w:rFonts w:ascii="宋体" w:hAnsi="宋体"/>
          <w:sz w:val="24"/>
          <w:szCs w:val="24"/>
        </w:rPr>
        <w:t>投标人须知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_Toc4775 \h </w:instrText>
      </w:r>
      <w:r>
        <w:rPr>
          <w:rFonts w:ascii="宋体" w:hAnsi="宋体"/>
          <w:sz w:val="24"/>
          <w:szCs w:val="24"/>
        </w:rPr>
        <w:fldChar w:fldCharType="separate"/>
      </w:r>
      <w:r>
        <w:rPr>
          <w:rFonts w:ascii="宋体" w:hAnsi="宋体"/>
          <w:sz w:val="24"/>
          <w:szCs w:val="24"/>
        </w:rPr>
        <w:t>24</w:t>
      </w:r>
      <w:r>
        <w:rPr>
          <w:rFonts w:ascii="宋体" w:hAnsi="宋体"/>
          <w:sz w:val="24"/>
          <w:szCs w:val="24"/>
        </w:rPr>
        <w:fldChar w:fldCharType="end"/>
      </w:r>
      <w:r>
        <w:rPr>
          <w:rFonts w:ascii="宋体" w:hAnsi="宋体"/>
          <w:sz w:val="24"/>
          <w:szCs w:val="24"/>
        </w:rPr>
        <w:fldChar w:fldCharType="end"/>
      </w:r>
    </w:p>
    <w:p w14:paraId="57EB898A">
      <w:pPr>
        <w:pStyle w:val="28"/>
        <w:tabs>
          <w:tab w:val="right" w:leader="dot" w:pos="10064"/>
        </w:tabs>
        <w:snapToGrid w:val="0"/>
        <w:spacing w:line="360" w:lineRule="auto"/>
        <w:rPr>
          <w:rFonts w:ascii="宋体" w:hAnsi="宋体"/>
          <w:sz w:val="24"/>
          <w:szCs w:val="24"/>
        </w:rPr>
      </w:pPr>
      <w:r>
        <w:fldChar w:fldCharType="begin"/>
      </w:r>
      <w:r>
        <w:instrText xml:space="preserve"> HYPERLINK \l "_Toc13771" </w:instrText>
      </w:r>
      <w:r>
        <w:fldChar w:fldCharType="separate"/>
      </w:r>
      <w:r>
        <w:rPr>
          <w:rFonts w:hint="eastAsia" w:ascii="宋体" w:hAnsi="宋体"/>
          <w:sz w:val="24"/>
          <w:szCs w:val="24"/>
        </w:rPr>
        <w:t>第五章 合同格式条款</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_Toc13771 \h </w:instrText>
      </w:r>
      <w:r>
        <w:rPr>
          <w:rFonts w:ascii="宋体" w:hAnsi="宋体"/>
          <w:sz w:val="24"/>
          <w:szCs w:val="24"/>
        </w:rPr>
        <w:fldChar w:fldCharType="separate"/>
      </w:r>
      <w:r>
        <w:rPr>
          <w:rFonts w:ascii="宋体" w:hAnsi="宋体"/>
          <w:sz w:val="24"/>
          <w:szCs w:val="24"/>
        </w:rPr>
        <w:t>43</w:t>
      </w:r>
      <w:r>
        <w:rPr>
          <w:rFonts w:ascii="宋体" w:hAnsi="宋体"/>
          <w:sz w:val="24"/>
          <w:szCs w:val="24"/>
        </w:rPr>
        <w:fldChar w:fldCharType="end"/>
      </w:r>
      <w:r>
        <w:rPr>
          <w:rFonts w:ascii="宋体" w:hAnsi="宋体"/>
          <w:sz w:val="24"/>
          <w:szCs w:val="24"/>
        </w:rPr>
        <w:fldChar w:fldCharType="end"/>
      </w:r>
    </w:p>
    <w:p w14:paraId="0B2DD5C6">
      <w:pPr>
        <w:pStyle w:val="28"/>
        <w:tabs>
          <w:tab w:val="right" w:leader="dot" w:pos="10064"/>
        </w:tabs>
        <w:snapToGrid w:val="0"/>
        <w:spacing w:line="360" w:lineRule="auto"/>
        <w:rPr>
          <w:rFonts w:ascii="宋体" w:hAnsi="宋体"/>
          <w:sz w:val="24"/>
          <w:szCs w:val="24"/>
        </w:rPr>
      </w:pPr>
      <w:r>
        <w:fldChar w:fldCharType="begin"/>
      </w:r>
      <w:r>
        <w:instrText xml:space="preserve"> HYPERLINK \l "_Toc9672" </w:instrText>
      </w:r>
      <w:r>
        <w:fldChar w:fldCharType="separate"/>
      </w:r>
      <w:r>
        <w:rPr>
          <w:rFonts w:hint="eastAsia" w:ascii="宋体" w:hAnsi="宋体"/>
          <w:sz w:val="24"/>
          <w:szCs w:val="24"/>
        </w:rPr>
        <w:t>第六章 投标文件格式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_Toc9672 \h </w:instrText>
      </w:r>
      <w:r>
        <w:rPr>
          <w:rFonts w:ascii="宋体" w:hAnsi="宋体"/>
          <w:sz w:val="24"/>
          <w:szCs w:val="24"/>
        </w:rPr>
        <w:fldChar w:fldCharType="separate"/>
      </w:r>
      <w:r>
        <w:rPr>
          <w:rFonts w:ascii="宋体" w:hAnsi="宋体"/>
          <w:sz w:val="24"/>
          <w:szCs w:val="24"/>
        </w:rPr>
        <w:t>50</w:t>
      </w:r>
      <w:r>
        <w:rPr>
          <w:rFonts w:ascii="宋体" w:hAnsi="宋体"/>
          <w:sz w:val="24"/>
          <w:szCs w:val="24"/>
        </w:rPr>
        <w:fldChar w:fldCharType="end"/>
      </w:r>
      <w:r>
        <w:rPr>
          <w:rFonts w:ascii="宋体" w:hAnsi="宋体"/>
          <w:sz w:val="24"/>
          <w:szCs w:val="24"/>
        </w:rPr>
        <w:fldChar w:fldCharType="end"/>
      </w:r>
    </w:p>
    <w:p w14:paraId="1EB32B30">
      <w:pPr>
        <w:snapToGrid w:val="0"/>
        <w:spacing w:line="360" w:lineRule="auto"/>
        <w:jc w:val="center"/>
        <w:rPr>
          <w:rFonts w:ascii="宋体" w:hAnsi="宋体"/>
          <w:strike/>
          <w:sz w:val="24"/>
        </w:rPr>
      </w:pPr>
      <w:r>
        <w:rPr>
          <w:rFonts w:ascii="宋体" w:hAnsi="宋体" w:cs="Calibri"/>
          <w:bCs/>
          <w:caps/>
          <w:sz w:val="24"/>
        </w:rPr>
        <w:fldChar w:fldCharType="end"/>
      </w:r>
    </w:p>
    <w:p w14:paraId="1DC0D259">
      <w:pPr>
        <w:widowControl/>
        <w:jc w:val="left"/>
        <w:rPr>
          <w:b/>
          <w:bCs/>
          <w:sz w:val="28"/>
          <w:szCs w:val="28"/>
        </w:rPr>
      </w:pPr>
      <w:bookmarkStart w:id="5" w:name="_Toc13067016"/>
      <w:r>
        <w:rPr>
          <w:b/>
          <w:bCs/>
          <w:sz w:val="28"/>
          <w:szCs w:val="28"/>
        </w:rPr>
        <w:br w:type="page"/>
      </w:r>
    </w:p>
    <w:p w14:paraId="6445B075">
      <w:pPr>
        <w:widowControl/>
        <w:jc w:val="center"/>
        <w:outlineLvl w:val="0"/>
        <w:rPr>
          <w:b/>
          <w:bCs/>
          <w:sz w:val="30"/>
          <w:szCs w:val="30"/>
        </w:rPr>
      </w:pPr>
      <w:bookmarkStart w:id="6" w:name="_Toc25689"/>
      <w:r>
        <w:rPr>
          <w:rFonts w:hint="eastAsia"/>
          <w:b/>
          <w:bCs/>
          <w:sz w:val="28"/>
          <w:szCs w:val="28"/>
        </w:rPr>
        <w:t>第一</w:t>
      </w:r>
      <w:r>
        <w:rPr>
          <w:b/>
          <w:bCs/>
          <w:sz w:val="28"/>
          <w:szCs w:val="28"/>
        </w:rPr>
        <w:t>章</w:t>
      </w:r>
      <w:r>
        <w:rPr>
          <w:rFonts w:hint="eastAsia"/>
          <w:b/>
          <w:bCs/>
          <w:sz w:val="28"/>
          <w:szCs w:val="28"/>
        </w:rPr>
        <w:t xml:space="preserve"> </w:t>
      </w:r>
      <w:r>
        <w:rPr>
          <w:b/>
          <w:bCs/>
          <w:sz w:val="28"/>
          <w:szCs w:val="28"/>
        </w:rPr>
        <w:t>投标邀请</w:t>
      </w:r>
      <w:bookmarkEnd w:id="3"/>
      <w:bookmarkEnd w:id="4"/>
      <w:bookmarkEnd w:id="5"/>
      <w:bookmarkEnd w:id="6"/>
    </w:p>
    <w:p w14:paraId="0342029A">
      <w:pPr>
        <w:widowControl/>
        <w:adjustRightInd/>
        <w:spacing w:line="240" w:lineRule="auto"/>
        <w:jc w:val="left"/>
        <w:textAlignment w:val="auto"/>
        <w:rPr>
          <w:rFonts w:ascii="宋体" w:hAnsi="宋体" w:cs="宋体"/>
          <w:b/>
          <w:bCs/>
          <w:sz w:val="24"/>
        </w:rPr>
      </w:pPr>
      <w:bookmarkStart w:id="7" w:name="_Toc435514843"/>
      <w:bookmarkStart w:id="8" w:name="_Toc435115052"/>
      <w:r>
        <w:rPr>
          <w:rFonts w:ascii="宋体" w:hAnsi="宋体" w:cs="宋体"/>
          <w:b/>
          <w:bCs/>
          <w:sz w:val="24"/>
        </w:rPr>
        <w:t>项目概况</w:t>
      </w:r>
    </w:p>
    <w:p w14:paraId="6BF1BCB7">
      <w:pPr>
        <w:widowControl/>
        <w:wordWrap w:val="0"/>
        <w:adjustRightInd/>
        <w:spacing w:line="360" w:lineRule="auto"/>
        <w:ind w:firstLine="480" w:firstLineChars="200"/>
        <w:jc w:val="left"/>
        <w:textAlignment w:val="auto"/>
        <w:rPr>
          <w:rFonts w:ascii="宋体" w:hAnsi="宋体" w:cs="宋体"/>
          <w:color w:val="auto"/>
          <w:sz w:val="24"/>
        </w:rPr>
      </w:pPr>
      <w:r>
        <w:rPr>
          <w:rFonts w:hint="eastAsia" w:ascii="宋体" w:hAnsi="宋体" w:cs="宋体"/>
          <w:sz w:val="24"/>
          <w:u w:val="single"/>
          <w:lang w:eastAsia="zh-CN"/>
        </w:rPr>
        <w:t>中华人民共和国佛山出入境边</w:t>
      </w:r>
      <w:r>
        <w:rPr>
          <w:rFonts w:hint="eastAsia" w:ascii="宋体" w:hAnsi="宋体" w:cs="宋体"/>
          <w:color w:val="auto"/>
          <w:sz w:val="24"/>
          <w:u w:val="single"/>
          <w:lang w:eastAsia="zh-CN"/>
        </w:rPr>
        <w:t>防检查站2026年度节日慰问品采购项目</w:t>
      </w:r>
      <w:r>
        <w:rPr>
          <w:rFonts w:ascii="宋体" w:hAnsi="宋体" w:cs="宋体"/>
          <w:bCs/>
          <w:color w:val="auto"/>
          <w:sz w:val="24"/>
        </w:rPr>
        <w:t>招标项目的潜在投标人应在</w:t>
      </w:r>
      <w:r>
        <w:rPr>
          <w:rFonts w:hint="eastAsia" w:ascii="宋体" w:hAnsi="宋体" w:cs="宋体"/>
          <w:bCs/>
          <w:color w:val="auto"/>
          <w:sz w:val="24"/>
        </w:rPr>
        <w:t>佛山市禅城区季华五路55号万科金融中心A座33楼3302室</w:t>
      </w:r>
      <w:r>
        <w:rPr>
          <w:rFonts w:hint="eastAsia" w:ascii="宋体" w:hAnsi="宋体" w:cs="宋体"/>
          <w:color w:val="auto"/>
          <w:sz w:val="24"/>
        </w:rPr>
        <w:t>获取招标文件，并于</w:t>
      </w:r>
      <w:r>
        <w:rPr>
          <w:rFonts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bCs/>
          <w:color w:val="auto"/>
          <w:sz w:val="24"/>
        </w:rPr>
        <w:t>年</w:t>
      </w:r>
      <w:r>
        <w:rPr>
          <w:rFonts w:hint="eastAsia" w:ascii="宋体" w:hAnsi="宋体" w:cs="宋体"/>
          <w:bCs/>
          <w:color w:val="auto"/>
          <w:sz w:val="24"/>
          <w:lang w:val="en-US" w:eastAsia="zh-CN"/>
        </w:rPr>
        <w:t>2</w:t>
      </w:r>
      <w:r>
        <w:rPr>
          <w:rFonts w:hint="eastAsia" w:ascii="宋体" w:hAnsi="宋体" w:cs="宋体"/>
          <w:bCs/>
          <w:color w:val="auto"/>
          <w:sz w:val="24"/>
        </w:rPr>
        <w:t>月</w:t>
      </w:r>
      <w:r>
        <w:rPr>
          <w:rFonts w:hint="eastAsia" w:ascii="宋体" w:hAnsi="宋体" w:cs="宋体"/>
          <w:bCs/>
          <w:color w:val="auto"/>
          <w:sz w:val="24"/>
          <w:lang w:val="en-US" w:eastAsia="zh-CN"/>
        </w:rPr>
        <w:t>5</w:t>
      </w:r>
      <w:r>
        <w:rPr>
          <w:rFonts w:hint="eastAsia" w:ascii="宋体" w:hAnsi="宋体" w:cs="宋体"/>
          <w:bCs/>
          <w:color w:val="auto"/>
          <w:sz w:val="24"/>
        </w:rPr>
        <w:t>日</w:t>
      </w:r>
      <w:r>
        <w:rPr>
          <w:rFonts w:ascii="宋体" w:hAnsi="宋体" w:cs="宋体"/>
          <w:bCs/>
          <w:color w:val="auto"/>
          <w:sz w:val="24"/>
        </w:rPr>
        <w:t>09</w:t>
      </w:r>
      <w:r>
        <w:rPr>
          <w:rFonts w:hint="eastAsia" w:ascii="宋体" w:hAnsi="宋体" w:cs="宋体"/>
          <w:bCs/>
          <w:color w:val="auto"/>
          <w:sz w:val="24"/>
        </w:rPr>
        <w:t>点</w:t>
      </w:r>
      <w:r>
        <w:rPr>
          <w:rFonts w:ascii="宋体" w:hAnsi="宋体" w:cs="宋体"/>
          <w:bCs/>
          <w:color w:val="auto"/>
          <w:sz w:val="24"/>
        </w:rPr>
        <w:t>30</w:t>
      </w:r>
      <w:r>
        <w:rPr>
          <w:rFonts w:hint="eastAsia" w:ascii="宋体" w:hAnsi="宋体" w:cs="宋体"/>
          <w:bCs/>
          <w:color w:val="auto"/>
          <w:sz w:val="24"/>
        </w:rPr>
        <w:t>分（北京时间）前递交投标</w:t>
      </w:r>
      <w:r>
        <w:rPr>
          <w:rFonts w:ascii="宋体" w:hAnsi="宋体" w:cs="宋体"/>
          <w:bCs/>
          <w:color w:val="auto"/>
          <w:sz w:val="24"/>
        </w:rPr>
        <w:t>文件</w:t>
      </w:r>
      <w:r>
        <w:rPr>
          <w:rFonts w:hint="eastAsia" w:ascii="宋体" w:hAnsi="宋体" w:cs="宋体"/>
          <w:color w:val="auto"/>
          <w:sz w:val="24"/>
        </w:rPr>
        <w:t>。</w:t>
      </w:r>
    </w:p>
    <w:p w14:paraId="178103A1">
      <w:pPr>
        <w:widowControl/>
        <w:adjustRightInd/>
        <w:spacing w:line="240" w:lineRule="auto"/>
        <w:jc w:val="center"/>
        <w:textAlignment w:val="auto"/>
        <w:rPr>
          <w:rFonts w:ascii="微软雅黑" w:hAnsi="微软雅黑" w:eastAsia="微软雅黑" w:cs="宋体"/>
          <w:color w:val="auto"/>
          <w:sz w:val="18"/>
          <w:szCs w:val="18"/>
        </w:rPr>
      </w:pPr>
    </w:p>
    <w:p w14:paraId="40347C95">
      <w:pPr>
        <w:numPr>
          <w:ilvl w:val="0"/>
          <w:numId w:val="3"/>
        </w:numPr>
        <w:adjustRightInd/>
        <w:snapToGrid w:val="0"/>
        <w:spacing w:line="360" w:lineRule="auto"/>
        <w:textAlignment w:val="auto"/>
        <w:rPr>
          <w:rFonts w:ascii="宋体" w:hAnsi="宋体" w:cs="仿宋_GB2312"/>
          <w:b/>
          <w:bCs/>
          <w:color w:val="auto"/>
          <w:kern w:val="2"/>
          <w:sz w:val="24"/>
        </w:rPr>
      </w:pPr>
      <w:r>
        <w:rPr>
          <w:rFonts w:hint="eastAsia" w:ascii="宋体" w:hAnsi="宋体" w:cs="仿宋_GB2312"/>
          <w:b/>
          <w:bCs/>
          <w:color w:val="auto"/>
          <w:kern w:val="2"/>
          <w:sz w:val="24"/>
        </w:rPr>
        <w:t>项目基本情况</w:t>
      </w:r>
    </w:p>
    <w:p w14:paraId="1E765227">
      <w:pPr>
        <w:adjustRightInd/>
        <w:snapToGrid w:val="0"/>
        <w:spacing w:line="360" w:lineRule="auto"/>
        <w:textAlignment w:val="auto"/>
        <w:rPr>
          <w:rFonts w:hint="eastAsia" w:ascii="宋体" w:hAnsi="宋体" w:eastAsia="宋体" w:cs="仿宋_GB2312"/>
          <w:kern w:val="2"/>
          <w:sz w:val="24"/>
          <w:u w:val="single"/>
          <w:shd w:val="clear" w:color="auto" w:fill="F0F9FF"/>
          <w:lang w:eastAsia="zh-CN"/>
        </w:rPr>
      </w:pPr>
      <w:r>
        <w:rPr>
          <w:rFonts w:hint="eastAsia" w:ascii="宋体" w:hAnsi="宋体" w:cs="仿宋_GB2312"/>
          <w:kern w:val="2"/>
          <w:sz w:val="24"/>
        </w:rPr>
        <w:t>项目编号：</w:t>
      </w:r>
      <w:r>
        <w:rPr>
          <w:rFonts w:hint="eastAsia" w:ascii="宋体" w:hAnsi="宋体" w:cs="仿宋_GB2312"/>
          <w:kern w:val="2"/>
          <w:sz w:val="24"/>
          <w:lang w:eastAsia="zh-CN"/>
        </w:rPr>
        <w:t>CLZ0126FS00QY05</w:t>
      </w:r>
    </w:p>
    <w:p w14:paraId="24588C97">
      <w:pPr>
        <w:adjustRightInd/>
        <w:snapToGrid w:val="0"/>
        <w:spacing w:line="360" w:lineRule="auto"/>
        <w:textAlignment w:val="auto"/>
        <w:rPr>
          <w:rFonts w:hint="eastAsia" w:ascii="宋体" w:hAnsi="宋体" w:eastAsia="宋体" w:cs="仿宋_GB2312"/>
          <w:kern w:val="2"/>
          <w:sz w:val="24"/>
          <w:lang w:eastAsia="zh-CN"/>
        </w:rPr>
      </w:pPr>
      <w:r>
        <w:rPr>
          <w:rFonts w:hint="eastAsia" w:ascii="宋体" w:hAnsi="宋体" w:cs="仿宋_GB2312"/>
          <w:kern w:val="2"/>
          <w:sz w:val="24"/>
        </w:rPr>
        <w:t>项目名称：</w:t>
      </w:r>
      <w:r>
        <w:rPr>
          <w:rFonts w:hint="eastAsia" w:ascii="宋体" w:hAnsi="宋体" w:cs="仿宋_GB2312"/>
          <w:kern w:val="2"/>
          <w:sz w:val="24"/>
          <w:u w:val="single"/>
          <w:lang w:eastAsia="zh-CN"/>
        </w:rPr>
        <w:t>中华人民共和国佛山出入境边防检查站2026年度节日慰问品采购项目</w:t>
      </w:r>
    </w:p>
    <w:p w14:paraId="551E4AB5">
      <w:pPr>
        <w:adjustRightInd/>
        <w:snapToGrid w:val="0"/>
        <w:spacing w:line="360" w:lineRule="auto"/>
        <w:textAlignment w:val="auto"/>
        <w:rPr>
          <w:rFonts w:ascii="宋体" w:hAnsi="宋体" w:cs="仿宋_GB2312"/>
          <w:kern w:val="2"/>
          <w:sz w:val="24"/>
        </w:rPr>
      </w:pPr>
      <w:r>
        <w:rPr>
          <w:rFonts w:hint="eastAsia" w:ascii="宋体" w:hAnsi="宋体" w:cs="仿宋_GB2312"/>
          <w:kern w:val="2"/>
          <w:sz w:val="24"/>
        </w:rPr>
        <w:t>预算金额：</w:t>
      </w:r>
      <w:r>
        <w:rPr>
          <w:rFonts w:hint="eastAsia" w:ascii="宋体" w:hAnsi="宋体" w:cs="仿宋_GB2312"/>
          <w:kern w:val="2"/>
          <w:sz w:val="24"/>
          <w:u w:val="single"/>
          <w:lang w:eastAsia="zh-CN"/>
        </w:rPr>
        <w:t>69万元</w:t>
      </w:r>
      <w:r>
        <w:rPr>
          <w:rFonts w:hint="eastAsia" w:ascii="宋体" w:hAnsi="宋体" w:cs="仿宋_GB2312"/>
          <w:kern w:val="2"/>
          <w:sz w:val="24"/>
        </w:rPr>
        <w:t>（人民币）</w:t>
      </w:r>
    </w:p>
    <w:p w14:paraId="1862DD24">
      <w:pPr>
        <w:adjustRightInd/>
        <w:snapToGrid w:val="0"/>
        <w:spacing w:line="360" w:lineRule="auto"/>
        <w:textAlignment w:val="auto"/>
        <w:rPr>
          <w:rFonts w:ascii="宋体" w:hAnsi="宋体" w:cs="仿宋_GB2312"/>
          <w:kern w:val="2"/>
          <w:sz w:val="24"/>
        </w:rPr>
      </w:pPr>
      <w:r>
        <w:rPr>
          <w:rFonts w:hint="eastAsia" w:ascii="宋体" w:hAnsi="宋体" w:cs="仿宋_GB2312"/>
          <w:kern w:val="2"/>
          <w:sz w:val="24"/>
        </w:rPr>
        <w:t>最高限价（如有）：</w:t>
      </w:r>
      <w:r>
        <w:rPr>
          <w:rFonts w:hint="eastAsia" w:ascii="宋体" w:hAnsi="宋体" w:cs="仿宋_GB2312"/>
          <w:kern w:val="2"/>
          <w:sz w:val="24"/>
          <w:u w:val="single"/>
          <w:lang w:eastAsia="zh-CN"/>
        </w:rPr>
        <w:t>69万元</w:t>
      </w:r>
      <w:r>
        <w:rPr>
          <w:rFonts w:hint="eastAsia" w:ascii="宋体" w:hAnsi="宋体" w:cs="仿宋_GB2312"/>
          <w:kern w:val="2"/>
          <w:sz w:val="24"/>
        </w:rPr>
        <w:t>（人民币）</w:t>
      </w:r>
    </w:p>
    <w:p w14:paraId="5BCA427D">
      <w:pPr>
        <w:adjustRightInd/>
        <w:snapToGrid w:val="0"/>
        <w:spacing w:line="360" w:lineRule="auto"/>
        <w:textAlignment w:val="auto"/>
        <w:rPr>
          <w:rFonts w:ascii="宋体" w:hAnsi="宋体" w:cs="仿宋_GB2312"/>
          <w:kern w:val="2"/>
          <w:sz w:val="24"/>
        </w:rPr>
      </w:pPr>
      <w:r>
        <w:rPr>
          <w:rFonts w:hint="eastAsia" w:ascii="宋体" w:hAnsi="宋体" w:cs="仿宋_GB2312"/>
          <w:kern w:val="2"/>
          <w:sz w:val="24"/>
        </w:rPr>
        <w:t>采购需求：</w:t>
      </w:r>
    </w:p>
    <w:p w14:paraId="78AE4F33">
      <w:pPr>
        <w:numPr>
          <w:ilvl w:val="0"/>
          <w:numId w:val="0"/>
        </w:numPr>
        <w:adjustRightInd/>
        <w:snapToGrid w:val="0"/>
        <w:spacing w:line="360" w:lineRule="auto"/>
        <w:ind w:left="562" w:leftChars="0" w:hanging="420" w:firstLineChars="0"/>
        <w:textAlignment w:val="auto"/>
        <w:rPr>
          <w:rFonts w:ascii="宋体" w:hAnsi="宋体"/>
          <w:i/>
          <w:iCs/>
          <w:kern w:val="2"/>
          <w:sz w:val="24"/>
          <w:u w:val="single"/>
          <w:shd w:val="pct10" w:color="auto" w:fill="FFFFFF"/>
        </w:rPr>
      </w:pPr>
      <w:bookmarkStart w:id="9" w:name="_Hlk185435056"/>
      <w:r>
        <w:rPr>
          <w:rFonts w:hint="eastAsia" w:ascii="宋体" w:hAnsi="宋体" w:cs="仿宋_GB2312"/>
          <w:kern w:val="2"/>
          <w:sz w:val="24"/>
          <w:lang w:val="en-US" w:eastAsia="zh-CN"/>
        </w:rPr>
        <w:t>1.</w:t>
      </w:r>
      <w:r>
        <w:rPr>
          <w:rFonts w:hint="eastAsia" w:ascii="宋体" w:hAnsi="宋体" w:cs="仿宋_GB2312"/>
          <w:kern w:val="2"/>
          <w:sz w:val="24"/>
        </w:rPr>
        <w:t>标的名称：</w:t>
      </w:r>
      <w:r>
        <w:rPr>
          <w:rFonts w:hint="eastAsia" w:ascii="宋体" w:hAnsi="宋体" w:cs="仿宋_GB2312"/>
          <w:sz w:val="24"/>
          <w:lang w:eastAsia="zh-CN"/>
        </w:rPr>
        <w:t>2026年度节日慰问品采购</w:t>
      </w:r>
      <w:r>
        <w:rPr>
          <w:rFonts w:hint="eastAsia" w:ascii="宋体" w:hAnsi="宋体" w:cs="仿宋_GB2312"/>
          <w:i/>
          <w:iCs/>
          <w:kern w:val="2"/>
          <w:sz w:val="24"/>
        </w:rPr>
        <w:t>。</w:t>
      </w:r>
    </w:p>
    <w:p w14:paraId="30F50B9C">
      <w:pPr>
        <w:numPr>
          <w:ilvl w:val="0"/>
          <w:numId w:val="0"/>
        </w:numPr>
        <w:adjustRightInd/>
        <w:snapToGrid w:val="0"/>
        <w:spacing w:line="360" w:lineRule="auto"/>
        <w:ind w:left="562" w:leftChars="0" w:hanging="420" w:firstLineChars="0"/>
        <w:textAlignment w:val="auto"/>
        <w:rPr>
          <w:rFonts w:ascii="宋体" w:hAnsi="宋体"/>
          <w:i/>
          <w:iCs/>
          <w:kern w:val="2"/>
          <w:sz w:val="24"/>
          <w:u w:val="single"/>
          <w:shd w:val="pct10" w:color="auto" w:fill="FFFFFF"/>
        </w:rPr>
      </w:pPr>
      <w:r>
        <w:rPr>
          <w:rFonts w:hint="eastAsia" w:ascii="宋体" w:hAnsi="宋体" w:cs="仿宋_GB2312"/>
          <w:kern w:val="2"/>
          <w:sz w:val="24"/>
          <w:lang w:val="en-US" w:eastAsia="zh-CN"/>
        </w:rPr>
        <w:t>2.</w:t>
      </w:r>
      <w:r>
        <w:rPr>
          <w:rFonts w:hint="eastAsia" w:ascii="宋体" w:hAnsi="宋体" w:cs="仿宋_GB2312"/>
          <w:kern w:val="2"/>
          <w:sz w:val="24"/>
        </w:rPr>
        <w:t>标的数量：1项</w:t>
      </w:r>
      <w:r>
        <w:rPr>
          <w:rFonts w:hint="eastAsia" w:ascii="宋体" w:hAnsi="宋体" w:cs="仿宋_GB2312"/>
          <w:i/>
          <w:iCs/>
          <w:kern w:val="2"/>
          <w:sz w:val="24"/>
        </w:rPr>
        <w:t>。</w:t>
      </w:r>
    </w:p>
    <w:p w14:paraId="7BF9D410">
      <w:pPr>
        <w:numPr>
          <w:ilvl w:val="0"/>
          <w:numId w:val="0"/>
        </w:numPr>
        <w:adjustRightInd/>
        <w:snapToGrid w:val="0"/>
        <w:spacing w:line="360" w:lineRule="auto"/>
        <w:ind w:left="562" w:leftChars="0" w:hanging="420" w:firstLineChars="0"/>
        <w:textAlignment w:val="auto"/>
        <w:rPr>
          <w:rFonts w:ascii="宋体" w:hAnsi="宋体" w:cs="仿宋_GB2312"/>
          <w:kern w:val="2"/>
          <w:sz w:val="24"/>
        </w:rPr>
      </w:pPr>
      <w:r>
        <w:rPr>
          <w:rFonts w:hint="eastAsia" w:ascii="宋体" w:hAnsi="宋体" w:eastAsia="宋体" w:cs="仿宋_GB2312"/>
          <w:i w:val="0"/>
          <w:iCs w:val="0"/>
          <w:color w:val="auto"/>
          <w:kern w:val="2"/>
          <w:sz w:val="24"/>
          <w:szCs w:val="24"/>
          <w:lang w:val="en-US" w:eastAsia="zh-CN" w:bidi="ar-SA"/>
        </w:rPr>
        <w:t>3.</w:t>
      </w:r>
      <w:r>
        <w:rPr>
          <w:rFonts w:hint="eastAsia" w:ascii="宋体" w:hAnsi="宋体" w:cs="仿宋_GB2312"/>
          <w:kern w:val="2"/>
          <w:sz w:val="24"/>
        </w:rPr>
        <w:t>简要技术需求或服务要求：</w:t>
      </w:r>
    </w:p>
    <w:p w14:paraId="5C17FD81">
      <w:pPr>
        <w:numPr>
          <w:ilvl w:val="0"/>
          <w:numId w:val="0"/>
        </w:numPr>
        <w:adjustRightInd/>
        <w:snapToGrid w:val="0"/>
        <w:spacing w:line="360" w:lineRule="auto"/>
        <w:ind w:left="851" w:leftChars="0" w:hanging="709" w:firstLineChars="0"/>
        <w:textAlignment w:val="auto"/>
        <w:rPr>
          <w:rFonts w:ascii="宋体" w:hAnsi="宋体" w:cs="仿宋_GB2312"/>
          <w:color w:val="auto"/>
          <w:kern w:val="2"/>
          <w:sz w:val="24"/>
          <w:u w:val="single"/>
        </w:rPr>
      </w:pPr>
      <w:bookmarkStart w:id="10" w:name="_Hlk40969746"/>
      <w:r>
        <w:rPr>
          <w:rFonts w:hint="default" w:ascii="宋体" w:hAnsi="宋体" w:eastAsia="宋体" w:cs="仿宋_GB2312"/>
          <w:i w:val="0"/>
          <w:iCs w:val="0"/>
          <w:color w:val="auto"/>
          <w:kern w:val="2"/>
          <w:sz w:val="24"/>
          <w:szCs w:val="24"/>
          <w:lang w:val="en-US" w:eastAsia="zh-CN" w:bidi="ar-SA"/>
        </w:rPr>
        <w:t>（1）</w:t>
      </w:r>
      <w:r>
        <w:rPr>
          <w:rFonts w:hint="eastAsia" w:ascii="宋体" w:hAnsi="宋体" w:cs="仿宋_GB2312"/>
          <w:color w:val="auto"/>
          <w:kern w:val="2"/>
          <w:sz w:val="24"/>
        </w:rPr>
        <w:t>项目编号:</w:t>
      </w:r>
      <w:bookmarkEnd w:id="10"/>
      <w:r>
        <w:rPr>
          <w:rFonts w:hint="eastAsia" w:ascii="宋体" w:hAnsi="宋体" w:cs="仿宋_GB2312"/>
          <w:color w:val="auto"/>
          <w:kern w:val="2"/>
          <w:sz w:val="24"/>
          <w:u w:val="single"/>
          <w:lang w:eastAsia="zh-CN"/>
        </w:rPr>
        <w:t>CLZ0126FS00QY05</w:t>
      </w:r>
      <w:r>
        <w:rPr>
          <w:rFonts w:hint="eastAsia" w:ascii="宋体" w:hAnsi="宋体" w:cs="仿宋_GB2312"/>
          <w:color w:val="auto"/>
          <w:kern w:val="2"/>
          <w:sz w:val="24"/>
          <w:u w:val="single"/>
        </w:rPr>
        <w:t>。</w:t>
      </w:r>
    </w:p>
    <w:p w14:paraId="573DE8FC">
      <w:pPr>
        <w:numPr>
          <w:ilvl w:val="0"/>
          <w:numId w:val="0"/>
        </w:numPr>
        <w:adjustRightInd/>
        <w:snapToGrid w:val="0"/>
        <w:spacing w:line="360" w:lineRule="auto"/>
        <w:ind w:left="851" w:leftChars="0" w:hanging="709" w:firstLineChars="0"/>
        <w:textAlignment w:val="auto"/>
        <w:rPr>
          <w:rFonts w:ascii="宋体" w:hAnsi="宋体" w:cs="仿宋_GB2312"/>
          <w:color w:val="auto"/>
          <w:kern w:val="2"/>
          <w:sz w:val="24"/>
        </w:rPr>
      </w:pPr>
      <w:r>
        <w:rPr>
          <w:rFonts w:hint="default" w:ascii="宋体" w:hAnsi="宋体" w:eastAsia="宋体" w:cs="仿宋_GB2312"/>
          <w:i w:val="0"/>
          <w:iCs w:val="0"/>
          <w:color w:val="auto"/>
          <w:kern w:val="2"/>
          <w:sz w:val="24"/>
          <w:szCs w:val="24"/>
          <w:lang w:val="en-US" w:eastAsia="zh-CN" w:bidi="ar-SA"/>
        </w:rPr>
        <w:t>（2）</w:t>
      </w:r>
      <w:r>
        <w:rPr>
          <w:rFonts w:hint="eastAsia" w:ascii="宋体" w:hAnsi="宋体" w:cs="仿宋_GB2312"/>
          <w:color w:val="auto"/>
          <w:kern w:val="2"/>
          <w:sz w:val="24"/>
        </w:rPr>
        <w:t>标的内容一览表：</w:t>
      </w:r>
    </w:p>
    <w:tbl>
      <w:tblPr>
        <w:tblStyle w:val="134"/>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99"/>
        <w:gridCol w:w="2572"/>
        <w:gridCol w:w="3847"/>
      </w:tblGrid>
      <w:tr w14:paraId="378F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3599" w:type="dxa"/>
            <w:tcBorders>
              <w:top w:val="single" w:color="auto" w:sz="12" w:space="0"/>
            </w:tcBorders>
            <w:vAlign w:val="center"/>
          </w:tcPr>
          <w:p w14:paraId="124324BD">
            <w:pPr>
              <w:adjustRightInd/>
              <w:snapToGrid w:val="0"/>
              <w:spacing w:line="240" w:lineRule="auto"/>
              <w:jc w:val="center"/>
              <w:textAlignment w:val="auto"/>
              <w:rPr>
                <w:color w:val="auto"/>
                <w:sz w:val="24"/>
              </w:rPr>
            </w:pPr>
            <w:r>
              <w:rPr>
                <w:rFonts w:hint="eastAsia"/>
                <w:color w:val="auto"/>
                <w:sz w:val="24"/>
              </w:rPr>
              <w:t>标的名称</w:t>
            </w:r>
          </w:p>
        </w:tc>
        <w:tc>
          <w:tcPr>
            <w:tcW w:w="2572" w:type="dxa"/>
            <w:tcBorders>
              <w:top w:val="single" w:color="auto" w:sz="12" w:space="0"/>
              <w:right w:val="single" w:color="auto" w:sz="8" w:space="0"/>
            </w:tcBorders>
            <w:vAlign w:val="center"/>
          </w:tcPr>
          <w:p w14:paraId="2B1987CA">
            <w:pPr>
              <w:adjustRightInd/>
              <w:snapToGrid w:val="0"/>
              <w:spacing w:line="240" w:lineRule="auto"/>
              <w:jc w:val="center"/>
              <w:textAlignment w:val="auto"/>
              <w:rPr>
                <w:color w:val="auto"/>
                <w:sz w:val="24"/>
              </w:rPr>
            </w:pPr>
            <w:r>
              <w:rPr>
                <w:rFonts w:hint="eastAsia"/>
                <w:color w:val="auto"/>
                <w:sz w:val="24"/>
              </w:rPr>
              <w:t>数量</w:t>
            </w:r>
          </w:p>
        </w:tc>
        <w:tc>
          <w:tcPr>
            <w:tcW w:w="3847" w:type="dxa"/>
            <w:tcBorders>
              <w:top w:val="single" w:color="auto" w:sz="12" w:space="0"/>
              <w:left w:val="single" w:color="auto" w:sz="8" w:space="0"/>
              <w:right w:val="single" w:color="auto" w:sz="12" w:space="0"/>
            </w:tcBorders>
            <w:vAlign w:val="center"/>
          </w:tcPr>
          <w:p w14:paraId="528D14EB">
            <w:pPr>
              <w:adjustRightInd/>
              <w:snapToGrid w:val="0"/>
              <w:spacing w:line="240" w:lineRule="auto"/>
              <w:jc w:val="center"/>
              <w:textAlignment w:val="auto"/>
              <w:rPr>
                <w:color w:val="auto"/>
                <w:sz w:val="24"/>
              </w:rPr>
            </w:pPr>
            <w:r>
              <w:rPr>
                <w:rFonts w:hint="eastAsia"/>
                <w:color w:val="auto"/>
                <w:sz w:val="24"/>
              </w:rPr>
              <w:t>最高限价（人民币 元）</w:t>
            </w:r>
          </w:p>
        </w:tc>
      </w:tr>
      <w:tr w14:paraId="4864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99" w:type="dxa"/>
            <w:vAlign w:val="center"/>
          </w:tcPr>
          <w:p w14:paraId="3965ACED">
            <w:pPr>
              <w:adjustRightInd/>
              <w:snapToGrid w:val="0"/>
              <w:spacing w:line="360" w:lineRule="auto"/>
              <w:jc w:val="center"/>
              <w:textAlignment w:val="auto"/>
              <w:rPr>
                <w:rFonts w:hint="eastAsia" w:ascii="宋体" w:hAnsi="宋体" w:eastAsia="宋体" w:cs="仿宋_GB2312"/>
                <w:color w:val="auto"/>
                <w:sz w:val="24"/>
                <w:lang w:eastAsia="zh-CN"/>
              </w:rPr>
            </w:pPr>
            <w:r>
              <w:rPr>
                <w:rFonts w:hint="eastAsia" w:ascii="宋体" w:hAnsi="宋体" w:cs="仿宋_GB2312"/>
                <w:color w:val="auto"/>
                <w:sz w:val="24"/>
                <w:lang w:eastAsia="zh-CN"/>
              </w:rPr>
              <w:t>2026年度节日慰问品采购</w:t>
            </w:r>
          </w:p>
        </w:tc>
        <w:tc>
          <w:tcPr>
            <w:tcW w:w="2572" w:type="dxa"/>
            <w:tcBorders>
              <w:right w:val="single" w:color="auto" w:sz="8" w:space="0"/>
            </w:tcBorders>
            <w:vAlign w:val="center"/>
          </w:tcPr>
          <w:p w14:paraId="609BCDB2">
            <w:pPr>
              <w:adjustRightInd/>
              <w:snapToGrid w:val="0"/>
              <w:spacing w:line="360" w:lineRule="auto"/>
              <w:jc w:val="center"/>
              <w:textAlignment w:val="auto"/>
              <w:rPr>
                <w:rFonts w:ascii="宋体" w:hAnsi="宋体" w:cs="仿宋_GB2312"/>
                <w:color w:val="auto"/>
                <w:sz w:val="24"/>
              </w:rPr>
            </w:pPr>
            <w:r>
              <w:rPr>
                <w:rFonts w:hint="eastAsia" w:ascii="宋体" w:hAnsi="宋体" w:cs="仿宋_GB2312"/>
                <w:color w:val="auto"/>
                <w:sz w:val="24"/>
              </w:rPr>
              <w:t>1项</w:t>
            </w:r>
          </w:p>
        </w:tc>
        <w:tc>
          <w:tcPr>
            <w:tcW w:w="3847" w:type="dxa"/>
            <w:tcBorders>
              <w:left w:val="single" w:color="auto" w:sz="8" w:space="0"/>
              <w:right w:val="single" w:color="auto" w:sz="12" w:space="0"/>
            </w:tcBorders>
            <w:vAlign w:val="center"/>
          </w:tcPr>
          <w:p w14:paraId="4A5399C1">
            <w:pPr>
              <w:adjustRightInd/>
              <w:snapToGrid w:val="0"/>
              <w:spacing w:line="360" w:lineRule="auto"/>
              <w:jc w:val="center"/>
              <w:textAlignment w:val="auto"/>
              <w:rPr>
                <w:rFonts w:hint="eastAsia" w:ascii="宋体" w:hAnsi="宋体" w:eastAsia="宋体" w:cs="仿宋_GB2312"/>
                <w:color w:val="auto"/>
                <w:sz w:val="24"/>
                <w:lang w:eastAsia="zh-CN"/>
              </w:rPr>
            </w:pPr>
            <w:r>
              <w:rPr>
                <w:rFonts w:hint="eastAsia" w:ascii="宋体" w:hAnsi="宋体" w:cs="仿宋_GB2312"/>
                <w:color w:val="auto"/>
                <w:sz w:val="24"/>
                <w:lang w:eastAsia="zh-CN"/>
              </w:rPr>
              <w:t>690000</w:t>
            </w:r>
          </w:p>
        </w:tc>
      </w:tr>
    </w:tbl>
    <w:p w14:paraId="6E197FC1">
      <w:pPr>
        <w:numPr>
          <w:ilvl w:val="0"/>
          <w:numId w:val="0"/>
        </w:numPr>
        <w:adjustRightInd/>
        <w:snapToGrid w:val="0"/>
        <w:spacing w:line="360" w:lineRule="auto"/>
        <w:ind w:left="851" w:leftChars="0" w:hanging="709" w:firstLineChars="0"/>
        <w:textAlignment w:val="auto"/>
        <w:rPr>
          <w:rFonts w:ascii="宋体" w:hAnsi="宋体"/>
          <w:bCs/>
          <w:color w:val="auto"/>
          <w:kern w:val="2"/>
          <w:sz w:val="24"/>
          <w:u w:val="single"/>
        </w:rPr>
      </w:pPr>
      <w:r>
        <w:rPr>
          <w:rFonts w:hint="default" w:ascii="宋体" w:hAnsi="宋体" w:eastAsia="宋体" w:cs="Times New Roman"/>
          <w:bCs/>
          <w:i w:val="0"/>
          <w:iCs w:val="0"/>
          <w:color w:val="auto"/>
          <w:kern w:val="2"/>
          <w:sz w:val="24"/>
          <w:szCs w:val="24"/>
          <w:lang w:val="en-US" w:eastAsia="zh-CN" w:bidi="ar-SA"/>
        </w:rPr>
        <w:t>（3）</w:t>
      </w:r>
      <w:r>
        <w:rPr>
          <w:rFonts w:hint="eastAsia" w:ascii="宋体" w:hAnsi="宋体"/>
          <w:bCs/>
          <w:color w:val="auto"/>
          <w:kern w:val="2"/>
          <w:sz w:val="24"/>
        </w:rPr>
        <w:t>简要服务要求：</w:t>
      </w:r>
      <w:r>
        <w:rPr>
          <w:rFonts w:hint="eastAsia" w:ascii="宋体" w:hAnsi="宋体"/>
          <w:bCs/>
          <w:color w:val="auto"/>
          <w:sz w:val="24"/>
          <w:u w:val="single"/>
        </w:rPr>
        <w:t>本项目选取一家中标人为采购人工会委员会提供202</w:t>
      </w:r>
      <w:r>
        <w:rPr>
          <w:rFonts w:hint="eastAsia" w:ascii="宋体" w:hAnsi="宋体"/>
          <w:bCs/>
          <w:color w:val="auto"/>
          <w:sz w:val="24"/>
          <w:u w:val="single"/>
          <w:lang w:val="en-US" w:eastAsia="zh-CN"/>
        </w:rPr>
        <w:t>6</w:t>
      </w:r>
      <w:r>
        <w:rPr>
          <w:rFonts w:hint="eastAsia" w:ascii="宋体" w:hAnsi="宋体"/>
          <w:bCs/>
          <w:color w:val="auto"/>
          <w:sz w:val="24"/>
          <w:u w:val="single"/>
        </w:rPr>
        <w:t>年度节日慰问品配送服务，</w:t>
      </w:r>
      <w:r>
        <w:rPr>
          <w:rFonts w:hint="eastAsia" w:ascii="宋体" w:hAnsi="宋体"/>
          <w:color w:val="auto"/>
          <w:sz w:val="24"/>
          <w:u w:val="single"/>
        </w:rPr>
        <w:t>采购人单位工会根据产品清单指定采购套餐，职工根据工会提供的套餐在中标人针对本项目提供的专属福利电子采购平台选择套餐，下单成功后由中标人进行配送</w:t>
      </w:r>
      <w:r>
        <w:rPr>
          <w:rFonts w:hint="eastAsia" w:ascii="宋体" w:hAnsi="宋体"/>
          <w:color w:val="auto"/>
          <w:kern w:val="24"/>
          <w:sz w:val="24"/>
          <w:u w:val="single"/>
        </w:rPr>
        <w:t>。具体详见采购需求。</w:t>
      </w:r>
    </w:p>
    <w:bookmarkEnd w:id="9"/>
    <w:p w14:paraId="243DDA7D">
      <w:pPr>
        <w:adjustRightInd/>
        <w:snapToGrid w:val="0"/>
        <w:spacing w:line="360" w:lineRule="auto"/>
        <w:ind w:firstLine="720" w:firstLineChars="300"/>
        <w:textAlignment w:val="auto"/>
        <w:rPr>
          <w:rFonts w:ascii="宋体" w:hAnsi="宋体" w:cs="仿宋_GB2312"/>
          <w:color w:val="auto"/>
          <w:kern w:val="2"/>
          <w:sz w:val="24"/>
          <w:u w:val="single"/>
        </w:rPr>
      </w:pPr>
      <w:r>
        <w:rPr>
          <w:rFonts w:hint="eastAsia" w:ascii="宋体" w:hAnsi="宋体" w:cs="仿宋_GB2312"/>
          <w:color w:val="auto"/>
          <w:kern w:val="2"/>
          <w:sz w:val="24"/>
        </w:rPr>
        <w:t>合同履行期限：</w:t>
      </w:r>
      <w:r>
        <w:rPr>
          <w:rFonts w:hint="eastAsia" w:ascii="宋体" w:hAnsi="宋体"/>
          <w:bCs/>
          <w:color w:val="auto"/>
          <w:sz w:val="24"/>
          <w:u w:val="single"/>
        </w:rPr>
        <w:t>实施期限：自签订合同之日起至202</w:t>
      </w:r>
      <w:r>
        <w:rPr>
          <w:rFonts w:hint="eastAsia" w:ascii="宋体" w:hAnsi="宋体"/>
          <w:bCs/>
          <w:color w:val="auto"/>
          <w:sz w:val="24"/>
          <w:u w:val="single"/>
          <w:lang w:val="en-US" w:eastAsia="zh-CN"/>
        </w:rPr>
        <w:t>6</w:t>
      </w:r>
      <w:r>
        <w:rPr>
          <w:rFonts w:hint="eastAsia" w:ascii="宋体" w:hAnsi="宋体"/>
          <w:bCs/>
          <w:color w:val="auto"/>
          <w:sz w:val="24"/>
          <w:u w:val="single"/>
        </w:rPr>
        <w:t>年12月31日或项目结算金额达到预算金额其中一项先到达为止</w:t>
      </w:r>
      <w:r>
        <w:rPr>
          <w:rFonts w:hint="eastAsia" w:ascii="宋体" w:hAnsi="宋体" w:cs="仿宋_GB2312"/>
          <w:color w:val="auto"/>
          <w:kern w:val="2"/>
          <w:sz w:val="24"/>
          <w:u w:val="single"/>
        </w:rPr>
        <w:t>。</w:t>
      </w:r>
    </w:p>
    <w:p w14:paraId="0B7DDEF8">
      <w:pPr>
        <w:adjustRightInd/>
        <w:snapToGrid w:val="0"/>
        <w:spacing w:line="360" w:lineRule="auto"/>
        <w:textAlignment w:val="auto"/>
        <w:rPr>
          <w:rFonts w:ascii="宋体" w:hAnsi="宋体" w:cs="仿宋_GB2312"/>
          <w:color w:val="auto"/>
          <w:kern w:val="2"/>
          <w:sz w:val="24"/>
        </w:rPr>
      </w:pPr>
      <w:r>
        <w:rPr>
          <w:rFonts w:hint="eastAsia" w:ascii="宋体" w:hAnsi="宋体" w:cs="仿宋_GB2312"/>
          <w:color w:val="auto"/>
          <w:kern w:val="2"/>
          <w:sz w:val="24"/>
        </w:rPr>
        <w:t>本项目</w:t>
      </w:r>
      <w:bookmarkStart w:id="11" w:name="_Hlk40885918"/>
      <w:r>
        <w:rPr>
          <w:rFonts w:hint="eastAsia" w:ascii="宋体" w:hAnsi="宋体" w:cs="仿宋_GB2312"/>
          <w:color w:val="auto"/>
          <w:kern w:val="2"/>
          <w:sz w:val="24"/>
          <w:u w:val="single"/>
        </w:rPr>
        <w:t>不接受</w:t>
      </w:r>
      <w:bookmarkEnd w:id="11"/>
      <w:r>
        <w:rPr>
          <w:rFonts w:hint="eastAsia" w:ascii="宋体" w:hAnsi="宋体" w:cs="仿宋_GB2312"/>
          <w:color w:val="auto"/>
          <w:kern w:val="2"/>
          <w:sz w:val="24"/>
        </w:rPr>
        <w:t>联合体投标。</w:t>
      </w:r>
    </w:p>
    <w:p w14:paraId="30379261">
      <w:pPr>
        <w:numPr>
          <w:ilvl w:val="0"/>
          <w:numId w:val="3"/>
        </w:numPr>
        <w:adjustRightInd/>
        <w:snapToGrid w:val="0"/>
        <w:spacing w:line="360" w:lineRule="auto"/>
        <w:textAlignment w:val="auto"/>
        <w:rPr>
          <w:rFonts w:ascii="宋体" w:hAnsi="宋体" w:cs="仿宋_GB2312"/>
          <w:b/>
          <w:bCs/>
          <w:color w:val="auto"/>
          <w:kern w:val="2"/>
          <w:sz w:val="24"/>
        </w:rPr>
      </w:pPr>
      <w:r>
        <w:rPr>
          <w:rFonts w:hint="eastAsia" w:ascii="宋体" w:hAnsi="宋体" w:cs="仿宋_GB2312"/>
          <w:b/>
          <w:bCs/>
          <w:color w:val="auto"/>
          <w:kern w:val="2"/>
          <w:sz w:val="24"/>
        </w:rPr>
        <w:t>申请人的资格要求：</w:t>
      </w:r>
    </w:p>
    <w:p w14:paraId="71175F76">
      <w:pPr>
        <w:numPr>
          <w:ilvl w:val="0"/>
          <w:numId w:val="0"/>
        </w:numPr>
        <w:adjustRightInd/>
        <w:snapToGrid w:val="0"/>
        <w:spacing w:line="360" w:lineRule="auto"/>
        <w:ind w:left="425" w:leftChars="0" w:hanging="425" w:firstLineChars="0"/>
        <w:textAlignment w:val="auto"/>
        <w:rPr>
          <w:rFonts w:ascii="宋体" w:hAnsi="宋体"/>
          <w:i/>
          <w:iCs/>
          <w:color w:val="auto"/>
          <w:kern w:val="2"/>
          <w:sz w:val="24"/>
          <w:shd w:val="pct10" w:color="auto" w:fill="FFFFFF"/>
        </w:rPr>
      </w:pPr>
      <w:r>
        <w:rPr>
          <w:rFonts w:hint="eastAsia" w:ascii="宋体" w:hAnsi="宋体" w:cs="仿宋_GB2312"/>
          <w:color w:val="auto"/>
          <w:kern w:val="2"/>
          <w:sz w:val="24"/>
          <w:lang w:val="en-US" w:eastAsia="zh-CN"/>
        </w:rPr>
        <w:t>1.</w:t>
      </w:r>
      <w:r>
        <w:rPr>
          <w:rFonts w:hint="eastAsia" w:ascii="宋体" w:hAnsi="宋体" w:cs="仿宋_GB2312"/>
          <w:color w:val="auto"/>
          <w:kern w:val="2"/>
          <w:sz w:val="24"/>
        </w:rPr>
        <w:t>落实政府采购政策需满足的资格要求：</w:t>
      </w:r>
    </w:p>
    <w:p w14:paraId="767BFD10">
      <w:pPr>
        <w:adjustRightInd/>
        <w:snapToGrid w:val="0"/>
        <w:spacing w:line="360" w:lineRule="auto"/>
        <w:ind w:firstLine="480" w:firstLineChars="200"/>
        <w:textAlignment w:val="auto"/>
        <w:rPr>
          <w:rFonts w:hint="eastAsia" w:ascii="宋体" w:hAnsi="宋体" w:cs="仿宋_GB2312"/>
          <w:color w:val="auto"/>
          <w:kern w:val="2"/>
          <w:sz w:val="24"/>
        </w:rPr>
      </w:pPr>
      <w:r>
        <w:rPr>
          <w:rFonts w:hint="eastAsia" w:ascii="宋体" w:hAnsi="宋体" w:cs="仿宋_GB2312"/>
          <w:color w:val="auto"/>
          <w:kern w:val="2"/>
          <w:sz w:val="24"/>
        </w:rPr>
        <w:t>无</w:t>
      </w:r>
      <w:r>
        <w:rPr>
          <w:rFonts w:ascii="宋体" w:hAnsi="宋体" w:cs="仿宋_GB2312"/>
          <w:color w:val="auto"/>
          <w:kern w:val="2"/>
          <w:sz w:val="24"/>
        </w:rPr>
        <w:t>。</w:t>
      </w:r>
      <w:r>
        <w:rPr>
          <w:rFonts w:hint="eastAsia" w:ascii="宋体" w:hAnsi="宋体" w:cs="仿宋_GB2312"/>
          <w:color w:val="auto"/>
          <w:kern w:val="2"/>
          <w:sz w:val="24"/>
        </w:rPr>
        <w:t>本项目不属于专门面向中小企业采购的项目。</w:t>
      </w:r>
    </w:p>
    <w:p w14:paraId="71501BCD">
      <w:pPr>
        <w:numPr>
          <w:ilvl w:val="0"/>
          <w:numId w:val="0"/>
        </w:numPr>
        <w:adjustRightInd/>
        <w:snapToGrid w:val="0"/>
        <w:spacing w:line="360" w:lineRule="auto"/>
        <w:ind w:left="425" w:leftChars="0" w:hanging="425" w:firstLineChars="0"/>
        <w:textAlignment w:val="auto"/>
        <w:rPr>
          <w:rFonts w:ascii="宋体" w:hAnsi="宋体" w:cs="仿宋_GB2312"/>
          <w:color w:val="auto"/>
          <w:kern w:val="2"/>
          <w:sz w:val="24"/>
        </w:rPr>
      </w:pPr>
      <w:r>
        <w:rPr>
          <w:rFonts w:hint="default" w:ascii="宋体" w:hAnsi="宋体" w:eastAsia="宋体" w:cs="仿宋_GB2312"/>
          <w:i w:val="0"/>
          <w:iCs w:val="0"/>
          <w:color w:val="auto"/>
          <w:kern w:val="2"/>
          <w:sz w:val="24"/>
          <w:szCs w:val="24"/>
          <w:lang w:val="en-US" w:eastAsia="zh-CN" w:bidi="ar-SA"/>
        </w:rPr>
        <w:t>2.</w:t>
      </w:r>
      <w:r>
        <w:rPr>
          <w:rFonts w:ascii="宋体" w:hAnsi="宋体" w:cs="仿宋_GB2312"/>
          <w:color w:val="auto"/>
          <w:kern w:val="2"/>
          <w:sz w:val="24"/>
        </w:rPr>
        <w:t>本项目的特定资格要求：</w:t>
      </w:r>
      <w:bookmarkStart w:id="12" w:name="_Hlk185435021"/>
      <w:r>
        <w:rPr>
          <w:rFonts w:hint="eastAsia" w:ascii="宋体" w:hAnsi="宋体" w:cs="仿宋_GB2312"/>
          <w:color w:val="auto"/>
          <w:kern w:val="2"/>
          <w:sz w:val="24"/>
        </w:rPr>
        <w:t>无。</w:t>
      </w:r>
    </w:p>
    <w:p w14:paraId="08875A8E">
      <w:pPr>
        <w:adjustRightInd/>
        <w:snapToGrid w:val="0"/>
        <w:spacing w:line="360" w:lineRule="auto"/>
        <w:ind w:left="377" w:hanging="376" w:hangingChars="157"/>
        <w:textAlignment w:val="auto"/>
        <w:rPr>
          <w:rFonts w:ascii="宋体" w:hAnsi="宋体"/>
          <w:bCs/>
          <w:color w:val="auto"/>
          <w:kern w:val="2"/>
          <w:sz w:val="24"/>
        </w:rPr>
      </w:pPr>
      <w:r>
        <w:rPr>
          <w:rFonts w:hint="eastAsia" w:ascii="宋体" w:hAnsi="宋体"/>
          <w:color w:val="auto"/>
          <w:kern w:val="2"/>
          <w:sz w:val="24"/>
          <w:szCs w:val="21"/>
          <w:lang w:val="en-US" w:eastAsia="zh-CN"/>
        </w:rPr>
        <w:t>3</w:t>
      </w:r>
      <w:r>
        <w:rPr>
          <w:rFonts w:ascii="宋体" w:hAnsi="宋体"/>
          <w:color w:val="auto"/>
          <w:kern w:val="2"/>
          <w:sz w:val="24"/>
          <w:szCs w:val="21"/>
        </w:rPr>
        <w:t>.</w:t>
      </w:r>
      <w:r>
        <w:rPr>
          <w:rFonts w:hint="eastAsia" w:ascii="宋体" w:hAnsi="宋体" w:cs="仿宋_GB2312"/>
          <w:color w:val="auto"/>
          <w:kern w:val="2"/>
          <w:sz w:val="24"/>
        </w:rPr>
        <w:t xml:space="preserve"> 满足《中华人民共和国政府采购法》第二十二条规定：</w:t>
      </w:r>
    </w:p>
    <w:p w14:paraId="24C69857">
      <w:pPr>
        <w:numPr>
          <w:ilvl w:val="0"/>
          <w:numId w:val="0"/>
        </w:numPr>
        <w:adjustRightInd/>
        <w:snapToGrid w:val="0"/>
        <w:spacing w:line="360" w:lineRule="auto"/>
        <w:ind w:left="427" w:leftChars="0" w:hanging="427" w:hangingChars="178"/>
        <w:textAlignment w:val="auto"/>
        <w:rPr>
          <w:rFonts w:ascii="宋体" w:hAnsi="宋体"/>
          <w:bCs/>
          <w:color w:val="auto"/>
          <w:kern w:val="2"/>
          <w:sz w:val="24"/>
        </w:rPr>
      </w:pPr>
      <w:r>
        <w:rPr>
          <w:rFonts w:hint="default" w:ascii="宋体" w:hAnsi="宋体" w:eastAsia="宋体" w:cs="Times New Roman"/>
          <w:bCs/>
          <w:color w:val="auto"/>
          <w:kern w:val="2"/>
          <w:sz w:val="24"/>
          <w:szCs w:val="24"/>
          <w:lang w:val="en-US" w:eastAsia="zh-CN" w:bidi="ar-SA"/>
        </w:rPr>
        <w:t>(1)</w:t>
      </w:r>
      <w:r>
        <w:rPr>
          <w:rFonts w:hint="eastAsia" w:ascii="宋体" w:hAnsi="宋体"/>
          <w:color w:val="auto"/>
          <w:kern w:val="2"/>
          <w:sz w:val="24"/>
          <w:szCs w:val="21"/>
        </w:rPr>
        <w:t>提供在中华人民共和国境内注册的法人或其他组织的营业执照或事业单位法人证书或社会团体法人登记证书复印件，如响应供应商为自然人的提供自然人身份证明复印件；如国家另有规定的，则从其规定。</w:t>
      </w:r>
      <w:r>
        <w:rPr>
          <w:rFonts w:hint="eastAsia" w:ascii="宋体" w:hAnsi="宋体" w:cs="宋体"/>
          <w:color w:val="auto"/>
          <w:kern w:val="2"/>
          <w:sz w:val="24"/>
        </w:rPr>
        <w:t>（分公司投标，须取得具有法人资格的总公司（总所）出具给分公司的授权书，并提供总公司（总所）和分公司的营业执照（执业许可证）复印件。已由总公司（总所）授权的，总公司（总所）取得的相关资质证书对分公司有效，法律法规或者行业另有规定的除外）</w:t>
      </w:r>
    </w:p>
    <w:p w14:paraId="2F1B451B">
      <w:pPr>
        <w:numPr>
          <w:ilvl w:val="0"/>
          <w:numId w:val="0"/>
        </w:numPr>
        <w:adjustRightInd/>
        <w:snapToGrid w:val="0"/>
        <w:spacing w:line="360" w:lineRule="auto"/>
        <w:ind w:left="427" w:leftChars="0" w:hanging="427" w:hangingChars="178"/>
        <w:textAlignment w:val="auto"/>
        <w:rPr>
          <w:rFonts w:ascii="宋体" w:hAnsi="宋体"/>
          <w:bCs/>
          <w:color w:val="auto"/>
          <w:kern w:val="2"/>
          <w:sz w:val="24"/>
        </w:rPr>
      </w:pPr>
      <w:r>
        <w:rPr>
          <w:rFonts w:hint="default" w:ascii="宋体" w:hAnsi="宋体" w:eastAsia="宋体" w:cs="Times New Roman"/>
          <w:bCs/>
          <w:color w:val="auto"/>
          <w:kern w:val="2"/>
          <w:sz w:val="24"/>
          <w:szCs w:val="24"/>
          <w:lang w:val="en-US" w:eastAsia="zh-CN" w:bidi="ar-SA"/>
        </w:rPr>
        <w:t>(2)</w:t>
      </w:r>
      <w:r>
        <w:rPr>
          <w:rFonts w:hint="eastAsia" w:ascii="宋体" w:hAnsi="宋体"/>
          <w:color w:val="auto"/>
          <w:kern w:val="2"/>
          <w:sz w:val="24"/>
          <w:szCs w:val="21"/>
        </w:rPr>
        <w:t>提供</w:t>
      </w:r>
      <w:r>
        <w:rPr>
          <w:rFonts w:hint="eastAsia" w:ascii="宋体" w:hAnsi="宋体"/>
          <w:color w:val="auto"/>
          <w:kern w:val="2"/>
          <w:sz w:val="24"/>
          <w:szCs w:val="21"/>
          <w:u w:val="single"/>
        </w:rPr>
        <w:t>202</w:t>
      </w:r>
      <w:r>
        <w:rPr>
          <w:rFonts w:hint="eastAsia" w:ascii="宋体" w:hAnsi="宋体"/>
          <w:color w:val="auto"/>
          <w:kern w:val="2"/>
          <w:sz w:val="24"/>
          <w:szCs w:val="21"/>
          <w:u w:val="single"/>
          <w:lang w:val="en-US" w:eastAsia="zh-CN"/>
        </w:rPr>
        <w:t>4</w:t>
      </w:r>
      <w:r>
        <w:rPr>
          <w:rFonts w:hint="eastAsia" w:ascii="宋体" w:hAnsi="宋体"/>
          <w:color w:val="auto"/>
          <w:kern w:val="2"/>
          <w:sz w:val="24"/>
          <w:szCs w:val="21"/>
        </w:rPr>
        <w:t>年度财务状况报告或</w:t>
      </w:r>
      <w:r>
        <w:rPr>
          <w:rFonts w:hint="eastAsia" w:ascii="宋体" w:hAnsi="宋体"/>
          <w:color w:val="auto"/>
          <w:kern w:val="2"/>
          <w:sz w:val="24"/>
          <w:szCs w:val="21"/>
          <w:u w:val="single"/>
        </w:rPr>
        <w:t>202</w:t>
      </w:r>
      <w:r>
        <w:rPr>
          <w:rFonts w:hint="eastAsia" w:ascii="宋体" w:hAnsi="宋体"/>
          <w:color w:val="auto"/>
          <w:kern w:val="2"/>
          <w:sz w:val="24"/>
          <w:szCs w:val="21"/>
          <w:u w:val="single"/>
          <w:lang w:val="en-US" w:eastAsia="zh-CN"/>
        </w:rPr>
        <w:t>5</w:t>
      </w:r>
      <w:r>
        <w:rPr>
          <w:rFonts w:hint="eastAsia" w:ascii="宋体" w:hAnsi="宋体"/>
          <w:color w:val="auto"/>
          <w:kern w:val="2"/>
          <w:sz w:val="24"/>
          <w:szCs w:val="21"/>
        </w:rPr>
        <w:t>年任意</w:t>
      </w:r>
      <w:r>
        <w:rPr>
          <w:rFonts w:hint="eastAsia" w:ascii="宋体" w:hAnsi="宋体"/>
          <w:color w:val="auto"/>
          <w:kern w:val="2"/>
          <w:sz w:val="24"/>
          <w:szCs w:val="21"/>
          <w:u w:val="single"/>
        </w:rPr>
        <w:t>1</w:t>
      </w:r>
      <w:r>
        <w:rPr>
          <w:rFonts w:hint="eastAsia" w:ascii="宋体" w:hAnsi="宋体"/>
          <w:color w:val="auto"/>
          <w:kern w:val="2"/>
          <w:sz w:val="24"/>
          <w:szCs w:val="21"/>
        </w:rPr>
        <w:t>个月的财务状况报告复印件，或银行出具的资信证明材料复印件。</w:t>
      </w:r>
    </w:p>
    <w:p w14:paraId="6C2D7328">
      <w:pPr>
        <w:numPr>
          <w:ilvl w:val="0"/>
          <w:numId w:val="0"/>
        </w:numPr>
        <w:adjustRightInd/>
        <w:snapToGrid w:val="0"/>
        <w:spacing w:line="360" w:lineRule="auto"/>
        <w:ind w:left="427" w:leftChars="0" w:hanging="427" w:hangingChars="178"/>
        <w:textAlignment w:val="auto"/>
        <w:rPr>
          <w:rFonts w:ascii="宋体" w:hAnsi="宋体"/>
          <w:bCs/>
          <w:color w:val="auto"/>
          <w:kern w:val="2"/>
          <w:sz w:val="24"/>
        </w:rPr>
      </w:pPr>
      <w:r>
        <w:rPr>
          <w:rFonts w:hint="default" w:ascii="宋体" w:hAnsi="宋体" w:eastAsia="宋体" w:cs="Times New Roman"/>
          <w:bCs/>
          <w:color w:val="auto"/>
          <w:kern w:val="2"/>
          <w:sz w:val="24"/>
          <w:szCs w:val="24"/>
          <w:lang w:val="en-US" w:eastAsia="zh-CN" w:bidi="ar-SA"/>
        </w:rPr>
        <w:t>(3)</w:t>
      </w:r>
      <w:r>
        <w:rPr>
          <w:rFonts w:hint="eastAsia" w:ascii="宋体" w:hAnsi="宋体"/>
          <w:color w:val="auto"/>
          <w:kern w:val="2"/>
          <w:sz w:val="24"/>
          <w:szCs w:val="21"/>
        </w:rPr>
        <w:t>提供</w:t>
      </w:r>
      <w:r>
        <w:rPr>
          <w:rFonts w:hint="eastAsia" w:ascii="宋体" w:hAnsi="宋体"/>
          <w:color w:val="auto"/>
          <w:kern w:val="2"/>
          <w:sz w:val="24"/>
          <w:szCs w:val="21"/>
          <w:u w:val="single"/>
        </w:rPr>
        <w:t>202</w:t>
      </w:r>
      <w:r>
        <w:rPr>
          <w:rFonts w:hint="eastAsia" w:ascii="宋体" w:hAnsi="宋体"/>
          <w:color w:val="auto"/>
          <w:kern w:val="2"/>
          <w:sz w:val="24"/>
          <w:szCs w:val="21"/>
          <w:u w:val="single"/>
          <w:lang w:val="en-US" w:eastAsia="zh-CN"/>
        </w:rPr>
        <w:t>5</w:t>
      </w:r>
      <w:r>
        <w:rPr>
          <w:rFonts w:hint="eastAsia" w:ascii="宋体" w:hAnsi="宋体"/>
          <w:color w:val="auto"/>
          <w:kern w:val="2"/>
          <w:sz w:val="24"/>
          <w:szCs w:val="21"/>
        </w:rPr>
        <w:t>年任意</w:t>
      </w:r>
      <w:r>
        <w:rPr>
          <w:rFonts w:hint="eastAsia" w:ascii="宋体" w:hAnsi="宋体"/>
          <w:color w:val="auto"/>
          <w:kern w:val="2"/>
          <w:sz w:val="24"/>
          <w:szCs w:val="21"/>
          <w:u w:val="single"/>
        </w:rPr>
        <w:t>1</w:t>
      </w:r>
      <w:r>
        <w:rPr>
          <w:rFonts w:hint="eastAsia" w:ascii="宋体" w:hAnsi="宋体"/>
          <w:color w:val="auto"/>
          <w:kern w:val="2"/>
          <w:sz w:val="24"/>
          <w:szCs w:val="21"/>
        </w:rPr>
        <w:t>个月缴纳税收的凭据证明材料复印件；如依法免税的，应提供相关材料。</w:t>
      </w:r>
    </w:p>
    <w:p w14:paraId="03E3348C">
      <w:pPr>
        <w:numPr>
          <w:ilvl w:val="0"/>
          <w:numId w:val="0"/>
        </w:numPr>
        <w:adjustRightInd/>
        <w:snapToGrid w:val="0"/>
        <w:spacing w:line="360" w:lineRule="auto"/>
        <w:ind w:left="427" w:leftChars="0" w:hanging="427" w:hangingChars="178"/>
        <w:textAlignment w:val="auto"/>
        <w:rPr>
          <w:rFonts w:ascii="宋体" w:hAnsi="宋体"/>
          <w:bCs/>
          <w:color w:val="auto"/>
          <w:kern w:val="2"/>
          <w:sz w:val="24"/>
        </w:rPr>
      </w:pPr>
      <w:r>
        <w:rPr>
          <w:rFonts w:hint="default" w:ascii="宋体" w:hAnsi="宋体" w:eastAsia="宋体" w:cs="Times New Roman"/>
          <w:bCs/>
          <w:color w:val="auto"/>
          <w:kern w:val="2"/>
          <w:sz w:val="24"/>
          <w:szCs w:val="24"/>
          <w:lang w:val="en-US" w:eastAsia="zh-CN" w:bidi="ar-SA"/>
        </w:rPr>
        <w:t>(4)</w:t>
      </w:r>
      <w:r>
        <w:rPr>
          <w:rFonts w:hint="eastAsia" w:ascii="宋体" w:hAnsi="宋体"/>
          <w:color w:val="auto"/>
          <w:kern w:val="2"/>
          <w:sz w:val="24"/>
          <w:szCs w:val="21"/>
        </w:rPr>
        <w:t>提供</w:t>
      </w:r>
      <w:r>
        <w:rPr>
          <w:rFonts w:hint="eastAsia" w:ascii="宋体" w:hAnsi="宋体"/>
          <w:color w:val="auto"/>
          <w:kern w:val="2"/>
          <w:sz w:val="24"/>
          <w:szCs w:val="21"/>
          <w:u w:val="single"/>
        </w:rPr>
        <w:t>202</w:t>
      </w:r>
      <w:r>
        <w:rPr>
          <w:rFonts w:hint="eastAsia" w:ascii="宋体" w:hAnsi="宋体"/>
          <w:color w:val="auto"/>
          <w:kern w:val="2"/>
          <w:sz w:val="24"/>
          <w:szCs w:val="21"/>
          <w:u w:val="single"/>
          <w:lang w:val="en-US" w:eastAsia="zh-CN"/>
        </w:rPr>
        <w:t>5</w:t>
      </w:r>
      <w:r>
        <w:rPr>
          <w:rFonts w:hint="eastAsia" w:ascii="宋体" w:hAnsi="宋体"/>
          <w:color w:val="auto"/>
          <w:kern w:val="2"/>
          <w:sz w:val="24"/>
          <w:szCs w:val="21"/>
        </w:rPr>
        <w:t>年任意</w:t>
      </w:r>
      <w:r>
        <w:rPr>
          <w:rFonts w:hint="eastAsia" w:ascii="宋体" w:hAnsi="宋体"/>
          <w:color w:val="auto"/>
          <w:kern w:val="2"/>
          <w:sz w:val="24"/>
          <w:szCs w:val="21"/>
          <w:u w:val="single"/>
        </w:rPr>
        <w:t>1</w:t>
      </w:r>
      <w:r>
        <w:rPr>
          <w:rFonts w:hint="eastAsia" w:ascii="宋体" w:hAnsi="宋体"/>
          <w:color w:val="auto"/>
          <w:kern w:val="2"/>
          <w:sz w:val="24"/>
          <w:szCs w:val="21"/>
        </w:rPr>
        <w:t>个月缴纳社会保障资金的凭据证明材料复印件；如依法不需要缴纳社会保障资金的，应提供相关材料。</w:t>
      </w:r>
    </w:p>
    <w:p w14:paraId="0CCB6857">
      <w:pPr>
        <w:numPr>
          <w:ilvl w:val="0"/>
          <w:numId w:val="0"/>
        </w:numPr>
        <w:adjustRightInd/>
        <w:snapToGrid w:val="0"/>
        <w:spacing w:line="360" w:lineRule="auto"/>
        <w:ind w:left="427" w:leftChars="0" w:hanging="427" w:hangingChars="178"/>
        <w:textAlignment w:val="auto"/>
        <w:rPr>
          <w:rFonts w:ascii="宋体" w:hAnsi="宋体"/>
          <w:bCs/>
          <w:color w:val="auto"/>
          <w:kern w:val="2"/>
          <w:sz w:val="24"/>
        </w:rPr>
      </w:pPr>
      <w:r>
        <w:rPr>
          <w:rFonts w:hint="default" w:ascii="宋体" w:hAnsi="宋体" w:eastAsia="宋体" w:cs="Times New Roman"/>
          <w:bCs/>
          <w:color w:val="auto"/>
          <w:kern w:val="2"/>
          <w:sz w:val="24"/>
          <w:szCs w:val="24"/>
          <w:lang w:val="en-US" w:eastAsia="zh-CN" w:bidi="ar-SA"/>
        </w:rPr>
        <w:t>(5)</w:t>
      </w:r>
      <w:r>
        <w:rPr>
          <w:rFonts w:hint="eastAsia" w:ascii="宋体" w:hAnsi="宋体" w:cs="宋体"/>
          <w:color w:val="auto"/>
          <w:sz w:val="24"/>
        </w:rPr>
        <w:t>具</w:t>
      </w:r>
      <w:r>
        <w:rPr>
          <w:rFonts w:hint="eastAsia" w:ascii="宋体" w:hAnsi="宋体"/>
          <w:color w:val="auto"/>
          <w:kern w:val="2"/>
          <w:sz w:val="24"/>
          <w:szCs w:val="21"/>
        </w:rPr>
        <w:t>提供履行合同所必需的设备和专业技术能力的证明材料。（提供《投标人资格声明函》）</w:t>
      </w:r>
    </w:p>
    <w:p w14:paraId="515D40AD">
      <w:pPr>
        <w:numPr>
          <w:ilvl w:val="0"/>
          <w:numId w:val="0"/>
        </w:numPr>
        <w:adjustRightInd/>
        <w:snapToGrid w:val="0"/>
        <w:spacing w:line="360" w:lineRule="auto"/>
        <w:ind w:left="427" w:leftChars="0" w:hanging="427" w:hangingChars="178"/>
        <w:textAlignment w:val="auto"/>
        <w:rPr>
          <w:rFonts w:ascii="宋体" w:hAnsi="宋体"/>
          <w:bCs/>
          <w:color w:val="auto"/>
          <w:kern w:val="2"/>
          <w:sz w:val="24"/>
        </w:rPr>
      </w:pPr>
      <w:r>
        <w:rPr>
          <w:rFonts w:hint="default" w:ascii="宋体" w:hAnsi="宋体" w:eastAsia="宋体" w:cs="Times New Roman"/>
          <w:bCs/>
          <w:color w:val="auto"/>
          <w:kern w:val="2"/>
          <w:sz w:val="24"/>
          <w:szCs w:val="24"/>
          <w:lang w:val="en-US" w:eastAsia="zh-CN" w:bidi="ar-SA"/>
        </w:rPr>
        <w:t>(6)</w:t>
      </w:r>
      <w:r>
        <w:rPr>
          <w:rFonts w:hint="eastAsia" w:ascii="宋体" w:hAnsi="宋体"/>
          <w:color w:val="auto"/>
          <w:kern w:val="2"/>
          <w:sz w:val="24"/>
          <w:szCs w:val="21"/>
        </w:rPr>
        <w:t>提供参加采购活动前3年内在经营活动中没有重大违法记录的书面声明。（</w:t>
      </w:r>
      <w:r>
        <w:rPr>
          <w:rFonts w:hint="eastAsia" w:ascii="宋体" w:hAnsi="宋体"/>
          <w:bCs/>
          <w:color w:val="auto"/>
          <w:kern w:val="2"/>
          <w:sz w:val="24"/>
          <w:szCs w:val="20"/>
        </w:rPr>
        <w:t>提供《投标人资格声明函》</w:t>
      </w:r>
      <w:r>
        <w:rPr>
          <w:rFonts w:hint="eastAsia" w:ascii="宋体" w:hAnsi="宋体"/>
          <w:color w:val="auto"/>
          <w:kern w:val="2"/>
          <w:sz w:val="24"/>
          <w:szCs w:val="21"/>
        </w:rPr>
        <w:t>）</w:t>
      </w:r>
      <w:bookmarkStart w:id="13" w:name="_Hlk175834991"/>
      <w:r>
        <w:rPr>
          <w:rFonts w:hint="eastAsia" w:ascii="宋体" w:hAnsi="宋体"/>
          <w:color w:val="auto"/>
          <w:kern w:val="2"/>
          <w:sz w:val="24"/>
          <w:szCs w:val="21"/>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bookmarkEnd w:id="13"/>
    </w:p>
    <w:p w14:paraId="3E1B50AD">
      <w:pPr>
        <w:numPr>
          <w:ilvl w:val="0"/>
          <w:numId w:val="0"/>
        </w:numPr>
        <w:adjustRightInd/>
        <w:snapToGrid w:val="0"/>
        <w:spacing w:line="360" w:lineRule="auto"/>
        <w:ind w:left="427" w:leftChars="0" w:hanging="427" w:hangingChars="178"/>
        <w:textAlignment w:val="auto"/>
        <w:rPr>
          <w:rFonts w:ascii="宋体" w:hAnsi="宋体"/>
          <w:bCs/>
          <w:color w:val="auto"/>
          <w:kern w:val="2"/>
          <w:sz w:val="24"/>
        </w:rPr>
      </w:pPr>
      <w:r>
        <w:rPr>
          <w:rFonts w:hint="default" w:ascii="宋体" w:hAnsi="宋体" w:eastAsia="宋体" w:cs="Times New Roman"/>
          <w:bCs/>
          <w:color w:val="auto"/>
          <w:kern w:val="2"/>
          <w:sz w:val="24"/>
          <w:szCs w:val="24"/>
          <w:lang w:val="en-US" w:eastAsia="zh-CN" w:bidi="ar-SA"/>
        </w:rPr>
        <w:t>(7)</w:t>
      </w:r>
      <w:r>
        <w:rPr>
          <w:rFonts w:hint="eastAsia" w:ascii="宋体" w:hAnsi="宋体"/>
          <w:bCs/>
          <w:color w:val="auto"/>
          <w:kern w:val="2"/>
          <w:sz w:val="24"/>
        </w:rPr>
        <w:t>法律、行政法规规定的其他条件。</w:t>
      </w:r>
      <w:r>
        <w:rPr>
          <w:rFonts w:hint="eastAsia" w:ascii="宋体" w:hAnsi="宋体"/>
          <w:color w:val="auto"/>
          <w:kern w:val="2"/>
          <w:sz w:val="24"/>
          <w:szCs w:val="21"/>
        </w:rPr>
        <w:t>（</w:t>
      </w:r>
      <w:r>
        <w:rPr>
          <w:rFonts w:hint="eastAsia" w:ascii="宋体" w:hAnsi="宋体"/>
          <w:bCs/>
          <w:color w:val="auto"/>
          <w:kern w:val="2"/>
          <w:sz w:val="24"/>
          <w:szCs w:val="20"/>
        </w:rPr>
        <w:t>提供《投标人资格声明函》</w:t>
      </w:r>
      <w:r>
        <w:rPr>
          <w:rFonts w:hint="eastAsia" w:ascii="宋体" w:hAnsi="宋体"/>
          <w:color w:val="auto"/>
          <w:kern w:val="2"/>
          <w:sz w:val="24"/>
          <w:szCs w:val="21"/>
        </w:rPr>
        <w:t>）</w:t>
      </w:r>
    </w:p>
    <w:p w14:paraId="5BC65A2D">
      <w:pPr>
        <w:adjustRightInd/>
        <w:snapToGrid w:val="0"/>
        <w:spacing w:line="360" w:lineRule="auto"/>
        <w:ind w:left="377" w:hanging="376" w:hangingChars="157"/>
        <w:textAlignment w:val="auto"/>
        <w:rPr>
          <w:rFonts w:ascii="宋体" w:hAnsi="宋体"/>
          <w:color w:val="auto"/>
          <w:kern w:val="2"/>
          <w:sz w:val="24"/>
        </w:rPr>
      </w:pPr>
      <w:r>
        <w:rPr>
          <w:rFonts w:hint="eastAsia" w:ascii="宋体" w:hAnsi="宋体"/>
          <w:bCs/>
          <w:color w:val="auto"/>
          <w:kern w:val="2"/>
          <w:sz w:val="24"/>
          <w:lang w:val="en-US" w:eastAsia="zh-CN"/>
        </w:rPr>
        <w:t>4</w:t>
      </w:r>
      <w:r>
        <w:rPr>
          <w:rFonts w:ascii="宋体" w:hAnsi="宋体"/>
          <w:bCs/>
          <w:color w:val="auto"/>
          <w:kern w:val="2"/>
          <w:sz w:val="24"/>
        </w:rPr>
        <w:t xml:space="preserve">. </w:t>
      </w:r>
      <w:r>
        <w:rPr>
          <w:rFonts w:hint="eastAsia" w:ascii="宋体" w:hAnsi="宋体"/>
          <w:bCs/>
          <w:color w:val="auto"/>
          <w:kern w:val="2"/>
          <w:sz w:val="24"/>
        </w:rPr>
        <w:t>为采购项目提供整体设计、规范编制或者项目管理、监理、检测等服务的供应商，不得再参加该采购项目的其他采购活动。</w:t>
      </w:r>
      <w:r>
        <w:rPr>
          <w:rFonts w:hint="eastAsia" w:ascii="宋体" w:hAnsi="宋体"/>
          <w:bCs/>
          <w:color w:val="auto"/>
          <w:kern w:val="2"/>
          <w:sz w:val="24"/>
          <w:szCs w:val="20"/>
        </w:rPr>
        <w:t>（提供《投标人资格声明函》）</w:t>
      </w:r>
    </w:p>
    <w:p w14:paraId="7139FDE6">
      <w:pPr>
        <w:adjustRightInd/>
        <w:snapToGrid w:val="0"/>
        <w:spacing w:line="360" w:lineRule="auto"/>
        <w:ind w:left="377" w:hanging="376" w:hangingChars="157"/>
        <w:textAlignment w:val="auto"/>
        <w:rPr>
          <w:rFonts w:ascii="宋体" w:hAnsi="宋体"/>
          <w:bCs/>
          <w:color w:val="auto"/>
          <w:kern w:val="2"/>
          <w:sz w:val="24"/>
        </w:rPr>
      </w:pPr>
      <w:r>
        <w:rPr>
          <w:rFonts w:hint="eastAsia" w:ascii="宋体" w:hAnsi="宋体"/>
          <w:bCs/>
          <w:color w:val="auto"/>
          <w:kern w:val="2"/>
          <w:sz w:val="24"/>
          <w:lang w:val="en-US" w:eastAsia="zh-CN"/>
        </w:rPr>
        <w:t>5</w:t>
      </w:r>
      <w:r>
        <w:rPr>
          <w:rFonts w:ascii="宋体" w:hAnsi="宋体"/>
          <w:bCs/>
          <w:color w:val="auto"/>
          <w:kern w:val="2"/>
          <w:sz w:val="24"/>
        </w:rPr>
        <w:t xml:space="preserve">. </w:t>
      </w:r>
      <w:r>
        <w:rPr>
          <w:rFonts w:hint="eastAsia" w:ascii="宋体" w:hAnsi="宋体"/>
          <w:bCs/>
          <w:color w:val="auto"/>
          <w:kern w:val="2"/>
          <w:sz w:val="24"/>
        </w:rPr>
        <w:t>单位负责人为同一人或者存在直接控股、管理关系的不同供应商，不得参加同一合同项下的政府采购活动。</w:t>
      </w:r>
      <w:r>
        <w:rPr>
          <w:rFonts w:hint="eastAsia" w:ascii="宋体" w:hAnsi="宋体"/>
          <w:bCs/>
          <w:color w:val="auto"/>
          <w:kern w:val="2"/>
          <w:sz w:val="24"/>
          <w:szCs w:val="20"/>
        </w:rPr>
        <w:t>（提供《</w:t>
      </w:r>
      <w:r>
        <w:rPr>
          <w:rFonts w:hint="eastAsia" w:ascii="宋体" w:hAnsi="宋体"/>
          <w:color w:val="auto"/>
          <w:kern w:val="2"/>
          <w:sz w:val="24"/>
        </w:rPr>
        <w:t>投标人</w:t>
      </w:r>
      <w:r>
        <w:rPr>
          <w:rFonts w:hint="eastAsia" w:ascii="宋体" w:hAnsi="宋体"/>
          <w:bCs/>
          <w:color w:val="auto"/>
          <w:kern w:val="2"/>
          <w:sz w:val="24"/>
          <w:szCs w:val="20"/>
        </w:rPr>
        <w:t>资格声明函》）</w:t>
      </w:r>
    </w:p>
    <w:p w14:paraId="1321EDFC">
      <w:pPr>
        <w:adjustRightInd/>
        <w:snapToGrid w:val="0"/>
        <w:spacing w:line="360" w:lineRule="auto"/>
        <w:ind w:left="377" w:hanging="376" w:hangingChars="157"/>
        <w:textAlignment w:val="auto"/>
        <w:rPr>
          <w:rFonts w:ascii="宋体" w:hAnsi="宋体"/>
          <w:color w:val="auto"/>
          <w:kern w:val="2"/>
          <w:sz w:val="24"/>
        </w:rPr>
      </w:pPr>
      <w:r>
        <w:rPr>
          <w:rFonts w:hint="eastAsia" w:ascii="宋体" w:hAnsi="宋体"/>
          <w:color w:val="auto"/>
          <w:kern w:val="2"/>
          <w:sz w:val="24"/>
          <w:lang w:val="en-US" w:eastAsia="zh-CN"/>
        </w:rPr>
        <w:t>6</w:t>
      </w:r>
      <w:r>
        <w:rPr>
          <w:rFonts w:ascii="宋体" w:hAnsi="宋体"/>
          <w:color w:val="auto"/>
          <w:kern w:val="2"/>
          <w:sz w:val="24"/>
        </w:rPr>
        <w:t>. 投标人未被列入“信用中国”网站(</w:t>
      </w:r>
      <w:r>
        <w:rPr>
          <w:color w:val="auto"/>
        </w:rPr>
        <w:fldChar w:fldCharType="begin"/>
      </w:r>
      <w:r>
        <w:rPr>
          <w:color w:val="auto"/>
        </w:rPr>
        <w:instrText xml:space="preserve"> HYPERLINK "http://www.creditchina.gov.cn" </w:instrText>
      </w:r>
      <w:r>
        <w:rPr>
          <w:color w:val="auto"/>
        </w:rPr>
        <w:fldChar w:fldCharType="separate"/>
      </w:r>
      <w:r>
        <w:rPr>
          <w:rFonts w:ascii="宋体" w:hAnsi="宋体"/>
          <w:color w:val="auto"/>
          <w:kern w:val="2"/>
          <w:sz w:val="24"/>
          <w:u w:val="single"/>
        </w:rPr>
        <w:t>www.creditchina.gov.cn</w:t>
      </w:r>
      <w:r>
        <w:rPr>
          <w:rFonts w:ascii="宋体" w:hAnsi="宋体"/>
          <w:color w:val="auto"/>
          <w:kern w:val="2"/>
          <w:sz w:val="24"/>
          <w:u w:val="single"/>
        </w:rPr>
        <w:fldChar w:fldCharType="end"/>
      </w:r>
      <w:r>
        <w:rPr>
          <w:rFonts w:ascii="宋体" w:hAnsi="宋体"/>
          <w:color w:val="auto"/>
          <w:kern w:val="2"/>
          <w:sz w:val="24"/>
        </w:rPr>
        <w:t>)</w:t>
      </w:r>
      <w:r>
        <w:rPr>
          <w:rFonts w:hint="eastAsia" w:ascii="宋体" w:hAnsi="宋体"/>
          <w:color w:val="auto"/>
          <w:kern w:val="2"/>
          <w:sz w:val="24"/>
        </w:rPr>
        <w:t>以下任何记录名单之一：①</w:t>
      </w:r>
      <w:r>
        <w:rPr>
          <w:rFonts w:ascii="宋体" w:hAnsi="宋体"/>
          <w:color w:val="auto"/>
          <w:kern w:val="2"/>
          <w:sz w:val="24"/>
        </w:rPr>
        <w:t>失信被执行人</w:t>
      </w:r>
      <w:r>
        <w:rPr>
          <w:rFonts w:hint="eastAsia" w:ascii="宋体" w:hAnsi="宋体"/>
          <w:color w:val="auto"/>
          <w:kern w:val="2"/>
          <w:sz w:val="24"/>
        </w:rPr>
        <w:t>；②</w:t>
      </w:r>
      <w:r>
        <w:rPr>
          <w:rFonts w:ascii="宋体" w:hAnsi="宋体"/>
          <w:color w:val="auto"/>
          <w:kern w:val="2"/>
          <w:sz w:val="24"/>
        </w:rPr>
        <w:t>重大税收违法失信主体</w:t>
      </w:r>
      <w:r>
        <w:rPr>
          <w:rFonts w:hint="eastAsia" w:ascii="宋体" w:hAnsi="宋体"/>
          <w:color w:val="auto"/>
          <w:kern w:val="2"/>
          <w:sz w:val="24"/>
        </w:rPr>
        <w:t>；③</w:t>
      </w:r>
      <w:r>
        <w:rPr>
          <w:rFonts w:ascii="宋体" w:hAnsi="宋体"/>
          <w:color w:val="auto"/>
          <w:kern w:val="2"/>
          <w:sz w:val="24"/>
        </w:rPr>
        <w:t>政府采购严重违法失信行为</w:t>
      </w:r>
      <w:r>
        <w:rPr>
          <w:rFonts w:hint="eastAsia" w:ascii="宋体" w:hAnsi="宋体"/>
          <w:color w:val="auto"/>
          <w:kern w:val="2"/>
          <w:sz w:val="24"/>
        </w:rPr>
        <w:t>。同时，</w:t>
      </w:r>
      <w:r>
        <w:rPr>
          <w:rFonts w:ascii="宋体" w:hAnsi="宋体"/>
          <w:color w:val="auto"/>
          <w:kern w:val="2"/>
          <w:sz w:val="24"/>
        </w:rPr>
        <w:t>不处于中国政府采购网(www.ccgp.gov.cn)“政府采购严重违法失信行为信息记录”中的禁止参加政府采购活动期间。（</w:t>
      </w:r>
      <w:r>
        <w:rPr>
          <w:rFonts w:hint="eastAsia" w:ascii="宋体" w:hAnsi="宋体" w:cs="宋体"/>
          <w:color w:val="auto"/>
          <w:kern w:val="2"/>
          <w:sz w:val="24"/>
        </w:rPr>
        <w:t>说明：</w:t>
      </w:r>
      <w:r>
        <w:rPr>
          <w:rFonts w:hint="eastAsia" w:ascii="宋体" w:hAnsi="宋体"/>
          <w:color w:val="auto"/>
          <w:kern w:val="2"/>
          <w:sz w:val="24"/>
        </w:rPr>
        <w:t>①由</w:t>
      </w:r>
      <w:r>
        <w:rPr>
          <w:rFonts w:hint="eastAsia" w:ascii="宋体" w:hAnsi="宋体"/>
          <w:color w:val="auto"/>
          <w:kern w:val="2"/>
          <w:sz w:val="24"/>
          <w:szCs w:val="21"/>
        </w:rPr>
        <w:t>采购人、采购代理机构</w:t>
      </w:r>
      <w:r>
        <w:rPr>
          <w:rFonts w:ascii="宋体" w:hAnsi="宋体"/>
          <w:color w:val="auto"/>
          <w:kern w:val="2"/>
          <w:sz w:val="24"/>
        </w:rPr>
        <w:t>于</w:t>
      </w:r>
      <w:r>
        <w:rPr>
          <w:rFonts w:hint="eastAsia" w:ascii="宋体" w:hAnsi="宋体"/>
          <w:color w:val="auto"/>
          <w:kern w:val="2"/>
          <w:sz w:val="24"/>
        </w:rPr>
        <w:t>投标截止日</w:t>
      </w:r>
      <w:r>
        <w:rPr>
          <w:rFonts w:ascii="宋体" w:hAnsi="宋体"/>
          <w:color w:val="auto"/>
          <w:kern w:val="2"/>
          <w:sz w:val="24"/>
        </w:rPr>
        <w:t>在“信用中国”网站（www.creditchina.gov.cn）及中国政府采购网(www.ccgp.gov.cn)查询结果为准</w:t>
      </w:r>
      <w:r>
        <w:rPr>
          <w:rFonts w:hint="eastAsia" w:ascii="宋体" w:hAnsi="宋体"/>
          <w:color w:val="auto"/>
          <w:kern w:val="2"/>
          <w:sz w:val="24"/>
        </w:rPr>
        <w:t>，</w:t>
      </w:r>
      <w:r>
        <w:rPr>
          <w:rFonts w:ascii="宋体" w:hAnsi="宋体"/>
          <w:color w:val="auto"/>
          <w:kern w:val="2"/>
          <w:sz w:val="24"/>
        </w:rPr>
        <w:t>如在上述网站查询结果均显示没有相关记录，视为</w:t>
      </w:r>
      <w:r>
        <w:rPr>
          <w:rFonts w:hint="eastAsia" w:ascii="宋体" w:hAnsi="宋体"/>
          <w:color w:val="auto"/>
          <w:kern w:val="2"/>
          <w:sz w:val="24"/>
        </w:rPr>
        <w:t>不存在</w:t>
      </w:r>
      <w:r>
        <w:rPr>
          <w:rFonts w:ascii="宋体" w:hAnsi="宋体"/>
          <w:color w:val="auto"/>
          <w:kern w:val="2"/>
          <w:sz w:val="24"/>
        </w:rPr>
        <w:t>上述不良信用记录。</w:t>
      </w:r>
      <w:r>
        <w:rPr>
          <w:rFonts w:hint="eastAsia" w:ascii="宋体" w:hAnsi="宋体"/>
          <w:color w:val="auto"/>
          <w:kern w:val="2"/>
          <w:sz w:val="24"/>
        </w:rPr>
        <w:t>②</w:t>
      </w:r>
      <w:r>
        <w:rPr>
          <w:rFonts w:hint="eastAsia" w:ascii="宋体" w:hAnsi="宋体" w:cs="宋体"/>
          <w:color w:val="auto"/>
          <w:kern w:val="2"/>
          <w:sz w:val="24"/>
        </w:rPr>
        <w:t>采购代理机构同时对信用信息查询记录和证据截图或下载存档</w:t>
      </w:r>
      <w:r>
        <w:rPr>
          <w:rFonts w:hint="eastAsia" w:ascii="宋体" w:hAnsi="宋体"/>
          <w:color w:val="auto"/>
          <w:kern w:val="2"/>
          <w:sz w:val="24"/>
        </w:rPr>
        <w:t>；③</w:t>
      </w:r>
      <w:r>
        <w:rPr>
          <w:rFonts w:hint="eastAsia" w:hAnsi="宋体"/>
          <w:color w:val="auto"/>
          <w:kern w:val="2"/>
          <w:sz w:val="24"/>
        </w:rPr>
        <w:t>投标人为分公司或联合体有成员为分公司的，同时对该分公司所属</w:t>
      </w:r>
      <w:r>
        <w:rPr>
          <w:rFonts w:hint="eastAsia" w:hAnsi="宋体" w:cs="黑体"/>
          <w:color w:val="auto"/>
          <w:kern w:val="2"/>
          <w:sz w:val="24"/>
        </w:rPr>
        <w:t>总公司</w:t>
      </w:r>
      <w:r>
        <w:rPr>
          <w:rFonts w:hint="eastAsia" w:hAnsi="宋体"/>
          <w:color w:val="auto"/>
          <w:kern w:val="2"/>
          <w:sz w:val="24"/>
          <w:szCs w:val="21"/>
        </w:rPr>
        <w:t>（总所）进行信用记录查询，</w:t>
      </w:r>
      <w:r>
        <w:rPr>
          <w:rFonts w:hint="eastAsia" w:hAnsi="宋体"/>
          <w:color w:val="auto"/>
          <w:kern w:val="2"/>
          <w:sz w:val="24"/>
        </w:rPr>
        <w:t>该分公司所属</w:t>
      </w:r>
      <w:r>
        <w:rPr>
          <w:rFonts w:hint="eastAsia" w:hAnsi="宋体" w:cs="黑体"/>
          <w:color w:val="auto"/>
          <w:kern w:val="2"/>
          <w:sz w:val="24"/>
        </w:rPr>
        <w:t>总公司</w:t>
      </w:r>
      <w:r>
        <w:rPr>
          <w:rFonts w:hint="eastAsia" w:hAnsi="宋体"/>
          <w:color w:val="auto"/>
          <w:kern w:val="2"/>
          <w:sz w:val="24"/>
          <w:szCs w:val="21"/>
        </w:rPr>
        <w:t>（总所）</w:t>
      </w:r>
      <w:r>
        <w:rPr>
          <w:rFonts w:hAnsi="宋体"/>
          <w:color w:val="auto"/>
          <w:kern w:val="2"/>
          <w:sz w:val="24"/>
        </w:rPr>
        <w:t>存在</w:t>
      </w:r>
      <w:r>
        <w:rPr>
          <w:rFonts w:hint="eastAsia" w:hAnsi="宋体"/>
          <w:color w:val="auto"/>
          <w:kern w:val="2"/>
          <w:sz w:val="24"/>
        </w:rPr>
        <w:t>不良信用</w:t>
      </w:r>
      <w:r>
        <w:rPr>
          <w:rFonts w:hAnsi="宋体"/>
          <w:color w:val="auto"/>
          <w:kern w:val="2"/>
          <w:sz w:val="24"/>
        </w:rPr>
        <w:t>记录的</w:t>
      </w:r>
      <w:r>
        <w:rPr>
          <w:rFonts w:hint="eastAsia" w:hAnsi="宋体"/>
          <w:color w:val="auto"/>
          <w:kern w:val="2"/>
          <w:sz w:val="24"/>
        </w:rPr>
        <w:t>，视同供应商（联合体）存在不良信用记录</w:t>
      </w:r>
      <w:r>
        <w:rPr>
          <w:rFonts w:hAnsi="宋体"/>
          <w:color w:val="auto"/>
          <w:kern w:val="2"/>
          <w:sz w:val="24"/>
        </w:rPr>
        <w:t>。</w:t>
      </w:r>
      <w:r>
        <w:rPr>
          <w:rFonts w:hint="eastAsia" w:ascii="宋体" w:hAnsi="宋体"/>
          <w:color w:val="auto"/>
          <w:kern w:val="2"/>
          <w:sz w:val="24"/>
        </w:rPr>
        <w:t>）</w:t>
      </w:r>
    </w:p>
    <w:bookmarkEnd w:id="12"/>
    <w:p w14:paraId="40ECFB26">
      <w:pPr>
        <w:numPr>
          <w:ilvl w:val="0"/>
          <w:numId w:val="3"/>
        </w:numPr>
        <w:adjustRightInd/>
        <w:snapToGrid w:val="0"/>
        <w:spacing w:line="360" w:lineRule="auto"/>
        <w:textAlignment w:val="auto"/>
        <w:rPr>
          <w:rFonts w:ascii="宋体" w:hAnsi="宋体" w:cs="仿宋_GB2312"/>
          <w:b/>
          <w:bCs/>
          <w:color w:val="auto"/>
          <w:kern w:val="2"/>
          <w:sz w:val="24"/>
        </w:rPr>
      </w:pPr>
      <w:r>
        <w:rPr>
          <w:rFonts w:hint="eastAsia" w:ascii="宋体" w:hAnsi="宋体" w:cs="仿宋_GB2312"/>
          <w:b/>
          <w:bCs/>
          <w:color w:val="auto"/>
          <w:kern w:val="2"/>
          <w:sz w:val="24"/>
        </w:rPr>
        <w:t>获取招标文件</w:t>
      </w:r>
    </w:p>
    <w:p w14:paraId="660951E5">
      <w:pPr>
        <w:adjustRightInd/>
        <w:snapToGrid w:val="0"/>
        <w:spacing w:line="360" w:lineRule="auto"/>
        <w:ind w:left="142"/>
        <w:textAlignment w:val="auto"/>
        <w:rPr>
          <w:rFonts w:ascii="宋体" w:hAnsi="宋体" w:cs="宋体"/>
          <w:color w:val="auto"/>
          <w:kern w:val="2"/>
          <w:sz w:val="24"/>
        </w:rPr>
      </w:pPr>
      <w:r>
        <w:rPr>
          <w:rFonts w:hint="eastAsia" w:ascii="宋体" w:hAnsi="宋体" w:cs="宋体"/>
          <w:color w:val="auto"/>
          <w:kern w:val="2"/>
          <w:sz w:val="24"/>
        </w:rPr>
        <w:t>时间：</w:t>
      </w:r>
      <w:r>
        <w:rPr>
          <w:rFonts w:ascii="宋体" w:hAnsi="宋体" w:cs="宋体"/>
          <w:color w:val="auto"/>
          <w:kern w:val="2"/>
          <w:sz w:val="24"/>
          <w:u w:val="single"/>
        </w:rPr>
        <w:t>202</w:t>
      </w:r>
      <w:r>
        <w:rPr>
          <w:rFonts w:hint="eastAsia" w:ascii="宋体" w:hAnsi="宋体" w:cs="宋体"/>
          <w:color w:val="auto"/>
          <w:kern w:val="2"/>
          <w:sz w:val="24"/>
          <w:u w:val="single"/>
          <w:lang w:val="en-US" w:eastAsia="zh-CN"/>
        </w:rPr>
        <w:t>6</w:t>
      </w:r>
      <w:r>
        <w:rPr>
          <w:rFonts w:hint="eastAsia" w:ascii="宋体" w:hAnsi="宋体" w:cs="宋体"/>
          <w:color w:val="auto"/>
          <w:kern w:val="2"/>
          <w:sz w:val="24"/>
        </w:rPr>
        <w:t>年</w:t>
      </w:r>
      <w:r>
        <w:rPr>
          <w:rFonts w:hint="eastAsia" w:ascii="宋体" w:hAnsi="宋体" w:cs="宋体"/>
          <w:color w:val="auto"/>
          <w:kern w:val="2"/>
          <w:sz w:val="24"/>
          <w:u w:val="single"/>
          <w:lang w:val="en-US" w:eastAsia="zh-CN"/>
        </w:rPr>
        <w:t>1</w:t>
      </w:r>
      <w:r>
        <w:rPr>
          <w:rFonts w:hint="eastAsia" w:ascii="宋体" w:hAnsi="宋体" w:cs="宋体"/>
          <w:color w:val="auto"/>
          <w:kern w:val="2"/>
          <w:sz w:val="24"/>
        </w:rPr>
        <w:t>月</w:t>
      </w:r>
      <w:r>
        <w:rPr>
          <w:rFonts w:hint="eastAsia" w:ascii="宋体" w:hAnsi="宋体" w:cs="宋体"/>
          <w:color w:val="auto"/>
          <w:kern w:val="2"/>
          <w:sz w:val="24"/>
          <w:u w:val="single"/>
          <w:lang w:val="en-US" w:eastAsia="zh-CN"/>
        </w:rPr>
        <w:t>15</w:t>
      </w:r>
      <w:r>
        <w:rPr>
          <w:rFonts w:hint="eastAsia" w:ascii="宋体" w:hAnsi="宋体" w:cs="宋体"/>
          <w:color w:val="auto"/>
          <w:kern w:val="2"/>
          <w:sz w:val="24"/>
        </w:rPr>
        <w:t>日至</w:t>
      </w:r>
      <w:r>
        <w:rPr>
          <w:rFonts w:ascii="宋体" w:hAnsi="宋体" w:cs="宋体"/>
          <w:color w:val="auto"/>
          <w:kern w:val="2"/>
          <w:sz w:val="24"/>
          <w:u w:val="single"/>
        </w:rPr>
        <w:t>202</w:t>
      </w:r>
      <w:r>
        <w:rPr>
          <w:rFonts w:hint="eastAsia" w:ascii="宋体" w:hAnsi="宋体" w:cs="宋体"/>
          <w:color w:val="auto"/>
          <w:kern w:val="2"/>
          <w:sz w:val="24"/>
          <w:u w:val="single"/>
          <w:lang w:val="en-US" w:eastAsia="zh-CN"/>
        </w:rPr>
        <w:t>6</w:t>
      </w:r>
      <w:r>
        <w:rPr>
          <w:rFonts w:hint="eastAsia" w:ascii="宋体" w:hAnsi="宋体" w:cs="宋体"/>
          <w:color w:val="auto"/>
          <w:kern w:val="2"/>
          <w:sz w:val="24"/>
        </w:rPr>
        <w:t>年</w:t>
      </w:r>
      <w:r>
        <w:rPr>
          <w:rFonts w:hint="eastAsia" w:ascii="宋体" w:hAnsi="宋体" w:cs="宋体"/>
          <w:color w:val="auto"/>
          <w:kern w:val="2"/>
          <w:sz w:val="24"/>
          <w:u w:val="single"/>
          <w:lang w:val="en-US" w:eastAsia="zh-CN"/>
        </w:rPr>
        <w:t>1</w:t>
      </w:r>
      <w:r>
        <w:rPr>
          <w:rFonts w:hint="eastAsia" w:ascii="宋体" w:hAnsi="宋体" w:cs="宋体"/>
          <w:color w:val="auto"/>
          <w:kern w:val="2"/>
          <w:sz w:val="24"/>
        </w:rPr>
        <w:t>月</w:t>
      </w:r>
      <w:r>
        <w:rPr>
          <w:rFonts w:hint="eastAsia" w:ascii="宋体" w:hAnsi="宋体" w:cs="宋体"/>
          <w:color w:val="auto"/>
          <w:kern w:val="2"/>
          <w:sz w:val="24"/>
          <w:u w:val="single"/>
          <w:lang w:val="en-US" w:eastAsia="zh-CN"/>
        </w:rPr>
        <w:t>22</w:t>
      </w:r>
      <w:r>
        <w:rPr>
          <w:rFonts w:hint="eastAsia" w:ascii="宋体" w:hAnsi="宋体" w:cs="宋体"/>
          <w:color w:val="auto"/>
          <w:kern w:val="2"/>
          <w:sz w:val="24"/>
        </w:rPr>
        <w:t>日，</w:t>
      </w:r>
      <w:r>
        <w:rPr>
          <w:rFonts w:hint="eastAsia" w:ascii="宋体" w:hAnsi="宋体" w:cs="宋体"/>
          <w:color w:val="auto"/>
          <w:sz w:val="24"/>
          <w:shd w:val="clear" w:color="auto" w:fill="FFFFFF"/>
        </w:rPr>
        <w:t>每天上午9:00至12:00，下午14:30至17:30。（北京时间，法定节假日除外）</w:t>
      </w:r>
    </w:p>
    <w:p w14:paraId="1347442A">
      <w:pPr>
        <w:adjustRightInd/>
        <w:snapToGrid w:val="0"/>
        <w:spacing w:line="360" w:lineRule="auto"/>
        <w:ind w:left="142"/>
        <w:textAlignment w:val="auto"/>
        <w:rPr>
          <w:rFonts w:ascii="宋体" w:hAnsi="宋体" w:cs="仿宋_GB2312"/>
          <w:i/>
          <w:iCs/>
          <w:color w:val="auto"/>
          <w:kern w:val="2"/>
          <w:sz w:val="24"/>
        </w:rPr>
      </w:pPr>
      <w:r>
        <w:rPr>
          <w:rFonts w:hint="eastAsia" w:ascii="宋体" w:hAnsi="宋体" w:cs="宋体"/>
          <w:color w:val="auto"/>
          <w:kern w:val="2"/>
          <w:sz w:val="24"/>
        </w:rPr>
        <w:t>地点：</w:t>
      </w:r>
      <w:r>
        <w:rPr>
          <w:rFonts w:hint="eastAsia" w:ascii="宋体" w:hAnsi="宋体" w:cs="宋体"/>
          <w:color w:val="auto"/>
          <w:sz w:val="24"/>
          <w:u w:val="single"/>
          <w:shd w:val="clear" w:color="auto" w:fill="FFFFFF"/>
        </w:rPr>
        <w:t>佛山市禅城区季华五路55号万科金融中心A座33楼3302室</w:t>
      </w:r>
      <w:r>
        <w:rPr>
          <w:rFonts w:hint="eastAsia" w:ascii="宋体" w:hAnsi="宋体" w:cs="宋体"/>
          <w:i/>
          <w:iCs/>
          <w:color w:val="auto"/>
          <w:kern w:val="2"/>
          <w:sz w:val="24"/>
          <w:u w:val="single"/>
        </w:rPr>
        <w:t>。</w:t>
      </w:r>
    </w:p>
    <w:p w14:paraId="38702724">
      <w:pPr>
        <w:adjustRightInd/>
        <w:snapToGrid w:val="0"/>
        <w:spacing w:line="360" w:lineRule="auto"/>
        <w:ind w:left="142"/>
        <w:textAlignment w:val="auto"/>
        <w:rPr>
          <w:rFonts w:ascii="宋体" w:hAnsi="宋体" w:cs="宋体"/>
          <w:color w:val="auto"/>
          <w:kern w:val="2"/>
          <w:sz w:val="24"/>
        </w:rPr>
      </w:pPr>
      <w:r>
        <w:rPr>
          <w:rFonts w:hint="eastAsia" w:ascii="宋体" w:hAnsi="宋体" w:cs="宋体"/>
          <w:color w:val="auto"/>
          <w:kern w:val="2"/>
          <w:sz w:val="24"/>
        </w:rPr>
        <w:t>方式：详见“六、其他补充事宜”。</w:t>
      </w:r>
    </w:p>
    <w:p w14:paraId="3514F297">
      <w:pPr>
        <w:adjustRightInd/>
        <w:snapToGrid w:val="0"/>
        <w:spacing w:line="360" w:lineRule="auto"/>
        <w:ind w:left="142"/>
        <w:textAlignment w:val="auto"/>
        <w:rPr>
          <w:rFonts w:ascii="宋体" w:hAnsi="宋体" w:cs="仿宋_GB2312"/>
          <w:color w:val="auto"/>
          <w:kern w:val="2"/>
          <w:sz w:val="24"/>
          <w:u w:val="single"/>
        </w:rPr>
      </w:pPr>
      <w:r>
        <w:rPr>
          <w:rFonts w:hint="eastAsia" w:ascii="宋体" w:hAnsi="宋体" w:cs="宋体"/>
          <w:color w:val="auto"/>
          <w:kern w:val="2"/>
          <w:sz w:val="24"/>
        </w:rPr>
        <w:t>售价</w:t>
      </w:r>
      <w:r>
        <w:rPr>
          <w:rFonts w:hint="eastAsia" w:ascii="宋体" w:hAnsi="宋体" w:cs="仿宋_GB2312"/>
          <w:color w:val="auto"/>
          <w:kern w:val="2"/>
          <w:sz w:val="24"/>
        </w:rPr>
        <w:t>（元）：</w:t>
      </w:r>
      <w:r>
        <w:rPr>
          <w:rFonts w:hint="eastAsia" w:ascii="宋体" w:hAnsi="宋体" w:cs="宋体"/>
          <w:color w:val="auto"/>
          <w:kern w:val="2"/>
          <w:sz w:val="24"/>
        </w:rPr>
        <w:t>500</w:t>
      </w:r>
      <w:r>
        <w:rPr>
          <w:rFonts w:ascii="宋体" w:hAnsi="宋体" w:cs="宋体"/>
          <w:color w:val="auto"/>
          <w:kern w:val="2"/>
          <w:sz w:val="24"/>
        </w:rPr>
        <w:t>.00</w:t>
      </w:r>
    </w:p>
    <w:p w14:paraId="06B3B0D9">
      <w:pPr>
        <w:numPr>
          <w:ilvl w:val="0"/>
          <w:numId w:val="3"/>
        </w:numPr>
        <w:adjustRightInd/>
        <w:snapToGrid w:val="0"/>
        <w:spacing w:line="360" w:lineRule="auto"/>
        <w:textAlignment w:val="auto"/>
        <w:rPr>
          <w:rFonts w:ascii="宋体" w:hAnsi="宋体" w:cs="仿宋_GB2312"/>
          <w:b/>
          <w:bCs/>
          <w:color w:val="auto"/>
          <w:kern w:val="2"/>
          <w:sz w:val="24"/>
        </w:rPr>
      </w:pPr>
      <w:r>
        <w:rPr>
          <w:rFonts w:hint="eastAsia" w:ascii="宋体" w:hAnsi="宋体" w:cs="仿宋_GB2312"/>
          <w:b/>
          <w:bCs/>
          <w:color w:val="auto"/>
          <w:kern w:val="2"/>
          <w:sz w:val="24"/>
        </w:rPr>
        <w:t>提交投标文件截止时间、开标时间和地点</w:t>
      </w:r>
    </w:p>
    <w:p w14:paraId="30117879">
      <w:pPr>
        <w:adjustRightInd/>
        <w:snapToGrid w:val="0"/>
        <w:spacing w:line="360" w:lineRule="auto"/>
        <w:ind w:left="420"/>
        <w:textAlignment w:val="auto"/>
        <w:rPr>
          <w:rFonts w:ascii="宋体" w:hAnsi="宋体" w:cs="仿宋_GB2312"/>
          <w:color w:val="auto"/>
          <w:kern w:val="2"/>
          <w:sz w:val="24"/>
        </w:rPr>
      </w:pPr>
      <w:r>
        <w:rPr>
          <w:rFonts w:hint="eastAsia" w:ascii="宋体" w:hAnsi="宋体" w:cs="仿宋_GB2312"/>
          <w:color w:val="auto"/>
          <w:kern w:val="2"/>
          <w:sz w:val="24"/>
        </w:rPr>
        <w:t>提交投标文件截止时间：</w:t>
      </w:r>
      <w:r>
        <w:rPr>
          <w:rFonts w:ascii="宋体" w:hAnsi="宋体" w:cs="仿宋_GB2312"/>
          <w:color w:val="auto"/>
          <w:kern w:val="2"/>
          <w:sz w:val="24"/>
        </w:rPr>
        <w:t>202</w:t>
      </w:r>
      <w:r>
        <w:rPr>
          <w:rFonts w:hint="eastAsia" w:ascii="宋体" w:hAnsi="宋体" w:cs="仿宋_GB2312"/>
          <w:color w:val="auto"/>
          <w:kern w:val="2"/>
          <w:sz w:val="24"/>
          <w:lang w:val="en-US" w:eastAsia="zh-CN"/>
        </w:rPr>
        <w:t>6</w:t>
      </w:r>
      <w:r>
        <w:rPr>
          <w:rFonts w:hint="eastAsia" w:ascii="宋体" w:hAnsi="宋体" w:cs="仿宋_GB2312"/>
          <w:color w:val="auto"/>
          <w:kern w:val="2"/>
          <w:sz w:val="24"/>
        </w:rPr>
        <w:t>年</w:t>
      </w:r>
      <w:r>
        <w:rPr>
          <w:rFonts w:hint="eastAsia" w:ascii="宋体" w:hAnsi="宋体" w:cs="仿宋_GB2312"/>
          <w:color w:val="auto"/>
          <w:kern w:val="2"/>
          <w:sz w:val="24"/>
          <w:lang w:val="en-US" w:eastAsia="zh-CN"/>
        </w:rPr>
        <w:t>2</w:t>
      </w:r>
      <w:r>
        <w:rPr>
          <w:rFonts w:hint="eastAsia" w:ascii="宋体" w:hAnsi="宋体" w:cs="仿宋_GB2312"/>
          <w:color w:val="auto"/>
          <w:kern w:val="2"/>
          <w:sz w:val="24"/>
        </w:rPr>
        <w:t>月</w:t>
      </w:r>
      <w:r>
        <w:rPr>
          <w:rFonts w:hint="eastAsia" w:ascii="宋体" w:hAnsi="宋体" w:cs="仿宋_GB2312"/>
          <w:color w:val="auto"/>
          <w:kern w:val="2"/>
          <w:sz w:val="24"/>
          <w:lang w:val="en-US" w:eastAsia="zh-CN"/>
        </w:rPr>
        <w:t>5</w:t>
      </w:r>
      <w:r>
        <w:rPr>
          <w:rFonts w:hint="eastAsia" w:ascii="宋体" w:hAnsi="宋体" w:cs="仿宋_GB2312"/>
          <w:color w:val="auto"/>
          <w:kern w:val="2"/>
          <w:sz w:val="24"/>
        </w:rPr>
        <w:t>日</w:t>
      </w:r>
      <w:r>
        <w:rPr>
          <w:rFonts w:ascii="宋体" w:hAnsi="宋体" w:cs="仿宋_GB2312"/>
          <w:color w:val="auto"/>
          <w:kern w:val="2"/>
          <w:sz w:val="24"/>
        </w:rPr>
        <w:t>09</w:t>
      </w:r>
      <w:r>
        <w:rPr>
          <w:rFonts w:hint="eastAsia" w:ascii="宋体" w:hAnsi="宋体" w:cs="仿宋_GB2312"/>
          <w:color w:val="auto"/>
          <w:kern w:val="2"/>
          <w:sz w:val="24"/>
        </w:rPr>
        <w:t>点</w:t>
      </w:r>
      <w:r>
        <w:rPr>
          <w:rFonts w:ascii="宋体" w:hAnsi="宋体" w:cs="仿宋_GB2312"/>
          <w:color w:val="auto"/>
          <w:kern w:val="2"/>
          <w:sz w:val="24"/>
        </w:rPr>
        <w:t>30</w:t>
      </w:r>
      <w:r>
        <w:rPr>
          <w:rFonts w:hint="eastAsia" w:ascii="宋体" w:hAnsi="宋体" w:cs="仿宋_GB2312"/>
          <w:color w:val="auto"/>
          <w:kern w:val="2"/>
          <w:sz w:val="24"/>
        </w:rPr>
        <w:t xml:space="preserve">分（北京时间） </w:t>
      </w:r>
    </w:p>
    <w:p w14:paraId="760F0047">
      <w:pPr>
        <w:adjustRightInd/>
        <w:snapToGrid w:val="0"/>
        <w:spacing w:line="360" w:lineRule="auto"/>
        <w:ind w:left="420"/>
        <w:textAlignment w:val="auto"/>
        <w:rPr>
          <w:rFonts w:ascii="宋体" w:hAnsi="宋体" w:cs="仿宋_GB2312"/>
          <w:color w:val="auto"/>
          <w:kern w:val="2"/>
          <w:sz w:val="24"/>
        </w:rPr>
      </w:pPr>
      <w:r>
        <w:rPr>
          <w:rFonts w:hint="eastAsia" w:ascii="宋体" w:hAnsi="宋体" w:cs="仿宋_GB2312"/>
          <w:color w:val="auto"/>
          <w:kern w:val="2"/>
          <w:sz w:val="24"/>
        </w:rPr>
        <w:t>开标时间：</w:t>
      </w:r>
      <w:r>
        <w:rPr>
          <w:rFonts w:ascii="宋体" w:hAnsi="宋体" w:cs="仿宋_GB2312"/>
          <w:color w:val="auto"/>
          <w:kern w:val="2"/>
          <w:sz w:val="24"/>
        </w:rPr>
        <w:t>202</w:t>
      </w:r>
      <w:r>
        <w:rPr>
          <w:rFonts w:hint="eastAsia" w:ascii="宋体" w:hAnsi="宋体" w:cs="仿宋_GB2312"/>
          <w:color w:val="auto"/>
          <w:kern w:val="2"/>
          <w:sz w:val="24"/>
          <w:lang w:val="en-US" w:eastAsia="zh-CN"/>
        </w:rPr>
        <w:t>6</w:t>
      </w:r>
      <w:r>
        <w:rPr>
          <w:rFonts w:hint="eastAsia" w:ascii="宋体" w:hAnsi="宋体" w:cs="仿宋_GB2312"/>
          <w:color w:val="auto"/>
          <w:kern w:val="2"/>
          <w:sz w:val="24"/>
        </w:rPr>
        <w:t>年</w:t>
      </w:r>
      <w:r>
        <w:rPr>
          <w:rFonts w:hint="eastAsia" w:ascii="宋体" w:hAnsi="宋体" w:cs="仿宋_GB2312"/>
          <w:color w:val="auto"/>
          <w:kern w:val="2"/>
          <w:sz w:val="24"/>
          <w:lang w:val="en-US" w:eastAsia="zh-CN"/>
        </w:rPr>
        <w:t>2</w:t>
      </w:r>
      <w:r>
        <w:rPr>
          <w:rFonts w:hint="eastAsia" w:ascii="宋体" w:hAnsi="宋体" w:cs="仿宋_GB2312"/>
          <w:color w:val="auto"/>
          <w:kern w:val="2"/>
          <w:sz w:val="24"/>
        </w:rPr>
        <w:t>月</w:t>
      </w:r>
      <w:r>
        <w:rPr>
          <w:rFonts w:hint="eastAsia" w:ascii="宋体" w:hAnsi="宋体" w:cs="仿宋_GB2312"/>
          <w:color w:val="auto"/>
          <w:kern w:val="2"/>
          <w:sz w:val="24"/>
          <w:lang w:val="en-US" w:eastAsia="zh-CN"/>
        </w:rPr>
        <w:t>5</w:t>
      </w:r>
      <w:r>
        <w:rPr>
          <w:rFonts w:hint="eastAsia" w:ascii="宋体" w:hAnsi="宋体" w:cs="仿宋_GB2312"/>
          <w:color w:val="auto"/>
          <w:kern w:val="2"/>
          <w:sz w:val="24"/>
        </w:rPr>
        <w:t>日</w:t>
      </w:r>
      <w:r>
        <w:rPr>
          <w:rFonts w:ascii="宋体" w:hAnsi="宋体" w:cs="仿宋_GB2312"/>
          <w:color w:val="auto"/>
          <w:kern w:val="2"/>
          <w:sz w:val="24"/>
        </w:rPr>
        <w:t>09</w:t>
      </w:r>
      <w:r>
        <w:rPr>
          <w:rFonts w:hint="eastAsia" w:ascii="宋体" w:hAnsi="宋体" w:cs="仿宋_GB2312"/>
          <w:color w:val="auto"/>
          <w:kern w:val="2"/>
          <w:sz w:val="24"/>
        </w:rPr>
        <w:t>点</w:t>
      </w:r>
      <w:r>
        <w:rPr>
          <w:rFonts w:ascii="宋体" w:hAnsi="宋体" w:cs="仿宋_GB2312"/>
          <w:color w:val="auto"/>
          <w:kern w:val="2"/>
          <w:sz w:val="24"/>
        </w:rPr>
        <w:t>30</w:t>
      </w:r>
      <w:r>
        <w:rPr>
          <w:rFonts w:hint="eastAsia" w:ascii="宋体" w:hAnsi="宋体" w:cs="仿宋_GB2312"/>
          <w:color w:val="auto"/>
          <w:kern w:val="2"/>
          <w:sz w:val="24"/>
        </w:rPr>
        <w:t>分 （北京时间）</w:t>
      </w:r>
    </w:p>
    <w:p w14:paraId="28EDE9EA">
      <w:pPr>
        <w:adjustRightInd/>
        <w:snapToGrid w:val="0"/>
        <w:spacing w:line="360" w:lineRule="auto"/>
        <w:ind w:left="420"/>
        <w:textAlignment w:val="auto"/>
        <w:rPr>
          <w:rFonts w:ascii="宋体" w:hAnsi="宋体" w:cs="仿宋_GB2312"/>
          <w:color w:val="auto"/>
          <w:kern w:val="2"/>
          <w:sz w:val="24"/>
        </w:rPr>
      </w:pPr>
      <w:r>
        <w:rPr>
          <w:rFonts w:hint="eastAsia" w:ascii="宋体" w:hAnsi="宋体" w:cs="仿宋_GB2312"/>
          <w:color w:val="auto"/>
          <w:kern w:val="2"/>
          <w:sz w:val="24"/>
        </w:rPr>
        <w:t>地点：佛山市禅城区季华五路55号万科金融中心A座33楼3302室会议室</w:t>
      </w:r>
      <w:r>
        <w:rPr>
          <w:rFonts w:hint="eastAsia" w:ascii="宋体" w:hAnsi="宋体" w:cs="仿宋_GB2312"/>
          <w:i/>
          <w:iCs/>
          <w:color w:val="auto"/>
          <w:kern w:val="2"/>
          <w:sz w:val="24"/>
        </w:rPr>
        <w:t>。</w:t>
      </w:r>
    </w:p>
    <w:p w14:paraId="4CA40E2E">
      <w:pPr>
        <w:numPr>
          <w:ilvl w:val="0"/>
          <w:numId w:val="3"/>
        </w:numPr>
        <w:adjustRightInd/>
        <w:snapToGrid w:val="0"/>
        <w:spacing w:line="360" w:lineRule="auto"/>
        <w:textAlignment w:val="auto"/>
        <w:rPr>
          <w:rFonts w:ascii="宋体" w:hAnsi="宋体" w:cs="仿宋_GB2312"/>
          <w:b/>
          <w:bCs/>
          <w:color w:val="auto"/>
          <w:kern w:val="2"/>
          <w:sz w:val="24"/>
        </w:rPr>
      </w:pPr>
      <w:r>
        <w:rPr>
          <w:rFonts w:hint="eastAsia" w:ascii="宋体" w:hAnsi="宋体" w:cs="仿宋_GB2312"/>
          <w:b/>
          <w:bCs/>
          <w:color w:val="auto"/>
          <w:kern w:val="2"/>
          <w:sz w:val="24"/>
        </w:rPr>
        <w:t>公告期限</w:t>
      </w:r>
      <w:bookmarkStart w:id="163" w:name="_GoBack"/>
      <w:bookmarkEnd w:id="163"/>
    </w:p>
    <w:p w14:paraId="11FEB5E3">
      <w:pPr>
        <w:adjustRightInd/>
        <w:snapToGrid w:val="0"/>
        <w:spacing w:line="360" w:lineRule="auto"/>
        <w:ind w:firstLine="480" w:firstLineChars="200"/>
        <w:textAlignment w:val="auto"/>
        <w:rPr>
          <w:rFonts w:ascii="宋体" w:hAnsi="宋体" w:cs="仿宋_GB2312"/>
          <w:color w:val="auto"/>
          <w:kern w:val="2"/>
          <w:sz w:val="24"/>
        </w:rPr>
      </w:pPr>
      <w:r>
        <w:rPr>
          <w:rFonts w:hint="eastAsia" w:ascii="宋体" w:hAnsi="宋体" w:cs="仿宋_GB2312"/>
          <w:color w:val="auto"/>
          <w:kern w:val="2"/>
          <w:sz w:val="24"/>
        </w:rPr>
        <w:t>自本公告发布之日起5个工作日。</w:t>
      </w:r>
    </w:p>
    <w:p w14:paraId="61207D18">
      <w:pPr>
        <w:numPr>
          <w:ilvl w:val="0"/>
          <w:numId w:val="3"/>
        </w:numPr>
        <w:adjustRightInd/>
        <w:snapToGrid w:val="0"/>
        <w:spacing w:line="360" w:lineRule="auto"/>
        <w:textAlignment w:val="auto"/>
        <w:rPr>
          <w:rFonts w:ascii="宋体" w:hAnsi="宋体" w:cs="仿宋_GB2312"/>
          <w:b/>
          <w:bCs/>
          <w:color w:val="auto"/>
          <w:kern w:val="2"/>
          <w:sz w:val="24"/>
        </w:rPr>
      </w:pPr>
      <w:r>
        <w:rPr>
          <w:rFonts w:hint="eastAsia" w:ascii="宋体" w:hAnsi="宋体" w:cs="仿宋_GB2312"/>
          <w:b/>
          <w:bCs/>
          <w:color w:val="auto"/>
          <w:kern w:val="2"/>
          <w:sz w:val="24"/>
        </w:rPr>
        <w:t>其他补充事宜</w:t>
      </w:r>
      <w:bookmarkStart w:id="14" w:name="_Hlk185435792"/>
    </w:p>
    <w:p w14:paraId="4767EDBB">
      <w:pPr>
        <w:pStyle w:val="35"/>
        <w:numPr>
          <w:ilvl w:val="0"/>
          <w:numId w:val="0"/>
        </w:numPr>
        <w:shd w:val="clear" w:color="auto" w:fill="FFFFFF"/>
        <w:snapToGrid w:val="0"/>
        <w:spacing w:before="0" w:beforeAutospacing="0" w:after="0" w:afterAutospacing="0" w:line="360" w:lineRule="auto"/>
        <w:rPr>
          <w:rFonts w:cs="宋体"/>
          <w:color w:val="auto"/>
          <w:shd w:val="clear" w:color="auto" w:fill="FFFFFF"/>
        </w:rPr>
      </w:pPr>
      <w:bookmarkStart w:id="15" w:name="_Hlk185435115"/>
      <w:r>
        <w:rPr>
          <w:rFonts w:hint="eastAsia" w:ascii="宋体" w:hAnsi="宋体" w:eastAsia="宋体" w:cs="宋体"/>
          <w:color w:val="auto"/>
          <w:sz w:val="24"/>
          <w:szCs w:val="24"/>
          <w:shd w:val="clear" w:fill="FFFFFF"/>
          <w:lang w:val="en-US" w:eastAsia="zh-CN" w:bidi="ar-SA"/>
        </w:rPr>
        <w:t>(一)</w:t>
      </w:r>
      <w:r>
        <w:rPr>
          <w:rFonts w:hint="eastAsia" w:cs="宋体"/>
          <w:color w:val="auto"/>
          <w:shd w:val="clear" w:color="auto" w:fill="FFFFFF"/>
        </w:rPr>
        <w:t xml:space="preserve">参照落实的政府采购政策： </w:t>
      </w:r>
    </w:p>
    <w:p w14:paraId="3D6C5DD3">
      <w:pPr>
        <w:pStyle w:val="35"/>
        <w:numPr>
          <w:ilvl w:val="0"/>
          <w:numId w:val="0"/>
        </w:numPr>
        <w:shd w:val="clear" w:color="auto" w:fill="FFFFFF"/>
        <w:snapToGrid w:val="0"/>
        <w:spacing w:before="0" w:beforeAutospacing="0" w:after="0" w:afterAutospacing="0" w:line="360" w:lineRule="auto"/>
        <w:ind w:left="425" w:leftChars="0" w:hanging="425" w:firstLineChars="0"/>
        <w:rPr>
          <w:rFonts w:cs="宋体"/>
          <w:color w:val="auto"/>
          <w:shd w:val="clear" w:color="auto" w:fill="FFFFFF"/>
        </w:rPr>
      </w:pPr>
      <w:r>
        <w:rPr>
          <w:rFonts w:hint="default" w:ascii="宋体" w:hAnsi="宋体" w:eastAsia="宋体" w:cs="宋体"/>
          <w:color w:val="auto"/>
          <w:sz w:val="24"/>
          <w:szCs w:val="24"/>
          <w:shd w:val="clear" w:fill="FFFFFF"/>
          <w:lang w:val="en-US" w:eastAsia="zh-CN" w:bidi="ar-SA"/>
        </w:rPr>
        <w:t>(1)</w:t>
      </w:r>
      <w:r>
        <w:rPr>
          <w:rFonts w:hint="eastAsia" w:cs="宋体"/>
          <w:color w:val="auto"/>
          <w:shd w:val="clear" w:color="auto" w:fill="FFFFFF"/>
        </w:rPr>
        <w:t>《政府采购促进中小企业发展管理办法》（财库〔2020〕46号）；</w:t>
      </w:r>
    </w:p>
    <w:p w14:paraId="54B7DC61">
      <w:pPr>
        <w:pStyle w:val="35"/>
        <w:numPr>
          <w:ilvl w:val="0"/>
          <w:numId w:val="0"/>
        </w:numPr>
        <w:shd w:val="clear" w:color="auto" w:fill="FFFFFF"/>
        <w:snapToGrid w:val="0"/>
        <w:spacing w:before="0" w:beforeAutospacing="0" w:after="0" w:afterAutospacing="0" w:line="360" w:lineRule="auto"/>
        <w:ind w:left="425" w:leftChars="0" w:hanging="425" w:firstLineChars="0"/>
        <w:rPr>
          <w:rFonts w:cs="宋体"/>
          <w:color w:val="auto"/>
          <w:shd w:val="clear" w:color="auto" w:fill="FFFFFF"/>
        </w:rPr>
      </w:pPr>
      <w:r>
        <w:rPr>
          <w:rFonts w:hint="default" w:ascii="宋体" w:hAnsi="宋体" w:eastAsia="宋体" w:cs="宋体"/>
          <w:color w:val="auto"/>
          <w:sz w:val="24"/>
          <w:szCs w:val="24"/>
          <w:shd w:val="clear" w:fill="FFFFFF"/>
          <w:lang w:val="en-US" w:eastAsia="zh-CN" w:bidi="ar-SA"/>
        </w:rPr>
        <w:t>(2)</w:t>
      </w:r>
      <w:r>
        <w:rPr>
          <w:rFonts w:hint="eastAsia" w:cs="宋体"/>
          <w:color w:val="auto"/>
          <w:shd w:val="clear" w:color="auto" w:fill="FFFFFF"/>
        </w:rPr>
        <w:t>《关于政府采购支持监狱企业发展有关问题的通知》(财库〔2014〕68号)；</w:t>
      </w:r>
    </w:p>
    <w:p w14:paraId="14D597B1">
      <w:pPr>
        <w:pStyle w:val="35"/>
        <w:numPr>
          <w:ilvl w:val="0"/>
          <w:numId w:val="0"/>
        </w:numPr>
        <w:shd w:val="clear" w:color="auto" w:fill="FFFFFF"/>
        <w:snapToGrid w:val="0"/>
        <w:spacing w:before="0" w:beforeAutospacing="0" w:after="0" w:afterAutospacing="0" w:line="360" w:lineRule="auto"/>
        <w:ind w:left="425" w:leftChars="0" w:hanging="425" w:firstLineChars="0"/>
        <w:rPr>
          <w:rFonts w:cs="宋体"/>
          <w:color w:val="auto"/>
          <w:shd w:val="clear" w:color="auto" w:fill="FFFFFF"/>
        </w:rPr>
      </w:pPr>
      <w:r>
        <w:rPr>
          <w:rFonts w:hint="default" w:ascii="宋体" w:hAnsi="宋体" w:eastAsia="宋体" w:cs="宋体"/>
          <w:color w:val="auto"/>
          <w:sz w:val="24"/>
          <w:szCs w:val="24"/>
          <w:shd w:val="clear" w:fill="FFFFFF"/>
          <w:lang w:val="en-US" w:eastAsia="zh-CN" w:bidi="ar-SA"/>
        </w:rPr>
        <w:t>(3)</w:t>
      </w:r>
      <w:r>
        <w:rPr>
          <w:rFonts w:hint="eastAsia" w:cs="宋体"/>
          <w:color w:val="auto"/>
          <w:shd w:val="clear" w:color="auto" w:fill="FFFFFF"/>
        </w:rPr>
        <w:t>《关于促进残疾人就业政府采购政策的通知》（财库〔2017〕141号)；</w:t>
      </w:r>
    </w:p>
    <w:p w14:paraId="636B2FD2">
      <w:pPr>
        <w:pStyle w:val="35"/>
        <w:numPr>
          <w:ilvl w:val="0"/>
          <w:numId w:val="0"/>
        </w:numPr>
        <w:shd w:val="clear" w:color="auto" w:fill="FFFFFF"/>
        <w:snapToGrid w:val="0"/>
        <w:spacing w:before="0" w:beforeAutospacing="0" w:after="0" w:afterAutospacing="0" w:line="360" w:lineRule="auto"/>
        <w:ind w:left="425" w:leftChars="0" w:hanging="425" w:firstLineChars="0"/>
        <w:rPr>
          <w:rFonts w:cs="宋体"/>
          <w:color w:val="auto"/>
          <w:shd w:val="clear" w:color="auto" w:fill="FFFFFF"/>
        </w:rPr>
      </w:pPr>
      <w:r>
        <w:rPr>
          <w:rFonts w:hint="default" w:ascii="宋体" w:hAnsi="宋体" w:eastAsia="宋体" w:cs="宋体"/>
          <w:color w:val="auto"/>
          <w:sz w:val="24"/>
          <w:szCs w:val="24"/>
          <w:shd w:val="clear" w:fill="FFFFFF"/>
          <w:lang w:val="en-US" w:eastAsia="zh-CN" w:bidi="ar-SA"/>
        </w:rPr>
        <w:t>(4)</w:t>
      </w:r>
      <w:r>
        <w:rPr>
          <w:rFonts w:hint="eastAsia" w:cs="宋体"/>
          <w:color w:val="auto"/>
          <w:shd w:val="clear" w:color="auto" w:fill="FFFFFF"/>
        </w:rPr>
        <w:t>《财政部 发展改革委 生态环境部 市场监管总局关于调整优化节能产品、环境标志产品政府采购执行机制的通知》（财库〔2019〕9号）；</w:t>
      </w:r>
    </w:p>
    <w:p w14:paraId="2FDA173D">
      <w:pPr>
        <w:pStyle w:val="35"/>
        <w:numPr>
          <w:ilvl w:val="0"/>
          <w:numId w:val="0"/>
        </w:numPr>
        <w:shd w:val="clear" w:color="auto" w:fill="FFFFFF"/>
        <w:snapToGrid w:val="0"/>
        <w:spacing w:before="0" w:beforeAutospacing="0" w:after="0" w:afterAutospacing="0" w:line="360" w:lineRule="auto"/>
        <w:ind w:left="425" w:leftChars="0" w:hanging="425" w:firstLineChars="0"/>
        <w:rPr>
          <w:rFonts w:cs="宋体"/>
          <w:color w:val="auto"/>
          <w:shd w:val="clear" w:color="auto" w:fill="FFFFFF"/>
        </w:rPr>
      </w:pPr>
      <w:r>
        <w:rPr>
          <w:rFonts w:hint="default" w:ascii="宋体" w:hAnsi="宋体" w:eastAsia="宋体" w:cs="宋体"/>
          <w:color w:val="auto"/>
          <w:sz w:val="24"/>
          <w:szCs w:val="24"/>
          <w:shd w:val="clear" w:fill="FFFFFF"/>
          <w:lang w:val="en-US" w:eastAsia="zh-CN" w:bidi="ar-SA"/>
        </w:rPr>
        <w:t>(5)</w:t>
      </w:r>
      <w:r>
        <w:rPr>
          <w:rFonts w:hint="eastAsia" w:cs="宋体"/>
          <w:color w:val="auto"/>
          <w:shd w:val="clear" w:color="auto" w:fill="FFFFFF"/>
        </w:rPr>
        <w:t>《商品包装政府采购需求标准（试行）》（财办库〔2020〕123号）；</w:t>
      </w:r>
    </w:p>
    <w:p w14:paraId="5DCF8B0E">
      <w:pPr>
        <w:pStyle w:val="35"/>
        <w:numPr>
          <w:ilvl w:val="0"/>
          <w:numId w:val="0"/>
        </w:numPr>
        <w:shd w:val="clear" w:color="auto" w:fill="FFFFFF"/>
        <w:snapToGrid w:val="0"/>
        <w:spacing w:before="0" w:beforeAutospacing="0" w:after="0" w:afterAutospacing="0" w:line="360" w:lineRule="auto"/>
        <w:ind w:left="425" w:leftChars="0" w:hanging="425" w:firstLineChars="0"/>
        <w:rPr>
          <w:rFonts w:cs="宋体"/>
          <w:color w:val="auto"/>
        </w:rPr>
      </w:pPr>
      <w:r>
        <w:rPr>
          <w:rFonts w:hint="default" w:ascii="宋体" w:hAnsi="宋体" w:eastAsia="宋体" w:cs="宋体"/>
          <w:color w:val="auto"/>
          <w:sz w:val="24"/>
          <w:szCs w:val="24"/>
          <w:lang w:val="en-US" w:eastAsia="zh-CN" w:bidi="ar-SA"/>
        </w:rPr>
        <w:t>(6)</w:t>
      </w:r>
      <w:r>
        <w:rPr>
          <w:rFonts w:hint="eastAsia" w:cs="宋体"/>
          <w:color w:val="auto"/>
          <w:shd w:val="clear" w:color="auto" w:fill="FFFFFF"/>
        </w:rPr>
        <w:t>《快递包装政府采购需求标准（试行）》（财办库〔2020〕123号）等。</w:t>
      </w:r>
    </w:p>
    <w:p w14:paraId="35529C28">
      <w:pPr>
        <w:pStyle w:val="35"/>
        <w:shd w:val="clear" w:color="auto" w:fill="FFFFFF"/>
        <w:snapToGrid w:val="0"/>
        <w:spacing w:before="0" w:beforeAutospacing="0" w:after="0" w:afterAutospacing="0" w:line="360" w:lineRule="auto"/>
        <w:rPr>
          <w:rFonts w:cs="宋体"/>
          <w:color w:val="auto"/>
        </w:rPr>
      </w:pPr>
      <w:r>
        <w:rPr>
          <w:rFonts w:hint="eastAsia" w:cs="宋体"/>
          <w:color w:val="auto"/>
          <w:shd w:val="clear" w:color="auto" w:fill="FFFFFF"/>
        </w:rPr>
        <w:t>(二)获取文件方式：</w:t>
      </w:r>
    </w:p>
    <w:p w14:paraId="2F88E4B9">
      <w:pPr>
        <w:pStyle w:val="35"/>
        <w:shd w:val="clear" w:color="auto" w:fill="FFFFFF"/>
        <w:snapToGrid w:val="0"/>
        <w:spacing w:before="0" w:beforeAutospacing="0" w:after="0" w:afterAutospacing="0" w:line="360" w:lineRule="auto"/>
        <w:rPr>
          <w:rFonts w:cs="宋体"/>
          <w:color w:val="auto"/>
        </w:rPr>
      </w:pPr>
      <w:r>
        <w:rPr>
          <w:rFonts w:hint="eastAsia" w:cs="宋体"/>
          <w:color w:val="auto"/>
          <w:shd w:val="clear" w:color="auto" w:fill="FFFFFF"/>
        </w:rPr>
        <w:t>（1）</w:t>
      </w:r>
      <w:r>
        <w:rPr>
          <w:rStyle w:val="41"/>
          <w:rFonts w:hint="eastAsia" w:cs="宋体"/>
          <w:color w:val="auto"/>
          <w:shd w:val="clear" w:color="auto" w:fill="FFFFFF"/>
        </w:rPr>
        <w:t>网上获取文件</w:t>
      </w:r>
      <w:r>
        <w:rPr>
          <w:rFonts w:hint="eastAsia" w:cs="宋体"/>
          <w:color w:val="auto"/>
          <w:shd w:val="clear" w:color="auto" w:fill="FFFFFF"/>
        </w:rPr>
        <w:t>：供应商可通过代理机构官网“http://www.chinapsp.cn/”点击“登录”后搜索本项目，点击“详情”进入公告页面后再点击右上角的“获取文件”，进行基本信息填写后打印《采购文件领购登记表》加盖公章后上传至系统，进行线上缴纳标书款，并获取文件。（具体操作指引也可见代理机构官网“http://www.chinapsp.cn/”右边点击“常见问题”）</w:t>
      </w:r>
    </w:p>
    <w:p w14:paraId="4C0C845E">
      <w:pPr>
        <w:pStyle w:val="35"/>
        <w:shd w:val="clear" w:color="auto" w:fill="FFFFFF"/>
        <w:snapToGrid w:val="0"/>
        <w:spacing w:before="0" w:beforeAutospacing="0" w:after="0" w:afterAutospacing="0" w:line="360" w:lineRule="auto"/>
        <w:rPr>
          <w:rFonts w:cs="宋体"/>
          <w:color w:val="auto"/>
        </w:rPr>
      </w:pPr>
      <w:r>
        <w:rPr>
          <w:rFonts w:hint="eastAsia" w:cs="宋体"/>
          <w:color w:val="auto"/>
          <w:shd w:val="clear" w:color="auto" w:fill="FFFFFF"/>
        </w:rPr>
        <w:t>（2）</w:t>
      </w:r>
      <w:r>
        <w:rPr>
          <w:rStyle w:val="41"/>
          <w:rFonts w:hint="eastAsia" w:cs="宋体"/>
          <w:color w:val="auto"/>
          <w:shd w:val="clear" w:color="auto" w:fill="FFFFFF"/>
        </w:rPr>
        <w:t>现场获取文件</w:t>
      </w:r>
      <w:r>
        <w:rPr>
          <w:rFonts w:hint="eastAsia" w:cs="宋体"/>
          <w:color w:val="auto"/>
          <w:shd w:val="clear" w:color="auto" w:fill="FFFFFF"/>
        </w:rPr>
        <w:t>：供应商可通过代理机构官网“http://www.chinapsp.cn/”点击“登录”后搜索本项目，点击“详情”进入公告页面后再点击右上角的“获取文件”，进行基本信息填写后打印《采购文件领购登记表》加盖公章后，至</w:t>
      </w:r>
      <w:r>
        <w:rPr>
          <w:rFonts w:hint="eastAsia" w:cs="宋体"/>
          <w:color w:val="auto"/>
          <w:u w:val="single"/>
          <w:shd w:val="clear" w:color="auto" w:fill="FFFFFF"/>
        </w:rPr>
        <w:t>佛山市禅城区季华五路55号万科金融中心A座33楼3302室</w:t>
      </w:r>
      <w:r>
        <w:rPr>
          <w:rFonts w:hint="eastAsia" w:cs="宋体"/>
          <w:color w:val="auto"/>
          <w:shd w:val="clear" w:color="auto" w:fill="FFFFFF"/>
        </w:rPr>
        <w:t>进行缴纳标书款，并获取文件。</w:t>
      </w:r>
    </w:p>
    <w:p w14:paraId="4857E711">
      <w:pPr>
        <w:pStyle w:val="35"/>
        <w:shd w:val="clear" w:color="auto" w:fill="FFFFFF"/>
        <w:snapToGrid w:val="0"/>
        <w:spacing w:before="0" w:beforeAutospacing="0" w:after="0" w:afterAutospacing="0" w:line="360" w:lineRule="auto"/>
        <w:rPr>
          <w:rFonts w:cs="宋体"/>
          <w:color w:val="auto"/>
        </w:rPr>
      </w:pPr>
      <w:r>
        <w:rPr>
          <w:rFonts w:hint="eastAsia" w:cs="宋体"/>
          <w:color w:val="auto"/>
          <w:shd w:val="clear" w:color="auto" w:fill="FFFFFF"/>
        </w:rPr>
        <w:t>（3）标书款汇款账号信息</w:t>
      </w:r>
    </w:p>
    <w:p w14:paraId="5D7AEDAF">
      <w:pPr>
        <w:pStyle w:val="35"/>
        <w:shd w:val="clear" w:color="auto" w:fill="FFFFFF"/>
        <w:snapToGrid w:val="0"/>
        <w:spacing w:before="0" w:beforeAutospacing="0" w:after="0" w:afterAutospacing="0" w:line="360" w:lineRule="auto"/>
        <w:ind w:left="566" w:leftChars="283"/>
        <w:rPr>
          <w:rFonts w:cs="宋体"/>
          <w:color w:val="auto"/>
        </w:rPr>
      </w:pPr>
      <w:r>
        <w:rPr>
          <w:rFonts w:hint="eastAsia" w:cs="宋体"/>
          <w:color w:val="auto"/>
          <w:shd w:val="clear" w:color="auto" w:fill="FFFFFF"/>
        </w:rPr>
        <w:t>汇款账号：佛山采联采购招标有限公司</w:t>
      </w:r>
    </w:p>
    <w:p w14:paraId="62D01C64">
      <w:pPr>
        <w:pStyle w:val="35"/>
        <w:shd w:val="clear" w:color="auto" w:fill="FFFFFF"/>
        <w:snapToGrid w:val="0"/>
        <w:spacing w:before="0" w:beforeAutospacing="0" w:after="0" w:afterAutospacing="0" w:line="360" w:lineRule="auto"/>
        <w:ind w:left="566" w:leftChars="283"/>
        <w:rPr>
          <w:rFonts w:cs="宋体"/>
          <w:color w:val="auto"/>
        </w:rPr>
      </w:pPr>
      <w:r>
        <w:rPr>
          <w:rFonts w:hint="eastAsia" w:cs="宋体"/>
          <w:color w:val="auto"/>
          <w:shd w:val="clear" w:color="auto" w:fill="FFFFFF"/>
        </w:rPr>
        <w:t>开户行：广发银行股份有限公司广州白云机场支行</w:t>
      </w:r>
    </w:p>
    <w:p w14:paraId="04F6B710">
      <w:pPr>
        <w:pStyle w:val="35"/>
        <w:shd w:val="clear" w:color="auto" w:fill="FFFFFF"/>
        <w:snapToGrid w:val="0"/>
        <w:spacing w:before="0" w:beforeAutospacing="0" w:after="0" w:afterAutospacing="0" w:line="360" w:lineRule="auto"/>
        <w:ind w:left="566" w:leftChars="283"/>
        <w:rPr>
          <w:rFonts w:cs="宋体"/>
          <w:color w:val="auto"/>
        </w:rPr>
      </w:pPr>
      <w:r>
        <w:rPr>
          <w:rFonts w:hint="eastAsia" w:cs="宋体"/>
          <w:color w:val="auto"/>
          <w:shd w:val="clear" w:color="auto" w:fill="FFFFFF"/>
        </w:rPr>
        <w:t>账号： 9550 8802 1256 0000 201</w:t>
      </w:r>
    </w:p>
    <w:p w14:paraId="146EF906">
      <w:pPr>
        <w:pStyle w:val="35"/>
        <w:shd w:val="clear" w:color="auto" w:fill="FFFFFF"/>
        <w:snapToGrid w:val="0"/>
        <w:spacing w:before="0" w:beforeAutospacing="0" w:after="0" w:afterAutospacing="0" w:line="360" w:lineRule="auto"/>
        <w:rPr>
          <w:rFonts w:cs="宋体"/>
          <w:color w:val="auto"/>
        </w:rPr>
      </w:pPr>
      <w:r>
        <w:rPr>
          <w:rFonts w:hint="eastAsia" w:cs="宋体"/>
          <w:color w:val="auto"/>
          <w:shd w:val="clear" w:color="auto" w:fill="FFFFFF"/>
        </w:rPr>
        <w:t>(三)如需邮寄（到付），招标代理机构对邮寄过程中的遗失概不负责。</w:t>
      </w:r>
    </w:p>
    <w:p w14:paraId="13E03B53">
      <w:pPr>
        <w:pStyle w:val="35"/>
        <w:shd w:val="clear" w:color="auto" w:fill="FFFFFF"/>
        <w:snapToGrid w:val="0"/>
        <w:spacing w:before="0" w:beforeAutospacing="0" w:after="0" w:afterAutospacing="0" w:line="360" w:lineRule="auto"/>
        <w:rPr>
          <w:rFonts w:cs="宋体"/>
          <w:color w:val="auto"/>
        </w:rPr>
      </w:pPr>
      <w:r>
        <w:rPr>
          <w:rStyle w:val="41"/>
          <w:rFonts w:hint="eastAsia" w:cs="宋体"/>
          <w:color w:val="auto"/>
          <w:shd w:val="clear" w:color="auto" w:fill="FFFFFF"/>
        </w:rPr>
        <w:t>获取招标文件过程问题咨询联系人：</w:t>
      </w:r>
      <w:r>
        <w:rPr>
          <w:rStyle w:val="41"/>
          <w:rFonts w:hint="eastAsia" w:cs="宋体"/>
          <w:color w:val="auto"/>
          <w:u w:val="single"/>
          <w:shd w:val="clear" w:color="auto" w:fill="FFFFFF"/>
        </w:rPr>
        <w:t>蒙小姐，联系电话：0757-83205203-300</w:t>
      </w:r>
      <w:r>
        <w:rPr>
          <w:rStyle w:val="41"/>
          <w:rFonts w:hint="eastAsia" w:cs="宋体"/>
          <w:color w:val="auto"/>
          <w:shd w:val="clear" w:color="auto" w:fill="FFFFFF"/>
        </w:rPr>
        <w:t> ，邮箱 clfs_bm@163.com。</w:t>
      </w:r>
      <w:bookmarkEnd w:id="15"/>
    </w:p>
    <w:bookmarkEnd w:id="14"/>
    <w:p w14:paraId="685A8B93">
      <w:pPr>
        <w:numPr>
          <w:ilvl w:val="0"/>
          <w:numId w:val="3"/>
        </w:numPr>
        <w:adjustRightInd/>
        <w:snapToGrid w:val="0"/>
        <w:spacing w:line="360" w:lineRule="auto"/>
        <w:textAlignment w:val="auto"/>
        <w:rPr>
          <w:rFonts w:ascii="宋体" w:hAnsi="宋体" w:cs="仿宋_GB2312"/>
          <w:b/>
          <w:bCs/>
          <w:color w:val="auto"/>
          <w:kern w:val="2"/>
          <w:sz w:val="24"/>
        </w:rPr>
      </w:pPr>
      <w:r>
        <w:rPr>
          <w:rFonts w:hint="eastAsia" w:ascii="宋体" w:hAnsi="宋体" w:cs="仿宋_GB2312"/>
          <w:b/>
          <w:bCs/>
          <w:color w:val="auto"/>
          <w:kern w:val="2"/>
          <w:sz w:val="24"/>
        </w:rPr>
        <w:t>对本次招标提出询问，请按以下方式联系。</w:t>
      </w:r>
    </w:p>
    <w:p w14:paraId="68BC9700">
      <w:pPr>
        <w:numPr>
          <w:ilvl w:val="0"/>
          <w:numId w:val="4"/>
        </w:numPr>
        <w:adjustRightInd/>
        <w:snapToGrid w:val="0"/>
        <w:spacing w:line="360" w:lineRule="auto"/>
        <w:ind w:hanging="278"/>
        <w:textAlignment w:val="auto"/>
        <w:rPr>
          <w:rFonts w:ascii="宋体" w:hAnsi="宋体" w:cs="仿宋_GB2312"/>
          <w:color w:val="auto"/>
          <w:kern w:val="2"/>
          <w:sz w:val="24"/>
        </w:rPr>
      </w:pPr>
      <w:r>
        <w:rPr>
          <w:rFonts w:hint="eastAsia" w:ascii="宋体" w:hAnsi="宋体" w:cs="仿宋_GB2312"/>
          <w:color w:val="auto"/>
          <w:kern w:val="2"/>
          <w:sz w:val="24"/>
        </w:rPr>
        <w:t>采购人信息</w:t>
      </w:r>
    </w:p>
    <w:p w14:paraId="6E57298E">
      <w:pPr>
        <w:adjustRightInd/>
        <w:snapToGrid w:val="0"/>
        <w:spacing w:line="360" w:lineRule="auto"/>
        <w:ind w:left="404" w:leftChars="202"/>
        <w:textAlignment w:val="auto"/>
        <w:rPr>
          <w:rFonts w:hint="eastAsia" w:ascii="宋体" w:hAnsi="宋体" w:eastAsia="宋体" w:cs="仿宋_GB2312"/>
          <w:color w:val="auto"/>
          <w:kern w:val="2"/>
          <w:sz w:val="24"/>
          <w:lang w:eastAsia="zh-CN"/>
        </w:rPr>
      </w:pPr>
      <w:r>
        <w:rPr>
          <w:rFonts w:hint="eastAsia" w:ascii="宋体" w:hAnsi="宋体" w:cs="仿宋_GB2312"/>
          <w:color w:val="auto"/>
          <w:kern w:val="2"/>
          <w:sz w:val="24"/>
        </w:rPr>
        <w:t>名称：</w:t>
      </w:r>
      <w:r>
        <w:rPr>
          <w:rFonts w:hint="eastAsia" w:ascii="宋体" w:hAnsi="宋体"/>
          <w:color w:val="auto"/>
          <w:kern w:val="2"/>
          <w:sz w:val="24"/>
          <w:lang w:eastAsia="zh-CN"/>
        </w:rPr>
        <w:t>中华人民共和国佛山出入境边防检查站</w:t>
      </w:r>
    </w:p>
    <w:p w14:paraId="227352FE">
      <w:pPr>
        <w:adjustRightInd/>
        <w:snapToGrid w:val="0"/>
        <w:spacing w:line="360" w:lineRule="auto"/>
        <w:ind w:left="404" w:leftChars="202"/>
        <w:textAlignment w:val="auto"/>
        <w:rPr>
          <w:rFonts w:ascii="宋体" w:hAnsi="宋体" w:cs="仿宋_GB2312"/>
          <w:color w:val="auto"/>
          <w:kern w:val="2"/>
          <w:sz w:val="24"/>
        </w:rPr>
      </w:pPr>
      <w:r>
        <w:rPr>
          <w:rFonts w:hint="eastAsia" w:ascii="宋体" w:hAnsi="宋体" w:cs="仿宋_GB2312"/>
          <w:color w:val="auto"/>
          <w:kern w:val="2"/>
          <w:sz w:val="24"/>
        </w:rPr>
        <w:t>地址：</w:t>
      </w:r>
      <w:bookmarkStart w:id="16" w:name="_Hlk40889103"/>
      <w:r>
        <w:rPr>
          <w:rFonts w:hint="eastAsia" w:ascii="宋体" w:hAnsi="宋体" w:cs="仿宋_GB2312"/>
          <w:color w:val="auto"/>
          <w:kern w:val="2"/>
          <w:sz w:val="24"/>
        </w:rPr>
        <w:t>佛山市南海区桂城南新一路5号</w:t>
      </w:r>
      <w:bookmarkEnd w:id="16"/>
    </w:p>
    <w:p w14:paraId="086E31CC">
      <w:pPr>
        <w:adjustRightInd/>
        <w:snapToGrid w:val="0"/>
        <w:spacing w:line="360" w:lineRule="auto"/>
        <w:ind w:left="404" w:leftChars="202"/>
        <w:textAlignment w:val="auto"/>
        <w:rPr>
          <w:rFonts w:ascii="宋体" w:hAnsi="宋体" w:cs="仿宋_GB2312"/>
          <w:color w:val="auto"/>
          <w:kern w:val="2"/>
          <w:sz w:val="24"/>
        </w:rPr>
      </w:pPr>
      <w:r>
        <w:rPr>
          <w:rFonts w:hint="eastAsia" w:ascii="宋体" w:hAnsi="宋体" w:cs="仿宋_GB2312"/>
          <w:color w:val="auto"/>
          <w:kern w:val="2"/>
          <w:sz w:val="24"/>
        </w:rPr>
        <w:t>联系方式</w:t>
      </w:r>
      <w:r>
        <w:rPr>
          <w:rFonts w:hint="eastAsia" w:ascii="宋体" w:hAnsi="宋体" w:cs="仿宋_GB2312"/>
          <w:color w:val="auto"/>
          <w:sz w:val="24"/>
        </w:rPr>
        <w:t>：联系人：林警官，联系电话：0757-86163876</w:t>
      </w:r>
    </w:p>
    <w:p w14:paraId="6BC8FE13">
      <w:pPr>
        <w:numPr>
          <w:ilvl w:val="0"/>
          <w:numId w:val="4"/>
        </w:numPr>
        <w:adjustRightInd/>
        <w:snapToGrid w:val="0"/>
        <w:spacing w:line="360" w:lineRule="auto"/>
        <w:ind w:hanging="278"/>
        <w:textAlignment w:val="auto"/>
        <w:rPr>
          <w:rFonts w:ascii="宋体" w:hAnsi="宋体" w:cs="仿宋_GB2312"/>
          <w:color w:val="auto"/>
          <w:kern w:val="2"/>
          <w:sz w:val="24"/>
        </w:rPr>
      </w:pPr>
      <w:r>
        <w:rPr>
          <w:rFonts w:hint="eastAsia" w:ascii="宋体" w:hAnsi="宋体" w:cs="仿宋_GB2312"/>
          <w:color w:val="auto"/>
          <w:kern w:val="2"/>
          <w:sz w:val="24"/>
        </w:rPr>
        <w:t>采购代理机构信息</w:t>
      </w:r>
    </w:p>
    <w:p w14:paraId="1D88C180">
      <w:pPr>
        <w:adjustRightInd/>
        <w:snapToGrid w:val="0"/>
        <w:spacing w:line="360" w:lineRule="auto"/>
        <w:ind w:left="404" w:leftChars="202"/>
        <w:textAlignment w:val="auto"/>
        <w:rPr>
          <w:rFonts w:ascii="宋体" w:hAnsi="宋体" w:cs="仿宋_GB2312"/>
          <w:color w:val="auto"/>
          <w:kern w:val="2"/>
          <w:sz w:val="24"/>
        </w:rPr>
      </w:pPr>
      <w:r>
        <w:rPr>
          <w:rFonts w:hint="eastAsia" w:ascii="宋体" w:hAnsi="宋体" w:cs="仿宋_GB2312"/>
          <w:color w:val="auto"/>
          <w:kern w:val="2"/>
          <w:sz w:val="24"/>
        </w:rPr>
        <w:t>名称：</w:t>
      </w:r>
      <w:r>
        <w:rPr>
          <w:rFonts w:hint="eastAsia" w:ascii="宋体" w:hAnsi="宋体"/>
          <w:color w:val="auto"/>
          <w:kern w:val="2"/>
          <w:sz w:val="24"/>
        </w:rPr>
        <w:t>佛山采联采购招标有限公司</w:t>
      </w:r>
      <w:r>
        <w:rPr>
          <w:rFonts w:hint="eastAsia" w:ascii="宋体" w:hAnsi="宋体" w:cs="仿宋_GB2312"/>
          <w:color w:val="auto"/>
          <w:kern w:val="2"/>
          <w:sz w:val="24"/>
        </w:rPr>
        <w:t xml:space="preserve"> </w:t>
      </w:r>
    </w:p>
    <w:p w14:paraId="7B666610">
      <w:pPr>
        <w:adjustRightInd/>
        <w:snapToGrid w:val="0"/>
        <w:spacing w:line="360" w:lineRule="auto"/>
        <w:ind w:left="404" w:leftChars="202"/>
        <w:textAlignment w:val="auto"/>
        <w:rPr>
          <w:rFonts w:ascii="宋体" w:hAnsi="宋体" w:cs="仿宋_GB2312"/>
          <w:color w:val="auto"/>
          <w:kern w:val="2"/>
          <w:sz w:val="24"/>
        </w:rPr>
      </w:pPr>
      <w:r>
        <w:rPr>
          <w:rFonts w:hint="eastAsia" w:ascii="宋体" w:hAnsi="宋体" w:cs="仿宋_GB2312"/>
          <w:color w:val="auto"/>
          <w:kern w:val="2"/>
          <w:sz w:val="24"/>
        </w:rPr>
        <w:t>地址：佛山市禅城区季华五路55号万科金融中心A座33楼3302室</w:t>
      </w:r>
    </w:p>
    <w:p w14:paraId="6C647727">
      <w:pPr>
        <w:adjustRightInd/>
        <w:snapToGrid w:val="0"/>
        <w:spacing w:line="360" w:lineRule="auto"/>
        <w:ind w:left="404" w:leftChars="202"/>
        <w:textAlignment w:val="auto"/>
        <w:rPr>
          <w:rFonts w:ascii="宋体" w:hAnsi="宋体" w:cs="仿宋_GB2312"/>
          <w:color w:val="auto"/>
          <w:kern w:val="2"/>
          <w:sz w:val="24"/>
        </w:rPr>
      </w:pPr>
      <w:r>
        <w:rPr>
          <w:rFonts w:hint="eastAsia" w:ascii="宋体" w:hAnsi="宋体" w:cs="仿宋_GB2312"/>
          <w:color w:val="auto"/>
          <w:kern w:val="2"/>
          <w:sz w:val="24"/>
        </w:rPr>
        <w:t>联系方式：联系人：</w:t>
      </w:r>
      <w:r>
        <w:rPr>
          <w:rFonts w:hint="eastAsia" w:ascii="宋体" w:hAnsi="宋体" w:cs="仿宋_GB2312"/>
          <w:color w:val="auto"/>
          <w:kern w:val="2"/>
          <w:sz w:val="24"/>
          <w:lang w:eastAsia="zh-CN"/>
        </w:rPr>
        <w:t>陈</w:t>
      </w:r>
      <w:r>
        <w:rPr>
          <w:rFonts w:hint="eastAsia" w:ascii="宋体" w:hAnsi="宋体" w:cs="仿宋_GB2312"/>
          <w:color w:val="auto"/>
          <w:kern w:val="2"/>
          <w:sz w:val="24"/>
        </w:rPr>
        <w:t>小姐，联系电话：0757-83205203-3</w:t>
      </w:r>
      <w:r>
        <w:rPr>
          <w:rFonts w:hint="eastAsia" w:ascii="宋体" w:hAnsi="宋体" w:cs="仿宋_GB2312"/>
          <w:color w:val="auto"/>
          <w:kern w:val="2"/>
          <w:sz w:val="24"/>
          <w:lang w:val="en-US" w:eastAsia="zh-CN"/>
        </w:rPr>
        <w:t>0</w:t>
      </w:r>
      <w:r>
        <w:rPr>
          <w:rFonts w:hint="eastAsia" w:ascii="宋体" w:hAnsi="宋体" w:cs="仿宋_GB2312"/>
          <w:color w:val="auto"/>
          <w:kern w:val="2"/>
          <w:sz w:val="24"/>
        </w:rPr>
        <w:t>3</w:t>
      </w:r>
    </w:p>
    <w:p w14:paraId="4BCD6A62">
      <w:pPr>
        <w:numPr>
          <w:ilvl w:val="0"/>
          <w:numId w:val="4"/>
        </w:numPr>
        <w:adjustRightInd/>
        <w:snapToGrid w:val="0"/>
        <w:spacing w:line="360" w:lineRule="auto"/>
        <w:ind w:hanging="278"/>
        <w:textAlignment w:val="auto"/>
        <w:rPr>
          <w:rFonts w:ascii="宋体" w:hAnsi="宋体" w:cs="仿宋_GB2312"/>
          <w:color w:val="auto"/>
          <w:kern w:val="2"/>
          <w:sz w:val="24"/>
        </w:rPr>
      </w:pPr>
      <w:r>
        <w:rPr>
          <w:rFonts w:hint="eastAsia" w:ascii="宋体" w:hAnsi="宋体" w:cs="仿宋_GB2312"/>
          <w:color w:val="auto"/>
          <w:kern w:val="2"/>
          <w:sz w:val="24"/>
        </w:rPr>
        <w:t xml:space="preserve">项目联系方式 </w:t>
      </w:r>
    </w:p>
    <w:p w14:paraId="60F1D1BD">
      <w:pPr>
        <w:adjustRightInd/>
        <w:snapToGrid w:val="0"/>
        <w:spacing w:line="360" w:lineRule="auto"/>
        <w:ind w:left="404" w:leftChars="202"/>
        <w:textAlignment w:val="auto"/>
        <w:rPr>
          <w:rFonts w:ascii="宋体" w:hAnsi="宋体" w:cs="仿宋_GB2312"/>
          <w:color w:val="auto"/>
          <w:kern w:val="2"/>
          <w:sz w:val="24"/>
        </w:rPr>
      </w:pPr>
      <w:r>
        <w:rPr>
          <w:rFonts w:hint="eastAsia" w:ascii="宋体" w:hAnsi="宋体" w:cs="仿宋_GB2312"/>
          <w:color w:val="auto"/>
          <w:kern w:val="2"/>
          <w:sz w:val="24"/>
        </w:rPr>
        <w:t>项目联系人：</w:t>
      </w:r>
      <w:r>
        <w:rPr>
          <w:rFonts w:hint="eastAsia" w:ascii="宋体" w:hAnsi="宋体" w:cs="仿宋_GB2312"/>
          <w:color w:val="auto"/>
          <w:kern w:val="2"/>
          <w:sz w:val="24"/>
          <w:lang w:eastAsia="zh-CN"/>
        </w:rPr>
        <w:t>陈</w:t>
      </w:r>
      <w:r>
        <w:rPr>
          <w:rFonts w:hint="eastAsia" w:ascii="宋体" w:hAnsi="宋体" w:cs="仿宋_GB2312"/>
          <w:color w:val="auto"/>
          <w:kern w:val="2"/>
          <w:sz w:val="24"/>
        </w:rPr>
        <w:t>小姐</w:t>
      </w:r>
      <w:r>
        <w:rPr>
          <w:rFonts w:hint="eastAsia" w:ascii="宋体" w:hAnsi="宋体" w:cs="仿宋_GB2312"/>
          <w:i/>
          <w:iCs/>
          <w:color w:val="auto"/>
          <w:kern w:val="2"/>
          <w:sz w:val="24"/>
        </w:rPr>
        <w:t>；</w:t>
      </w:r>
    </w:p>
    <w:p w14:paraId="21B52B06">
      <w:pPr>
        <w:adjustRightInd/>
        <w:snapToGrid w:val="0"/>
        <w:spacing w:line="360" w:lineRule="auto"/>
        <w:ind w:left="404" w:leftChars="202"/>
        <w:textAlignment w:val="auto"/>
        <w:rPr>
          <w:rFonts w:ascii="宋体" w:hAnsi="宋体" w:cs="仿宋_GB2312"/>
          <w:color w:val="auto"/>
          <w:kern w:val="2"/>
          <w:sz w:val="24"/>
        </w:rPr>
      </w:pPr>
      <w:r>
        <w:rPr>
          <w:rFonts w:hint="eastAsia" w:ascii="宋体" w:hAnsi="宋体" w:cs="仿宋_GB2312"/>
          <w:color w:val="auto"/>
          <w:kern w:val="2"/>
          <w:sz w:val="24"/>
        </w:rPr>
        <w:t>电话：0757-83205203-3</w:t>
      </w:r>
      <w:r>
        <w:rPr>
          <w:rFonts w:hint="eastAsia" w:ascii="宋体" w:hAnsi="宋体" w:cs="仿宋_GB2312"/>
          <w:color w:val="auto"/>
          <w:kern w:val="2"/>
          <w:sz w:val="24"/>
          <w:lang w:val="en-US" w:eastAsia="zh-CN"/>
        </w:rPr>
        <w:t>0</w:t>
      </w:r>
      <w:r>
        <w:rPr>
          <w:rFonts w:hint="eastAsia" w:ascii="宋体" w:hAnsi="宋体" w:cs="仿宋_GB2312"/>
          <w:color w:val="auto"/>
          <w:kern w:val="2"/>
          <w:sz w:val="24"/>
        </w:rPr>
        <w:t>3</w:t>
      </w:r>
      <w:r>
        <w:rPr>
          <w:rFonts w:hint="eastAsia" w:ascii="宋体" w:hAnsi="宋体" w:cs="仿宋_GB2312"/>
          <w:i/>
          <w:iCs/>
          <w:color w:val="auto"/>
          <w:kern w:val="2"/>
          <w:sz w:val="24"/>
        </w:rPr>
        <w:t>；</w:t>
      </w:r>
    </w:p>
    <w:p w14:paraId="5DFB841A">
      <w:pPr>
        <w:adjustRightInd/>
        <w:snapToGrid w:val="0"/>
        <w:spacing w:line="360" w:lineRule="auto"/>
        <w:textAlignment w:val="auto"/>
        <w:rPr>
          <w:rFonts w:ascii="宋体" w:hAnsi="宋体" w:cs="仿宋_GB2312"/>
          <w:color w:val="auto"/>
          <w:kern w:val="2"/>
          <w:sz w:val="24"/>
        </w:rPr>
      </w:pPr>
    </w:p>
    <w:p w14:paraId="34B2387F">
      <w:pPr>
        <w:adjustRightInd/>
        <w:snapToGrid w:val="0"/>
        <w:spacing w:line="360" w:lineRule="auto"/>
        <w:jc w:val="right"/>
        <w:textAlignment w:val="auto"/>
        <w:rPr>
          <w:rFonts w:ascii="宋体" w:hAnsi="宋体" w:cs="仿宋_GB2312"/>
          <w:color w:val="auto"/>
          <w:kern w:val="2"/>
          <w:sz w:val="24"/>
        </w:rPr>
      </w:pPr>
      <w:r>
        <w:rPr>
          <w:rFonts w:hint="eastAsia" w:ascii="宋体" w:hAnsi="宋体" w:cs="仿宋_GB2312"/>
          <w:color w:val="auto"/>
          <w:kern w:val="2"/>
          <w:sz w:val="24"/>
        </w:rPr>
        <w:t>发布人：</w:t>
      </w:r>
      <w:r>
        <w:rPr>
          <w:rFonts w:hint="eastAsia" w:ascii="宋体" w:hAnsi="宋体"/>
          <w:color w:val="auto"/>
          <w:kern w:val="2"/>
          <w:sz w:val="24"/>
        </w:rPr>
        <w:t>佛山采联采购招标有限公司</w:t>
      </w:r>
    </w:p>
    <w:p w14:paraId="3628CA43">
      <w:pPr>
        <w:snapToGrid w:val="0"/>
        <w:spacing w:line="360" w:lineRule="auto"/>
        <w:ind w:firstLine="435"/>
        <w:jc w:val="right"/>
        <w:rPr>
          <w:rFonts w:asciiTheme="minorEastAsia" w:hAnsiTheme="minorEastAsia" w:eastAsiaTheme="minorEastAsia"/>
          <w:b/>
          <w:bCs/>
          <w:sz w:val="24"/>
        </w:rPr>
      </w:pPr>
      <w:r>
        <w:rPr>
          <w:rFonts w:hint="eastAsia" w:ascii="宋体" w:hAnsi="宋体" w:cs="仿宋_GB2312"/>
          <w:color w:val="auto"/>
          <w:kern w:val="2"/>
          <w:sz w:val="24"/>
        </w:rPr>
        <w:t>发布时间：</w:t>
      </w:r>
      <w:r>
        <w:rPr>
          <w:rFonts w:ascii="宋体" w:hAnsi="宋体" w:cs="仿宋_GB2312"/>
          <w:color w:val="auto"/>
          <w:kern w:val="2"/>
          <w:sz w:val="24"/>
        </w:rPr>
        <w:t>202</w:t>
      </w:r>
      <w:r>
        <w:rPr>
          <w:rFonts w:hint="eastAsia" w:ascii="宋体" w:hAnsi="宋体" w:cs="仿宋_GB2312"/>
          <w:color w:val="auto"/>
          <w:kern w:val="2"/>
          <w:sz w:val="24"/>
          <w:lang w:val="en-US" w:eastAsia="zh-CN"/>
        </w:rPr>
        <w:t>6</w:t>
      </w:r>
      <w:r>
        <w:rPr>
          <w:rFonts w:hint="eastAsia" w:ascii="宋体" w:hAnsi="宋体" w:cs="仿宋_GB2312"/>
          <w:color w:val="auto"/>
          <w:kern w:val="2"/>
          <w:sz w:val="24"/>
        </w:rPr>
        <w:t>年</w:t>
      </w:r>
      <w:r>
        <w:rPr>
          <w:rFonts w:hint="eastAsia" w:ascii="宋体" w:hAnsi="宋体" w:cs="仿宋_GB2312"/>
          <w:color w:val="auto"/>
          <w:kern w:val="2"/>
          <w:sz w:val="24"/>
          <w:lang w:val="en-US" w:eastAsia="zh-CN"/>
        </w:rPr>
        <w:t>1</w:t>
      </w:r>
      <w:r>
        <w:rPr>
          <w:rFonts w:hint="eastAsia" w:ascii="宋体" w:hAnsi="宋体" w:cs="仿宋_GB2312"/>
          <w:color w:val="auto"/>
          <w:kern w:val="2"/>
          <w:sz w:val="24"/>
        </w:rPr>
        <w:t>月</w:t>
      </w:r>
      <w:r>
        <w:rPr>
          <w:rFonts w:hint="eastAsia" w:ascii="宋体" w:hAnsi="宋体" w:cs="仿宋_GB2312"/>
          <w:color w:val="auto"/>
          <w:kern w:val="2"/>
          <w:sz w:val="24"/>
          <w:lang w:val="en-US" w:eastAsia="zh-CN"/>
        </w:rPr>
        <w:t>15</w:t>
      </w:r>
      <w:r>
        <w:rPr>
          <w:rFonts w:hint="eastAsia" w:ascii="宋体" w:hAnsi="宋体" w:cs="仿宋_GB2312"/>
          <w:color w:val="auto"/>
          <w:kern w:val="2"/>
          <w:sz w:val="24"/>
        </w:rPr>
        <w:t>日</w:t>
      </w:r>
      <w:r>
        <w:rPr>
          <w:rFonts w:asciiTheme="minorEastAsia" w:hAnsiTheme="minorEastAsia" w:eastAsiaTheme="minorEastAsia"/>
          <w:b/>
          <w:bCs/>
          <w:sz w:val="24"/>
        </w:rPr>
        <w:br w:type="page"/>
      </w:r>
    </w:p>
    <w:bookmarkEnd w:id="7"/>
    <w:bookmarkEnd w:id="8"/>
    <w:p w14:paraId="4413FAFF">
      <w:pPr>
        <w:spacing w:before="156" w:beforeLines="50" w:after="156" w:afterLines="50" w:line="360" w:lineRule="auto"/>
        <w:jc w:val="center"/>
        <w:outlineLvl w:val="0"/>
      </w:pPr>
      <w:bookmarkStart w:id="17" w:name="_Toc435514849"/>
      <w:bookmarkStart w:id="18" w:name="_Toc13067020"/>
      <w:bookmarkStart w:id="19" w:name="_Toc435115054"/>
      <w:bookmarkStart w:id="20" w:name="_Toc20703"/>
      <w:r>
        <w:rPr>
          <w:rFonts w:hint="eastAsia"/>
          <w:b/>
          <w:bCs/>
          <w:sz w:val="28"/>
          <w:szCs w:val="28"/>
        </w:rPr>
        <w:t>第二章 采购需求</w:t>
      </w:r>
      <w:bookmarkEnd w:id="17"/>
      <w:bookmarkEnd w:id="18"/>
      <w:bookmarkEnd w:id="19"/>
      <w:bookmarkEnd w:id="20"/>
    </w:p>
    <w:p w14:paraId="3821804F">
      <w:pPr>
        <w:pStyle w:val="20"/>
        <w:numPr>
          <w:ilvl w:val="0"/>
          <w:numId w:val="5"/>
        </w:numPr>
        <w:tabs>
          <w:tab w:val="left" w:pos="540"/>
        </w:tabs>
        <w:snapToGrid w:val="0"/>
        <w:spacing w:line="360" w:lineRule="auto"/>
        <w:rPr>
          <w:rFonts w:asciiTheme="minorEastAsia" w:hAnsiTheme="minorEastAsia"/>
          <w:b/>
          <w:sz w:val="24"/>
          <w:szCs w:val="24"/>
        </w:rPr>
      </w:pPr>
      <w:r>
        <w:rPr>
          <w:rFonts w:hint="eastAsia" w:asciiTheme="minorEastAsia" w:hAnsiTheme="minorEastAsia"/>
          <w:b/>
          <w:sz w:val="24"/>
          <w:szCs w:val="24"/>
        </w:rPr>
        <w:t>有关说明</w:t>
      </w:r>
    </w:p>
    <w:p w14:paraId="0EC828C7">
      <w:pPr>
        <w:numPr>
          <w:ilvl w:val="0"/>
          <w:numId w:val="6"/>
        </w:numPr>
        <w:snapToGrid w:val="0"/>
        <w:spacing w:line="360" w:lineRule="auto"/>
        <w:ind w:left="567" w:hanging="567"/>
        <w:rPr>
          <w:rFonts w:asciiTheme="minorEastAsia" w:hAnsiTheme="minorEastAsia" w:eastAsiaTheme="minorEastAsia"/>
          <w:bCs/>
          <w:sz w:val="24"/>
        </w:rPr>
      </w:pPr>
      <w:r>
        <w:rPr>
          <w:rFonts w:hint="eastAsia" w:asciiTheme="minorEastAsia" w:hAnsiTheme="minorEastAsia" w:eastAsiaTheme="minorEastAsia"/>
          <w:bCs/>
          <w:sz w:val="24"/>
        </w:rPr>
        <w:t>投标人须对本项目的采购标的进行整体投标，任何只对本项目采购标的其中一部分内容、数量进行的投标都被视为无效投标。</w:t>
      </w:r>
    </w:p>
    <w:p w14:paraId="146DC808">
      <w:pPr>
        <w:numPr>
          <w:ilvl w:val="0"/>
          <w:numId w:val="6"/>
        </w:numPr>
        <w:snapToGrid w:val="0"/>
        <w:spacing w:line="360" w:lineRule="auto"/>
        <w:ind w:left="567" w:hanging="567"/>
        <w:rPr>
          <w:rFonts w:asciiTheme="minorEastAsia" w:hAnsiTheme="minorEastAsia" w:eastAsiaTheme="minorEastAsia"/>
          <w:bCs/>
          <w:sz w:val="24"/>
        </w:rPr>
      </w:pPr>
      <w:r>
        <w:rPr>
          <w:rFonts w:hint="eastAsia" w:asciiTheme="minorEastAsia" w:hAnsiTheme="minorEastAsia" w:eastAsiaTheme="minorEastAsia"/>
          <w:bCs/>
          <w:sz w:val="24"/>
        </w:rPr>
        <w:t>产品</w:t>
      </w:r>
      <w:r>
        <w:rPr>
          <w:rFonts w:ascii="宋体" w:hAnsi="宋体"/>
          <w:sz w:val="24"/>
        </w:rPr>
        <w:t>属于国家节能产品</w:t>
      </w:r>
      <w:r>
        <w:rPr>
          <w:rFonts w:hint="eastAsia" w:ascii="宋体" w:hAnsi="宋体"/>
          <w:sz w:val="24"/>
        </w:rPr>
        <w:t>政府采购</w:t>
      </w:r>
      <w:r>
        <w:rPr>
          <w:rFonts w:ascii="宋体" w:hAnsi="宋体"/>
          <w:sz w:val="24"/>
        </w:rPr>
        <w:t>品目清单内的</w:t>
      </w:r>
      <w:r>
        <w:rPr>
          <w:rFonts w:hint="eastAsia" w:ascii="宋体" w:hAnsi="宋体"/>
          <w:sz w:val="24"/>
        </w:rPr>
        <w:t>政府强制采购</w:t>
      </w:r>
      <w:r>
        <w:rPr>
          <w:rFonts w:ascii="宋体" w:hAnsi="宋体"/>
          <w:sz w:val="24"/>
        </w:rPr>
        <w:t>产品，</w:t>
      </w:r>
      <w:r>
        <w:rPr>
          <w:rFonts w:hint="eastAsia" w:ascii="宋体" w:hAnsi="宋体"/>
          <w:sz w:val="24"/>
        </w:rPr>
        <w:t>投标人</w:t>
      </w:r>
      <w:r>
        <w:rPr>
          <w:rFonts w:ascii="宋体" w:hAnsi="宋体"/>
          <w:sz w:val="24"/>
        </w:rPr>
        <w:t>必须提供有效的节能产品认证证书复印件，否则视为</w:t>
      </w:r>
      <w:r>
        <w:rPr>
          <w:rFonts w:hint="eastAsia" w:asciiTheme="minorEastAsia" w:hAnsiTheme="minorEastAsia" w:eastAsiaTheme="minorEastAsia"/>
          <w:b/>
          <w:bCs/>
          <w:sz w:val="24"/>
        </w:rPr>
        <w:t>无效投标</w:t>
      </w:r>
      <w:r>
        <w:rPr>
          <w:rFonts w:hint="eastAsia" w:asciiTheme="minorEastAsia" w:hAnsiTheme="minorEastAsia" w:eastAsiaTheme="minorEastAsia"/>
          <w:bCs/>
          <w:sz w:val="24"/>
        </w:rPr>
        <w:t>。</w:t>
      </w:r>
    </w:p>
    <w:p w14:paraId="34A0A92F">
      <w:pPr>
        <w:numPr>
          <w:ilvl w:val="0"/>
          <w:numId w:val="6"/>
        </w:numPr>
        <w:snapToGrid w:val="0"/>
        <w:spacing w:line="360" w:lineRule="auto"/>
        <w:ind w:hanging="567"/>
        <w:rPr>
          <w:rFonts w:asciiTheme="minorEastAsia" w:hAnsiTheme="minorEastAsia" w:eastAsiaTheme="minorEastAsia"/>
          <w:bCs/>
          <w:sz w:val="24"/>
        </w:rPr>
      </w:pPr>
      <w:r>
        <w:rPr>
          <w:rFonts w:hint="eastAsia" w:asciiTheme="minorEastAsia" w:hAnsiTheme="minorEastAsia" w:eastAsiaTheme="minorEastAsia"/>
          <w:bCs/>
          <w:sz w:val="24"/>
        </w:rPr>
        <w:t>采购需求中标注</w:t>
      </w:r>
      <w:r>
        <w:rPr>
          <w:rFonts w:asciiTheme="minorEastAsia" w:hAnsiTheme="minorEastAsia" w:eastAsiaTheme="minorEastAsia"/>
          <w:bCs/>
          <w:sz w:val="24"/>
        </w:rPr>
        <w:t>“</w:t>
      </w:r>
      <w:r>
        <w:rPr>
          <w:rFonts w:hint="eastAsia" w:asciiTheme="minorEastAsia" w:hAnsiTheme="minorEastAsia" w:eastAsiaTheme="minorEastAsia"/>
          <w:bCs/>
          <w:sz w:val="24"/>
        </w:rPr>
        <w:t>★</w:t>
      </w:r>
      <w:r>
        <w:rPr>
          <w:rFonts w:asciiTheme="minorEastAsia" w:hAnsiTheme="minorEastAsia" w:eastAsiaTheme="minorEastAsia"/>
          <w:bCs/>
          <w:sz w:val="24"/>
        </w:rPr>
        <w:t>”</w:t>
      </w:r>
      <w:r>
        <w:rPr>
          <w:rFonts w:hint="eastAsia" w:asciiTheme="minorEastAsia" w:hAnsiTheme="minorEastAsia" w:eastAsiaTheme="minorEastAsia"/>
          <w:bCs/>
          <w:sz w:val="24"/>
        </w:rPr>
        <w:t>号条款为实质性条款，必须逐条进行响应，有任何一条负偏离的，将导致</w:t>
      </w:r>
      <w:r>
        <w:rPr>
          <w:rFonts w:hint="eastAsia" w:asciiTheme="minorEastAsia" w:hAnsiTheme="minorEastAsia" w:eastAsiaTheme="minorEastAsia"/>
          <w:b/>
          <w:bCs/>
          <w:sz w:val="24"/>
        </w:rPr>
        <w:t>无效投标</w:t>
      </w:r>
      <w:r>
        <w:rPr>
          <w:rFonts w:hint="eastAsia" w:asciiTheme="minorEastAsia" w:hAnsiTheme="minorEastAsia" w:eastAsiaTheme="minorEastAsia"/>
          <w:bCs/>
          <w:sz w:val="24"/>
        </w:rPr>
        <w:t>。</w:t>
      </w:r>
    </w:p>
    <w:p w14:paraId="3FB62C64">
      <w:pPr>
        <w:pStyle w:val="20"/>
        <w:numPr>
          <w:ilvl w:val="0"/>
          <w:numId w:val="5"/>
        </w:numPr>
        <w:tabs>
          <w:tab w:val="left" w:pos="540"/>
        </w:tabs>
        <w:snapToGrid w:val="0"/>
        <w:spacing w:line="360" w:lineRule="auto"/>
        <w:ind w:left="0"/>
        <w:rPr>
          <w:rFonts w:hAnsi="宋体" w:eastAsia="宋体"/>
          <w:b/>
          <w:sz w:val="24"/>
          <w:szCs w:val="24"/>
        </w:rPr>
      </w:pPr>
      <w:bookmarkStart w:id="21" w:name="_Hlk184821561"/>
      <w:r>
        <w:rPr>
          <w:rFonts w:hint="eastAsia" w:asciiTheme="minorEastAsia" w:hAnsiTheme="minorEastAsia"/>
          <w:b/>
          <w:sz w:val="24"/>
        </w:rPr>
        <w:t>采购项目一览表</w:t>
      </w:r>
    </w:p>
    <w:tbl>
      <w:tblPr>
        <w:tblStyle w:val="38"/>
        <w:tblW w:w="52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6"/>
        <w:gridCol w:w="1040"/>
        <w:gridCol w:w="1827"/>
        <w:gridCol w:w="3769"/>
        <w:gridCol w:w="1995"/>
      </w:tblGrid>
      <w:tr w14:paraId="5C7D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18" w:type="pct"/>
            <w:tcBorders>
              <w:top w:val="single" w:color="auto" w:sz="12" w:space="0"/>
            </w:tcBorders>
            <w:shd w:val="clear" w:color="auto" w:fill="EEECE1"/>
            <w:vAlign w:val="center"/>
          </w:tcPr>
          <w:p w14:paraId="1130D250">
            <w:pPr>
              <w:snapToGrid w:val="0"/>
              <w:jc w:val="center"/>
              <w:rPr>
                <w:rFonts w:ascii="宋体"/>
                <w:b/>
                <w:color w:val="auto"/>
                <w:sz w:val="24"/>
              </w:rPr>
            </w:pPr>
            <w:r>
              <w:rPr>
                <w:rFonts w:hint="eastAsia" w:ascii="宋体"/>
                <w:b/>
                <w:color w:val="auto"/>
                <w:sz w:val="24"/>
              </w:rPr>
              <w:t>服务内容</w:t>
            </w:r>
          </w:p>
          <w:p w14:paraId="7FD7CDC3">
            <w:pPr>
              <w:snapToGrid w:val="0"/>
              <w:jc w:val="center"/>
              <w:rPr>
                <w:rFonts w:ascii="宋体"/>
                <w:b/>
                <w:color w:val="auto"/>
                <w:sz w:val="24"/>
              </w:rPr>
            </w:pPr>
            <w:r>
              <w:rPr>
                <w:rFonts w:hint="eastAsia" w:ascii="宋体"/>
                <w:b/>
                <w:color w:val="auto"/>
                <w:sz w:val="24"/>
              </w:rPr>
              <w:t>（采购标的）</w:t>
            </w:r>
          </w:p>
        </w:tc>
        <w:tc>
          <w:tcPr>
            <w:tcW w:w="480" w:type="pct"/>
            <w:tcBorders>
              <w:top w:val="single" w:color="auto" w:sz="12" w:space="0"/>
            </w:tcBorders>
            <w:shd w:val="clear" w:color="auto" w:fill="EEECE1"/>
            <w:vAlign w:val="center"/>
          </w:tcPr>
          <w:p w14:paraId="33F76105">
            <w:pPr>
              <w:snapToGrid w:val="0"/>
              <w:jc w:val="center"/>
              <w:rPr>
                <w:rFonts w:ascii="宋体"/>
                <w:b/>
                <w:color w:val="auto"/>
                <w:sz w:val="24"/>
              </w:rPr>
            </w:pPr>
            <w:r>
              <w:rPr>
                <w:rFonts w:hint="eastAsia" w:ascii="宋体"/>
                <w:b/>
                <w:color w:val="auto"/>
                <w:sz w:val="24"/>
              </w:rPr>
              <w:t>数量</w:t>
            </w:r>
          </w:p>
        </w:tc>
        <w:tc>
          <w:tcPr>
            <w:tcW w:w="843" w:type="pct"/>
            <w:tcBorders>
              <w:top w:val="single" w:color="auto" w:sz="12" w:space="0"/>
            </w:tcBorders>
            <w:shd w:val="clear" w:color="auto" w:fill="EEECE1"/>
            <w:vAlign w:val="center"/>
          </w:tcPr>
          <w:p w14:paraId="7F9C1060">
            <w:pPr>
              <w:snapToGrid w:val="0"/>
              <w:jc w:val="center"/>
              <w:rPr>
                <w:rFonts w:ascii="宋体" w:hAnsi="宋体"/>
                <w:b/>
                <w:color w:val="auto"/>
                <w:sz w:val="24"/>
              </w:rPr>
            </w:pPr>
            <w:r>
              <w:rPr>
                <w:rFonts w:hint="eastAsia" w:ascii="宋体" w:hAnsi="宋体"/>
                <w:b/>
                <w:color w:val="auto"/>
                <w:sz w:val="24"/>
              </w:rPr>
              <w:t>预算金额</w:t>
            </w:r>
          </w:p>
          <w:p w14:paraId="3C9F4721">
            <w:pPr>
              <w:snapToGrid w:val="0"/>
              <w:jc w:val="center"/>
              <w:rPr>
                <w:rFonts w:ascii="宋体"/>
                <w:b/>
                <w:color w:val="auto"/>
                <w:sz w:val="24"/>
              </w:rPr>
            </w:pPr>
            <w:r>
              <w:rPr>
                <w:rFonts w:hint="eastAsia"/>
                <w:b/>
                <w:color w:val="auto"/>
                <w:sz w:val="24"/>
              </w:rPr>
              <w:t>（人民币 元）</w:t>
            </w:r>
          </w:p>
        </w:tc>
        <w:tc>
          <w:tcPr>
            <w:tcW w:w="1739" w:type="pct"/>
            <w:tcBorders>
              <w:top w:val="single" w:color="auto" w:sz="12" w:space="0"/>
              <w:left w:val="single" w:color="auto" w:sz="4" w:space="0"/>
              <w:right w:val="single" w:color="auto" w:sz="12" w:space="0"/>
            </w:tcBorders>
            <w:shd w:val="clear" w:color="auto" w:fill="EEECE1"/>
            <w:vAlign w:val="center"/>
          </w:tcPr>
          <w:p w14:paraId="4A86CBDA">
            <w:pPr>
              <w:snapToGrid w:val="0"/>
              <w:jc w:val="center"/>
              <w:rPr>
                <w:rFonts w:ascii="宋体"/>
                <w:b/>
                <w:color w:val="auto"/>
                <w:sz w:val="24"/>
              </w:rPr>
            </w:pPr>
            <w:r>
              <w:rPr>
                <w:rFonts w:hint="eastAsia" w:ascii="宋体"/>
                <w:b/>
                <w:color w:val="auto"/>
                <w:sz w:val="24"/>
              </w:rPr>
              <w:t>实施期限</w:t>
            </w:r>
          </w:p>
        </w:tc>
        <w:tc>
          <w:tcPr>
            <w:tcW w:w="920" w:type="pct"/>
            <w:tcBorders>
              <w:top w:val="single" w:color="auto" w:sz="12" w:space="0"/>
              <w:left w:val="single" w:color="auto" w:sz="4" w:space="0"/>
              <w:right w:val="single" w:color="auto" w:sz="12" w:space="0"/>
            </w:tcBorders>
            <w:shd w:val="clear" w:color="auto" w:fill="EEECE1"/>
            <w:vAlign w:val="center"/>
          </w:tcPr>
          <w:p w14:paraId="71652916">
            <w:pPr>
              <w:snapToGrid w:val="0"/>
              <w:jc w:val="center"/>
              <w:rPr>
                <w:rFonts w:ascii="宋体"/>
                <w:b/>
                <w:color w:val="auto"/>
                <w:sz w:val="24"/>
              </w:rPr>
            </w:pPr>
            <w:r>
              <w:rPr>
                <w:rFonts w:hint="eastAsia" w:ascii="宋体" w:hAnsi="宋体"/>
                <w:b/>
                <w:color w:val="auto"/>
                <w:sz w:val="24"/>
              </w:rPr>
              <w:t>所属行业</w:t>
            </w:r>
          </w:p>
        </w:tc>
      </w:tr>
      <w:tr w14:paraId="20719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1018" w:type="pct"/>
            <w:tcBorders>
              <w:top w:val="single" w:color="auto" w:sz="12" w:space="0"/>
              <w:bottom w:val="single" w:color="auto" w:sz="12" w:space="0"/>
            </w:tcBorders>
            <w:vAlign w:val="center"/>
          </w:tcPr>
          <w:p w14:paraId="3CF1FF92">
            <w:pPr>
              <w:snapToGrid w:val="0"/>
              <w:jc w:val="center"/>
              <w:rPr>
                <w:rFonts w:hint="eastAsia" w:ascii="宋体" w:eastAsia="宋体"/>
                <w:bCs/>
                <w:color w:val="auto"/>
                <w:sz w:val="24"/>
                <w:lang w:eastAsia="zh-CN"/>
              </w:rPr>
            </w:pPr>
            <w:r>
              <w:rPr>
                <w:rFonts w:hint="eastAsia" w:ascii="宋体" w:hAnsi="宋体" w:cs="仿宋_GB2312"/>
                <w:color w:val="auto"/>
                <w:sz w:val="24"/>
                <w:lang w:eastAsia="zh-CN"/>
              </w:rPr>
              <w:t>2026年度节日慰问品采购</w:t>
            </w:r>
          </w:p>
        </w:tc>
        <w:tc>
          <w:tcPr>
            <w:tcW w:w="480" w:type="pct"/>
            <w:tcBorders>
              <w:top w:val="single" w:color="auto" w:sz="12" w:space="0"/>
              <w:bottom w:val="single" w:color="auto" w:sz="12" w:space="0"/>
            </w:tcBorders>
            <w:vAlign w:val="center"/>
          </w:tcPr>
          <w:p w14:paraId="37B5FABE">
            <w:pPr>
              <w:snapToGrid w:val="0"/>
              <w:jc w:val="center"/>
              <w:rPr>
                <w:rFonts w:ascii="宋体"/>
                <w:bCs/>
                <w:color w:val="auto"/>
                <w:sz w:val="24"/>
              </w:rPr>
            </w:pPr>
            <w:r>
              <w:rPr>
                <w:rFonts w:hint="eastAsia" w:ascii="宋体"/>
                <w:bCs/>
                <w:color w:val="auto"/>
                <w:sz w:val="24"/>
              </w:rPr>
              <w:t>1项</w:t>
            </w:r>
          </w:p>
        </w:tc>
        <w:tc>
          <w:tcPr>
            <w:tcW w:w="843" w:type="pct"/>
            <w:tcBorders>
              <w:top w:val="single" w:color="auto" w:sz="12" w:space="0"/>
              <w:bottom w:val="single" w:color="auto" w:sz="12" w:space="0"/>
            </w:tcBorders>
            <w:vAlign w:val="center"/>
          </w:tcPr>
          <w:p w14:paraId="7860AF3E">
            <w:pPr>
              <w:keepNext/>
              <w:snapToGrid w:val="0"/>
              <w:spacing w:line="240" w:lineRule="auto"/>
              <w:jc w:val="center"/>
              <w:textAlignment w:val="center"/>
              <w:rPr>
                <w:rFonts w:ascii="宋体" w:hAnsi="宋体"/>
                <w:color w:val="auto"/>
                <w:kern w:val="2"/>
                <w:sz w:val="24"/>
              </w:rPr>
            </w:pPr>
            <w:r>
              <w:rPr>
                <w:rFonts w:hint="eastAsia" w:ascii="宋体" w:hAnsi="宋体"/>
                <w:color w:val="auto"/>
                <w:kern w:val="2"/>
                <w:sz w:val="24"/>
                <w:lang w:eastAsia="zh-CN"/>
              </w:rPr>
              <w:t>690000</w:t>
            </w:r>
            <w:r>
              <w:rPr>
                <w:rFonts w:hint="eastAsia" w:ascii="宋体" w:hAnsi="宋体"/>
                <w:color w:val="auto"/>
                <w:kern w:val="2"/>
                <w:sz w:val="24"/>
              </w:rPr>
              <w:t>元</w:t>
            </w:r>
          </w:p>
        </w:tc>
        <w:tc>
          <w:tcPr>
            <w:tcW w:w="1739" w:type="pct"/>
            <w:tcBorders>
              <w:top w:val="single" w:color="auto" w:sz="12" w:space="0"/>
              <w:left w:val="single" w:color="auto" w:sz="4" w:space="0"/>
              <w:bottom w:val="single" w:color="auto" w:sz="12" w:space="0"/>
              <w:right w:val="single" w:color="auto" w:sz="12" w:space="0"/>
            </w:tcBorders>
            <w:vAlign w:val="center"/>
          </w:tcPr>
          <w:p w14:paraId="7F7C1D51">
            <w:pPr>
              <w:keepNext/>
              <w:snapToGrid w:val="0"/>
              <w:spacing w:line="240" w:lineRule="auto"/>
              <w:jc w:val="center"/>
              <w:textAlignment w:val="center"/>
              <w:rPr>
                <w:rFonts w:ascii="宋体" w:hAnsi="宋体"/>
                <w:color w:val="auto"/>
                <w:kern w:val="2"/>
                <w:sz w:val="24"/>
              </w:rPr>
            </w:pPr>
            <w:r>
              <w:rPr>
                <w:rFonts w:hint="eastAsia" w:ascii="宋体" w:hAnsi="宋体"/>
                <w:color w:val="auto"/>
                <w:kern w:val="2"/>
                <w:sz w:val="24"/>
              </w:rPr>
              <w:t>自签订合同之日起至202</w:t>
            </w:r>
            <w:r>
              <w:rPr>
                <w:rFonts w:hint="eastAsia" w:ascii="宋体" w:hAnsi="宋体"/>
                <w:color w:val="auto"/>
                <w:kern w:val="2"/>
                <w:sz w:val="24"/>
                <w:lang w:val="en-US" w:eastAsia="zh-CN"/>
              </w:rPr>
              <w:t>6</w:t>
            </w:r>
            <w:r>
              <w:rPr>
                <w:rFonts w:hint="eastAsia" w:ascii="宋体" w:hAnsi="宋体"/>
                <w:color w:val="auto"/>
                <w:kern w:val="2"/>
                <w:sz w:val="24"/>
              </w:rPr>
              <w:t>年12月31日或项目结算金额达到预算金额其中一项先到达为止。</w:t>
            </w:r>
          </w:p>
        </w:tc>
        <w:tc>
          <w:tcPr>
            <w:tcW w:w="920" w:type="pct"/>
            <w:tcBorders>
              <w:top w:val="single" w:color="auto" w:sz="12" w:space="0"/>
              <w:left w:val="single" w:color="auto" w:sz="4" w:space="0"/>
              <w:bottom w:val="single" w:color="auto" w:sz="12" w:space="0"/>
              <w:right w:val="single" w:color="auto" w:sz="12" w:space="0"/>
            </w:tcBorders>
            <w:vAlign w:val="center"/>
          </w:tcPr>
          <w:p w14:paraId="38AB9BE7">
            <w:pPr>
              <w:keepNext/>
              <w:snapToGrid w:val="0"/>
              <w:spacing w:line="240" w:lineRule="auto"/>
              <w:jc w:val="center"/>
              <w:textAlignment w:val="center"/>
              <w:rPr>
                <w:rFonts w:ascii="宋体" w:hAnsi="宋体"/>
                <w:color w:val="auto"/>
                <w:kern w:val="2"/>
                <w:sz w:val="24"/>
              </w:rPr>
            </w:pPr>
            <w:bookmarkStart w:id="22" w:name="_Hlk184823144"/>
            <w:r>
              <w:rPr>
                <w:rFonts w:hint="eastAsia" w:ascii="宋体" w:hAnsi="宋体"/>
                <w:color w:val="auto"/>
                <w:kern w:val="2"/>
                <w:sz w:val="24"/>
              </w:rPr>
              <w:t>信息传输业</w:t>
            </w:r>
            <w:bookmarkEnd w:id="22"/>
          </w:p>
        </w:tc>
      </w:tr>
    </w:tbl>
    <w:p w14:paraId="49CA9405">
      <w:pPr>
        <w:pStyle w:val="20"/>
        <w:numPr>
          <w:ilvl w:val="0"/>
          <w:numId w:val="5"/>
        </w:numPr>
        <w:tabs>
          <w:tab w:val="left" w:pos="540"/>
        </w:tabs>
        <w:snapToGrid w:val="0"/>
        <w:spacing w:line="360" w:lineRule="auto"/>
        <w:ind w:left="0"/>
        <w:rPr>
          <w:rFonts w:hAnsi="宋体" w:eastAsia="宋体"/>
          <w:b/>
          <w:color w:val="auto"/>
          <w:sz w:val="24"/>
          <w:szCs w:val="24"/>
        </w:rPr>
      </w:pPr>
      <w:r>
        <w:rPr>
          <w:rFonts w:hint="eastAsia" w:hAnsi="宋体" w:eastAsia="宋体"/>
          <w:b/>
          <w:color w:val="auto"/>
          <w:sz w:val="24"/>
          <w:szCs w:val="24"/>
        </w:rPr>
        <w:t>项目基本概况</w:t>
      </w:r>
    </w:p>
    <w:p w14:paraId="57887A94">
      <w:pPr>
        <w:pStyle w:val="84"/>
        <w:numPr>
          <w:ilvl w:val="0"/>
          <w:numId w:val="7"/>
        </w:numPr>
        <w:snapToGrid w:val="0"/>
        <w:spacing w:line="360" w:lineRule="auto"/>
        <w:ind w:firstLine="0" w:firstLineChars="0"/>
        <w:jc w:val="left"/>
        <w:textAlignment w:val="auto"/>
        <w:outlineLvl w:val="1"/>
        <w:rPr>
          <w:rFonts w:ascii="宋体" w:hAnsi="宋体"/>
          <w:b/>
          <w:bCs/>
          <w:color w:val="auto"/>
          <w:sz w:val="24"/>
        </w:rPr>
      </w:pPr>
      <w:bookmarkStart w:id="23" w:name="_Toc3053"/>
      <w:r>
        <w:rPr>
          <w:rFonts w:hint="eastAsia" w:ascii="宋体" w:hAnsi="宋体"/>
          <w:b/>
          <w:bCs/>
          <w:color w:val="auto"/>
          <w:sz w:val="24"/>
        </w:rPr>
        <w:t>项目概况</w:t>
      </w:r>
      <w:bookmarkEnd w:id="23"/>
    </w:p>
    <w:p w14:paraId="72335E20">
      <w:pPr>
        <w:numPr>
          <w:ilvl w:val="0"/>
          <w:numId w:val="8"/>
        </w:numPr>
        <w:snapToGrid w:val="0"/>
        <w:spacing w:line="360" w:lineRule="auto"/>
        <w:ind w:firstLine="0"/>
        <w:textAlignment w:val="auto"/>
        <w:rPr>
          <w:rFonts w:ascii="宋体" w:hAnsi="宋体"/>
          <w:bCs/>
          <w:color w:val="auto"/>
          <w:sz w:val="24"/>
        </w:rPr>
      </w:pPr>
      <w:r>
        <w:rPr>
          <w:rFonts w:hint="eastAsia" w:ascii="宋体" w:hAnsi="宋体"/>
          <w:bCs/>
          <w:color w:val="auto"/>
          <w:sz w:val="24"/>
        </w:rPr>
        <w:t>项目名称：</w:t>
      </w:r>
      <w:r>
        <w:rPr>
          <w:rFonts w:hint="eastAsia" w:ascii="宋体" w:hAnsi="宋体"/>
          <w:bCs/>
          <w:color w:val="auto"/>
          <w:sz w:val="24"/>
          <w:lang w:eastAsia="zh-CN"/>
        </w:rPr>
        <w:t>中华人民共和国佛山出入境边防检查站2026年度节日慰问品采购项目</w:t>
      </w:r>
    </w:p>
    <w:p w14:paraId="0C34ACE0">
      <w:pPr>
        <w:numPr>
          <w:ilvl w:val="0"/>
          <w:numId w:val="8"/>
        </w:numPr>
        <w:snapToGrid w:val="0"/>
        <w:spacing w:line="360" w:lineRule="auto"/>
        <w:ind w:firstLine="0"/>
        <w:textAlignment w:val="auto"/>
        <w:rPr>
          <w:rFonts w:ascii="宋体" w:hAnsi="宋体"/>
          <w:bCs/>
          <w:color w:val="auto"/>
          <w:sz w:val="24"/>
        </w:rPr>
      </w:pPr>
      <w:r>
        <w:rPr>
          <w:rFonts w:hint="eastAsia" w:ascii="宋体" w:hAnsi="宋体"/>
          <w:bCs/>
          <w:color w:val="auto"/>
          <w:sz w:val="24"/>
        </w:rPr>
        <w:t>采购内容：本项目选取一家中标人为采购人职工提供202</w:t>
      </w:r>
      <w:r>
        <w:rPr>
          <w:rFonts w:hint="eastAsia" w:ascii="宋体" w:hAnsi="宋体"/>
          <w:bCs/>
          <w:color w:val="auto"/>
          <w:sz w:val="24"/>
          <w:lang w:val="en-US" w:eastAsia="zh-CN"/>
        </w:rPr>
        <w:t>6</w:t>
      </w:r>
      <w:r>
        <w:rPr>
          <w:rFonts w:hint="eastAsia" w:ascii="宋体" w:hAnsi="宋体"/>
          <w:bCs/>
          <w:color w:val="auto"/>
          <w:sz w:val="24"/>
        </w:rPr>
        <w:t>年度节日慰问品。</w:t>
      </w:r>
    </w:p>
    <w:p w14:paraId="552CF6CA">
      <w:pPr>
        <w:numPr>
          <w:ilvl w:val="0"/>
          <w:numId w:val="8"/>
        </w:numPr>
        <w:snapToGrid w:val="0"/>
        <w:spacing w:line="360" w:lineRule="auto"/>
        <w:ind w:firstLine="0"/>
        <w:textAlignment w:val="auto"/>
        <w:rPr>
          <w:rFonts w:ascii="宋体" w:hAnsi="宋体"/>
          <w:bCs/>
          <w:color w:val="auto"/>
          <w:sz w:val="24"/>
        </w:rPr>
      </w:pPr>
      <w:r>
        <w:rPr>
          <w:rFonts w:hint="eastAsia" w:ascii="宋体" w:hAnsi="宋体"/>
          <w:bCs/>
          <w:color w:val="auto"/>
          <w:sz w:val="24"/>
        </w:rPr>
        <w:t>预算金额：</w:t>
      </w:r>
      <w:r>
        <w:rPr>
          <w:rFonts w:hint="eastAsia" w:ascii="宋体" w:hAnsi="宋体"/>
          <w:bCs/>
          <w:color w:val="auto"/>
          <w:sz w:val="24"/>
          <w:u w:val="single"/>
          <w:lang w:eastAsia="zh-CN"/>
        </w:rPr>
        <w:t>690000</w:t>
      </w:r>
      <w:r>
        <w:rPr>
          <w:rFonts w:hint="eastAsia" w:ascii="宋体" w:hAnsi="宋体"/>
          <w:bCs/>
          <w:color w:val="auto"/>
          <w:sz w:val="24"/>
        </w:rPr>
        <w:t>元，结算价最高不超过本项目的预算金额，采购人对结算金额不作保证，最终以实际结算金额为准。</w:t>
      </w:r>
    </w:p>
    <w:p w14:paraId="063FAA1E">
      <w:pPr>
        <w:numPr>
          <w:ilvl w:val="0"/>
          <w:numId w:val="8"/>
        </w:numPr>
        <w:snapToGrid w:val="0"/>
        <w:spacing w:line="360" w:lineRule="auto"/>
        <w:ind w:firstLine="0"/>
        <w:textAlignment w:val="auto"/>
        <w:rPr>
          <w:rFonts w:ascii="宋体" w:hAnsi="宋体"/>
          <w:bCs/>
          <w:color w:val="auto"/>
          <w:sz w:val="24"/>
        </w:rPr>
      </w:pPr>
      <w:r>
        <w:rPr>
          <w:rFonts w:hint="eastAsia" w:ascii="宋体" w:hAnsi="宋体"/>
          <w:bCs/>
          <w:color w:val="auto"/>
          <w:sz w:val="24"/>
        </w:rPr>
        <w:t>实施期限：自签订合同之日起至202</w:t>
      </w:r>
      <w:r>
        <w:rPr>
          <w:rFonts w:hint="eastAsia" w:ascii="宋体" w:hAnsi="宋体"/>
          <w:bCs/>
          <w:color w:val="auto"/>
          <w:sz w:val="24"/>
          <w:lang w:val="en-US" w:eastAsia="zh-CN"/>
        </w:rPr>
        <w:t>6</w:t>
      </w:r>
      <w:r>
        <w:rPr>
          <w:rFonts w:hint="eastAsia" w:ascii="宋体" w:hAnsi="宋体"/>
          <w:bCs/>
          <w:color w:val="auto"/>
          <w:sz w:val="24"/>
        </w:rPr>
        <w:t>年12月31日或项目结算金额达到预算金额其中一项先到达为止。</w:t>
      </w:r>
    </w:p>
    <w:p w14:paraId="63C254A4">
      <w:pPr>
        <w:numPr>
          <w:ilvl w:val="0"/>
          <w:numId w:val="8"/>
        </w:numPr>
        <w:snapToGrid w:val="0"/>
        <w:spacing w:line="360" w:lineRule="auto"/>
        <w:ind w:firstLine="0"/>
        <w:textAlignment w:val="auto"/>
        <w:rPr>
          <w:rFonts w:ascii="宋体" w:hAnsi="宋体"/>
          <w:bCs/>
          <w:color w:val="auto"/>
          <w:sz w:val="24"/>
        </w:rPr>
      </w:pPr>
      <w:r>
        <w:rPr>
          <w:rFonts w:hint="eastAsia" w:ascii="宋体" w:hAnsi="宋体"/>
          <w:bCs/>
          <w:color w:val="auto"/>
          <w:sz w:val="24"/>
        </w:rPr>
        <w:t>本项目由采购人负责采购，由采购人的工会委员会（佛山出入境边防检查站工会委员会）与中标人签订合同，并由采购人的工会委员会履行合同及结算事宜。</w:t>
      </w:r>
    </w:p>
    <w:p w14:paraId="7CED0152">
      <w:pPr>
        <w:pStyle w:val="84"/>
        <w:numPr>
          <w:ilvl w:val="0"/>
          <w:numId w:val="7"/>
        </w:numPr>
        <w:autoSpaceDE w:val="0"/>
        <w:autoSpaceDN w:val="0"/>
        <w:snapToGrid w:val="0"/>
        <w:spacing w:line="360" w:lineRule="auto"/>
        <w:ind w:firstLine="0" w:firstLineChars="0"/>
        <w:jc w:val="left"/>
        <w:textAlignment w:val="auto"/>
        <w:outlineLvl w:val="1"/>
        <w:rPr>
          <w:rFonts w:ascii="宋体" w:hAnsi="宋体"/>
          <w:b/>
          <w:bCs/>
          <w:color w:val="auto"/>
          <w:sz w:val="24"/>
        </w:rPr>
      </w:pPr>
      <w:bookmarkStart w:id="24" w:name="_Toc24083"/>
      <w:r>
        <w:rPr>
          <w:rFonts w:hint="eastAsia" w:ascii="宋体" w:hAnsi="宋体"/>
          <w:b/>
          <w:bCs/>
          <w:color w:val="auto"/>
          <w:sz w:val="24"/>
        </w:rPr>
        <w:t>项目内容</w:t>
      </w:r>
      <w:bookmarkEnd w:id="24"/>
    </w:p>
    <w:p w14:paraId="036AD6B8">
      <w:pPr>
        <w:widowControl/>
        <w:snapToGrid w:val="0"/>
        <w:spacing w:line="360" w:lineRule="auto"/>
        <w:jc w:val="left"/>
        <w:rPr>
          <w:rFonts w:ascii="宋体" w:hAnsi="宋体"/>
          <w:color w:val="auto"/>
          <w:sz w:val="24"/>
        </w:rPr>
      </w:pPr>
      <w:r>
        <w:rPr>
          <w:rFonts w:hint="eastAsia" w:ascii="宋体" w:hAnsi="宋体"/>
          <w:sz w:val="24"/>
        </w:rPr>
        <w:t>1.采购方式：按表格所列节日进行采购。采购人单位工会根据产品清单指定采购套餐，职工根据工会提供的套餐在中标人针对本项目提供的专属福利电子采购平台选择套餐，中标人提供给职工选择套餐时间应不少于</w:t>
      </w:r>
      <w:r>
        <w:rPr>
          <w:rFonts w:ascii="宋体" w:hAnsi="宋体"/>
          <w:sz w:val="24"/>
        </w:rPr>
        <w:t>30</w:t>
      </w:r>
      <w:r>
        <w:rPr>
          <w:rFonts w:hint="eastAsia" w:ascii="宋体" w:hAnsi="宋体"/>
          <w:color w:val="auto"/>
          <w:sz w:val="24"/>
        </w:rPr>
        <w:t>日历日，下单成功后由中标人进行配送。</w:t>
      </w:r>
    </w:p>
    <w:tbl>
      <w:tblPr>
        <w:tblStyle w:val="39"/>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2268"/>
        <w:gridCol w:w="1671"/>
        <w:gridCol w:w="4357"/>
      </w:tblGrid>
      <w:tr w14:paraId="1B864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78E244B3">
            <w:pPr>
              <w:widowControl/>
              <w:snapToGrid w:val="0"/>
              <w:spacing w:line="240" w:lineRule="auto"/>
              <w:jc w:val="center"/>
              <w:rPr>
                <w:rFonts w:ascii="宋体" w:hAnsi="宋体"/>
                <w:color w:val="auto"/>
                <w:sz w:val="24"/>
              </w:rPr>
            </w:pPr>
            <w:r>
              <w:rPr>
                <w:rFonts w:hint="eastAsia" w:ascii="宋体" w:hAnsi="宋体"/>
                <w:color w:val="auto"/>
                <w:sz w:val="24"/>
              </w:rPr>
              <w:t>节日</w:t>
            </w:r>
          </w:p>
        </w:tc>
        <w:tc>
          <w:tcPr>
            <w:tcW w:w="2268" w:type="dxa"/>
            <w:tcBorders>
              <w:top w:val="single" w:color="auto" w:sz="4" w:space="0"/>
              <w:left w:val="single" w:color="auto" w:sz="4" w:space="0"/>
              <w:bottom w:val="single" w:color="auto" w:sz="4" w:space="0"/>
              <w:right w:val="single" w:color="auto" w:sz="4" w:space="0"/>
            </w:tcBorders>
            <w:vAlign w:val="center"/>
          </w:tcPr>
          <w:p w14:paraId="6AE302A1">
            <w:pPr>
              <w:widowControl/>
              <w:snapToGrid w:val="0"/>
              <w:spacing w:line="240" w:lineRule="auto"/>
              <w:jc w:val="center"/>
              <w:rPr>
                <w:rFonts w:ascii="宋体" w:hAnsi="宋体"/>
                <w:color w:val="auto"/>
                <w:sz w:val="24"/>
              </w:rPr>
            </w:pPr>
            <w:r>
              <w:rPr>
                <w:rFonts w:hint="eastAsia" w:ascii="宋体" w:hAnsi="宋体"/>
                <w:color w:val="auto"/>
                <w:sz w:val="24"/>
              </w:rPr>
              <w:t>人均额度安排（元/人）</w:t>
            </w:r>
          </w:p>
        </w:tc>
        <w:tc>
          <w:tcPr>
            <w:tcW w:w="1671" w:type="dxa"/>
            <w:tcBorders>
              <w:top w:val="single" w:color="auto" w:sz="4" w:space="0"/>
              <w:left w:val="single" w:color="auto" w:sz="4" w:space="0"/>
              <w:bottom w:val="single" w:color="auto" w:sz="4" w:space="0"/>
              <w:right w:val="single" w:color="auto" w:sz="4" w:space="0"/>
            </w:tcBorders>
            <w:vAlign w:val="center"/>
          </w:tcPr>
          <w:p w14:paraId="28C9A3A4">
            <w:pPr>
              <w:widowControl/>
              <w:snapToGrid w:val="0"/>
              <w:spacing w:line="240" w:lineRule="auto"/>
              <w:jc w:val="center"/>
              <w:rPr>
                <w:rFonts w:ascii="宋体" w:hAnsi="宋体"/>
                <w:color w:val="auto"/>
                <w:sz w:val="24"/>
              </w:rPr>
            </w:pPr>
            <w:r>
              <w:rPr>
                <w:rFonts w:hint="eastAsia" w:ascii="宋体" w:hAnsi="宋体"/>
                <w:color w:val="auto"/>
                <w:sz w:val="24"/>
              </w:rPr>
              <w:t>预计人数（人）</w:t>
            </w:r>
          </w:p>
        </w:tc>
        <w:tc>
          <w:tcPr>
            <w:tcW w:w="4357" w:type="dxa"/>
            <w:tcBorders>
              <w:top w:val="single" w:color="auto" w:sz="4" w:space="0"/>
              <w:left w:val="single" w:color="auto" w:sz="4" w:space="0"/>
              <w:bottom w:val="single" w:color="auto" w:sz="4" w:space="0"/>
              <w:right w:val="single" w:color="auto" w:sz="4" w:space="0"/>
            </w:tcBorders>
          </w:tcPr>
          <w:p w14:paraId="2B926CD1">
            <w:pPr>
              <w:widowControl/>
              <w:snapToGrid w:val="0"/>
              <w:spacing w:line="240" w:lineRule="auto"/>
              <w:jc w:val="center"/>
              <w:rPr>
                <w:rFonts w:ascii="宋体" w:hAnsi="宋体"/>
                <w:color w:val="auto"/>
                <w:sz w:val="24"/>
              </w:rPr>
            </w:pPr>
            <w:r>
              <w:rPr>
                <w:rFonts w:hint="eastAsia" w:ascii="宋体" w:hAnsi="宋体"/>
                <w:color w:val="auto"/>
                <w:sz w:val="24"/>
              </w:rPr>
              <w:t>参考内容</w:t>
            </w:r>
          </w:p>
        </w:tc>
      </w:tr>
      <w:tr w14:paraId="29BEF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358411A0">
            <w:pPr>
              <w:widowControl/>
              <w:snapToGrid w:val="0"/>
              <w:spacing w:line="240" w:lineRule="auto"/>
              <w:jc w:val="center"/>
              <w:rPr>
                <w:rFonts w:ascii="宋体" w:hAnsi="宋体"/>
                <w:color w:val="auto"/>
                <w:sz w:val="24"/>
              </w:rPr>
            </w:pPr>
            <w:r>
              <w:rPr>
                <w:rFonts w:hint="eastAsia" w:ascii="宋体" w:hAnsi="宋体"/>
                <w:color w:val="auto"/>
                <w:sz w:val="24"/>
              </w:rPr>
              <w:t>春节</w:t>
            </w:r>
          </w:p>
        </w:tc>
        <w:tc>
          <w:tcPr>
            <w:tcW w:w="2268" w:type="dxa"/>
            <w:tcBorders>
              <w:top w:val="single" w:color="auto" w:sz="4" w:space="0"/>
              <w:left w:val="single" w:color="auto" w:sz="4" w:space="0"/>
              <w:bottom w:val="single" w:color="auto" w:sz="4" w:space="0"/>
              <w:right w:val="single" w:color="auto" w:sz="4" w:space="0"/>
            </w:tcBorders>
            <w:vAlign w:val="center"/>
          </w:tcPr>
          <w:p w14:paraId="77970B0C">
            <w:pPr>
              <w:widowControl/>
              <w:snapToGrid w:val="0"/>
              <w:spacing w:line="240" w:lineRule="auto"/>
              <w:jc w:val="center"/>
              <w:rPr>
                <w:rFonts w:hint="default" w:ascii="宋体" w:hAnsi="宋体" w:eastAsia="宋体"/>
                <w:color w:val="auto"/>
                <w:sz w:val="24"/>
                <w:lang w:val="en-US" w:eastAsia="zh-CN"/>
              </w:rPr>
            </w:pPr>
            <w:r>
              <w:rPr>
                <w:rFonts w:hint="eastAsia" w:ascii="宋体" w:hAnsi="宋体"/>
                <w:color w:val="auto"/>
                <w:sz w:val="24"/>
                <w:lang w:val="en-US" w:eastAsia="zh-CN"/>
              </w:rPr>
              <w:t>1000</w:t>
            </w:r>
          </w:p>
        </w:tc>
        <w:tc>
          <w:tcPr>
            <w:tcW w:w="1671" w:type="dxa"/>
            <w:tcBorders>
              <w:top w:val="single" w:color="auto" w:sz="4" w:space="0"/>
              <w:left w:val="single" w:color="auto" w:sz="4" w:space="0"/>
              <w:bottom w:val="single" w:color="auto" w:sz="4" w:space="0"/>
              <w:right w:val="single" w:color="auto" w:sz="4" w:space="0"/>
            </w:tcBorders>
            <w:vAlign w:val="center"/>
          </w:tcPr>
          <w:p w14:paraId="1669DB74">
            <w:pPr>
              <w:widowControl/>
              <w:snapToGrid w:val="0"/>
              <w:spacing w:line="240" w:lineRule="auto"/>
              <w:jc w:val="center"/>
              <w:rPr>
                <w:rFonts w:ascii="宋体" w:hAnsi="宋体"/>
                <w:color w:val="auto"/>
                <w:sz w:val="24"/>
              </w:rPr>
            </w:pPr>
            <w:r>
              <w:rPr>
                <w:rFonts w:hint="eastAsia" w:ascii="宋体" w:hAnsi="宋体"/>
                <w:color w:val="auto"/>
                <w:sz w:val="24"/>
                <w:lang w:val="en-US" w:eastAsia="zh-CN"/>
              </w:rPr>
              <w:t>23</w:t>
            </w:r>
            <w:r>
              <w:rPr>
                <w:rFonts w:hint="eastAsia" w:ascii="宋体" w:hAnsi="宋体"/>
                <w:color w:val="auto"/>
                <w:sz w:val="24"/>
              </w:rPr>
              <w:t>0</w:t>
            </w:r>
          </w:p>
        </w:tc>
        <w:tc>
          <w:tcPr>
            <w:tcW w:w="4357" w:type="dxa"/>
            <w:tcBorders>
              <w:top w:val="single" w:color="auto" w:sz="4" w:space="0"/>
              <w:left w:val="single" w:color="auto" w:sz="4" w:space="0"/>
              <w:bottom w:val="single" w:color="auto" w:sz="4" w:space="0"/>
              <w:right w:val="single" w:color="auto" w:sz="4" w:space="0"/>
            </w:tcBorders>
          </w:tcPr>
          <w:p w14:paraId="5EB7D21A">
            <w:pPr>
              <w:widowControl/>
              <w:snapToGrid w:val="0"/>
              <w:spacing w:line="240" w:lineRule="auto"/>
              <w:jc w:val="left"/>
              <w:rPr>
                <w:rFonts w:ascii="宋体" w:hAnsi="宋体"/>
                <w:color w:val="auto"/>
                <w:sz w:val="24"/>
              </w:rPr>
            </w:pPr>
            <w:r>
              <w:rPr>
                <w:rFonts w:hint="eastAsia" w:ascii="宋体" w:hAnsi="宋体"/>
                <w:color w:val="auto"/>
                <w:sz w:val="24"/>
              </w:rPr>
              <w:t>米、面、油、肉、蛋、奶、水果、干果等节日用品和生活必需品。</w:t>
            </w:r>
          </w:p>
        </w:tc>
      </w:tr>
      <w:tr w14:paraId="7C79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42396DA5">
            <w:pPr>
              <w:widowControl/>
              <w:snapToGrid w:val="0"/>
              <w:spacing w:line="240" w:lineRule="auto"/>
              <w:jc w:val="center"/>
              <w:rPr>
                <w:rFonts w:ascii="宋体" w:hAnsi="宋体"/>
                <w:color w:val="auto"/>
                <w:sz w:val="24"/>
              </w:rPr>
            </w:pPr>
            <w:r>
              <w:rPr>
                <w:rFonts w:hint="eastAsia" w:ascii="宋体" w:hAnsi="宋体"/>
                <w:color w:val="auto"/>
                <w:sz w:val="24"/>
              </w:rPr>
              <w:t>端午节</w:t>
            </w:r>
          </w:p>
        </w:tc>
        <w:tc>
          <w:tcPr>
            <w:tcW w:w="2268" w:type="dxa"/>
            <w:tcBorders>
              <w:top w:val="single" w:color="auto" w:sz="4" w:space="0"/>
              <w:left w:val="single" w:color="auto" w:sz="4" w:space="0"/>
              <w:bottom w:val="single" w:color="auto" w:sz="4" w:space="0"/>
              <w:right w:val="single" w:color="auto" w:sz="4" w:space="0"/>
            </w:tcBorders>
            <w:vAlign w:val="center"/>
          </w:tcPr>
          <w:p w14:paraId="0CCCD11D">
            <w:pPr>
              <w:widowControl/>
              <w:snapToGrid w:val="0"/>
              <w:spacing w:line="240" w:lineRule="auto"/>
              <w:jc w:val="center"/>
              <w:rPr>
                <w:rFonts w:ascii="宋体" w:hAnsi="宋体"/>
                <w:color w:val="auto"/>
                <w:sz w:val="24"/>
              </w:rPr>
            </w:pPr>
            <w:r>
              <w:rPr>
                <w:rFonts w:hint="eastAsia" w:ascii="宋体" w:hAnsi="宋体"/>
                <w:color w:val="auto"/>
                <w:sz w:val="24"/>
              </w:rPr>
              <w:t>500</w:t>
            </w:r>
          </w:p>
        </w:tc>
        <w:tc>
          <w:tcPr>
            <w:tcW w:w="1671" w:type="dxa"/>
            <w:tcBorders>
              <w:top w:val="single" w:color="auto" w:sz="4" w:space="0"/>
              <w:left w:val="single" w:color="auto" w:sz="4" w:space="0"/>
              <w:bottom w:val="single" w:color="auto" w:sz="4" w:space="0"/>
              <w:right w:val="single" w:color="auto" w:sz="4" w:space="0"/>
            </w:tcBorders>
            <w:vAlign w:val="center"/>
          </w:tcPr>
          <w:p w14:paraId="75159C44">
            <w:pPr>
              <w:widowControl/>
              <w:snapToGrid w:val="0"/>
              <w:spacing w:line="240" w:lineRule="auto"/>
              <w:jc w:val="center"/>
              <w:rPr>
                <w:rFonts w:ascii="宋体" w:hAnsi="宋体"/>
                <w:color w:val="auto"/>
                <w:sz w:val="24"/>
              </w:rPr>
            </w:pPr>
            <w:r>
              <w:rPr>
                <w:rFonts w:hint="eastAsia" w:ascii="宋体" w:hAnsi="宋体"/>
                <w:color w:val="auto"/>
                <w:sz w:val="24"/>
              </w:rPr>
              <w:t>2</w:t>
            </w:r>
            <w:r>
              <w:rPr>
                <w:rFonts w:hint="eastAsia" w:ascii="宋体" w:hAnsi="宋体"/>
                <w:color w:val="auto"/>
                <w:sz w:val="24"/>
                <w:lang w:val="en-US" w:eastAsia="zh-CN"/>
              </w:rPr>
              <w:t>3</w:t>
            </w:r>
            <w:r>
              <w:rPr>
                <w:rFonts w:hint="eastAsia" w:ascii="宋体" w:hAnsi="宋体"/>
                <w:color w:val="auto"/>
                <w:sz w:val="24"/>
              </w:rPr>
              <w:t>0</w:t>
            </w:r>
          </w:p>
        </w:tc>
        <w:tc>
          <w:tcPr>
            <w:tcW w:w="4357" w:type="dxa"/>
            <w:tcBorders>
              <w:top w:val="single" w:color="auto" w:sz="4" w:space="0"/>
              <w:left w:val="single" w:color="auto" w:sz="4" w:space="0"/>
              <w:bottom w:val="single" w:color="auto" w:sz="4" w:space="0"/>
              <w:right w:val="single" w:color="auto" w:sz="4" w:space="0"/>
            </w:tcBorders>
          </w:tcPr>
          <w:p w14:paraId="3569AF8C">
            <w:pPr>
              <w:widowControl/>
              <w:snapToGrid w:val="0"/>
              <w:spacing w:line="240" w:lineRule="auto"/>
              <w:jc w:val="left"/>
              <w:rPr>
                <w:rFonts w:ascii="宋体" w:hAnsi="宋体"/>
                <w:color w:val="auto"/>
                <w:sz w:val="24"/>
              </w:rPr>
            </w:pPr>
            <w:r>
              <w:rPr>
                <w:rFonts w:hint="eastAsia" w:ascii="宋体" w:hAnsi="宋体"/>
                <w:color w:val="auto"/>
                <w:sz w:val="24"/>
              </w:rPr>
              <w:t>粽子、米、面、油、肉、蛋、奶、水果、干果等节日用品和生活必需品。</w:t>
            </w:r>
          </w:p>
        </w:tc>
      </w:tr>
      <w:tr w14:paraId="4A65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53A5BA5D">
            <w:pPr>
              <w:widowControl/>
              <w:snapToGrid w:val="0"/>
              <w:spacing w:line="240" w:lineRule="auto"/>
              <w:jc w:val="center"/>
              <w:rPr>
                <w:rFonts w:ascii="宋体" w:hAnsi="宋体"/>
                <w:color w:val="auto"/>
                <w:sz w:val="24"/>
              </w:rPr>
            </w:pPr>
            <w:r>
              <w:rPr>
                <w:rFonts w:hint="eastAsia" w:ascii="宋体" w:hAnsi="宋体"/>
                <w:color w:val="auto"/>
                <w:sz w:val="24"/>
              </w:rPr>
              <w:t>五一劳动节</w:t>
            </w:r>
          </w:p>
        </w:tc>
        <w:tc>
          <w:tcPr>
            <w:tcW w:w="2268" w:type="dxa"/>
            <w:tcBorders>
              <w:top w:val="single" w:color="auto" w:sz="4" w:space="0"/>
              <w:left w:val="single" w:color="auto" w:sz="4" w:space="0"/>
              <w:bottom w:val="single" w:color="auto" w:sz="4" w:space="0"/>
              <w:right w:val="single" w:color="auto" w:sz="4" w:space="0"/>
            </w:tcBorders>
            <w:vAlign w:val="center"/>
          </w:tcPr>
          <w:p w14:paraId="20F7B9A3">
            <w:pPr>
              <w:widowControl/>
              <w:snapToGrid w:val="0"/>
              <w:spacing w:line="240" w:lineRule="auto"/>
              <w:jc w:val="center"/>
              <w:rPr>
                <w:rFonts w:ascii="宋体" w:hAnsi="宋体"/>
                <w:color w:val="auto"/>
                <w:sz w:val="24"/>
              </w:rPr>
            </w:pPr>
            <w:r>
              <w:rPr>
                <w:rFonts w:hint="eastAsia" w:ascii="宋体" w:hAnsi="宋体"/>
                <w:color w:val="auto"/>
                <w:sz w:val="24"/>
              </w:rPr>
              <w:t>500</w:t>
            </w:r>
          </w:p>
        </w:tc>
        <w:tc>
          <w:tcPr>
            <w:tcW w:w="1671" w:type="dxa"/>
            <w:tcBorders>
              <w:top w:val="single" w:color="auto" w:sz="4" w:space="0"/>
              <w:left w:val="single" w:color="auto" w:sz="4" w:space="0"/>
              <w:bottom w:val="single" w:color="auto" w:sz="4" w:space="0"/>
              <w:right w:val="single" w:color="auto" w:sz="4" w:space="0"/>
            </w:tcBorders>
            <w:vAlign w:val="center"/>
          </w:tcPr>
          <w:p w14:paraId="66C87E29">
            <w:pPr>
              <w:widowControl/>
              <w:snapToGrid w:val="0"/>
              <w:spacing w:line="240" w:lineRule="auto"/>
              <w:jc w:val="center"/>
              <w:rPr>
                <w:rFonts w:ascii="宋体" w:hAnsi="宋体"/>
                <w:color w:val="auto"/>
                <w:sz w:val="24"/>
              </w:rPr>
            </w:pPr>
            <w:r>
              <w:rPr>
                <w:rFonts w:hint="eastAsia" w:ascii="宋体" w:hAnsi="宋体"/>
                <w:color w:val="auto"/>
                <w:sz w:val="24"/>
              </w:rPr>
              <w:t>2</w:t>
            </w:r>
            <w:r>
              <w:rPr>
                <w:rFonts w:hint="eastAsia" w:ascii="宋体" w:hAnsi="宋体"/>
                <w:color w:val="auto"/>
                <w:sz w:val="24"/>
                <w:lang w:val="en-US" w:eastAsia="zh-CN"/>
              </w:rPr>
              <w:t>3</w:t>
            </w:r>
            <w:r>
              <w:rPr>
                <w:rFonts w:hint="eastAsia" w:ascii="宋体" w:hAnsi="宋体"/>
                <w:color w:val="auto"/>
                <w:sz w:val="24"/>
              </w:rPr>
              <w:t>0</w:t>
            </w:r>
          </w:p>
        </w:tc>
        <w:tc>
          <w:tcPr>
            <w:tcW w:w="4357" w:type="dxa"/>
            <w:tcBorders>
              <w:top w:val="single" w:color="auto" w:sz="4" w:space="0"/>
              <w:left w:val="single" w:color="auto" w:sz="4" w:space="0"/>
              <w:bottom w:val="single" w:color="auto" w:sz="4" w:space="0"/>
              <w:right w:val="single" w:color="auto" w:sz="4" w:space="0"/>
            </w:tcBorders>
            <w:vAlign w:val="center"/>
          </w:tcPr>
          <w:p w14:paraId="5510FB80">
            <w:pPr>
              <w:widowControl/>
              <w:snapToGrid w:val="0"/>
              <w:spacing w:line="240" w:lineRule="auto"/>
              <w:jc w:val="left"/>
              <w:rPr>
                <w:rFonts w:ascii="宋体" w:hAnsi="宋体"/>
                <w:color w:val="auto"/>
                <w:sz w:val="24"/>
              </w:rPr>
            </w:pPr>
            <w:r>
              <w:rPr>
                <w:rFonts w:hint="eastAsia" w:ascii="宋体" w:hAnsi="宋体"/>
                <w:color w:val="auto"/>
                <w:sz w:val="24"/>
              </w:rPr>
              <w:t>米、面、油、肉、蛋、奶、水果、干果等节日用品和生活必需品。</w:t>
            </w:r>
          </w:p>
        </w:tc>
      </w:tr>
      <w:tr w14:paraId="0A9B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18846EF6">
            <w:pPr>
              <w:widowControl/>
              <w:snapToGrid w:val="0"/>
              <w:spacing w:line="240" w:lineRule="auto"/>
              <w:jc w:val="center"/>
              <w:rPr>
                <w:rFonts w:ascii="宋体" w:hAnsi="宋体"/>
                <w:color w:val="auto"/>
                <w:sz w:val="24"/>
              </w:rPr>
            </w:pPr>
            <w:r>
              <w:rPr>
                <w:rFonts w:hint="eastAsia" w:ascii="宋体" w:hAnsi="宋体"/>
                <w:color w:val="auto"/>
                <w:sz w:val="24"/>
              </w:rPr>
              <w:t>中秋节</w:t>
            </w:r>
          </w:p>
        </w:tc>
        <w:tc>
          <w:tcPr>
            <w:tcW w:w="2268" w:type="dxa"/>
            <w:tcBorders>
              <w:top w:val="single" w:color="auto" w:sz="4" w:space="0"/>
              <w:left w:val="single" w:color="auto" w:sz="4" w:space="0"/>
              <w:bottom w:val="single" w:color="auto" w:sz="4" w:space="0"/>
              <w:right w:val="single" w:color="auto" w:sz="4" w:space="0"/>
            </w:tcBorders>
            <w:vAlign w:val="center"/>
          </w:tcPr>
          <w:p w14:paraId="7DFEC6F2">
            <w:pPr>
              <w:widowControl/>
              <w:snapToGrid w:val="0"/>
              <w:spacing w:line="240" w:lineRule="auto"/>
              <w:jc w:val="center"/>
              <w:rPr>
                <w:rFonts w:hint="default" w:ascii="宋体" w:hAnsi="宋体" w:eastAsia="宋体"/>
                <w:color w:val="auto"/>
                <w:sz w:val="24"/>
                <w:lang w:val="en-US" w:eastAsia="zh-CN"/>
              </w:rPr>
            </w:pPr>
            <w:r>
              <w:rPr>
                <w:rFonts w:hint="eastAsia" w:ascii="宋体" w:hAnsi="宋体"/>
                <w:color w:val="auto"/>
                <w:sz w:val="24"/>
                <w:lang w:val="en-US" w:eastAsia="zh-CN"/>
              </w:rPr>
              <w:t>1000</w:t>
            </w:r>
          </w:p>
        </w:tc>
        <w:tc>
          <w:tcPr>
            <w:tcW w:w="1671" w:type="dxa"/>
            <w:tcBorders>
              <w:top w:val="single" w:color="auto" w:sz="4" w:space="0"/>
              <w:left w:val="single" w:color="auto" w:sz="4" w:space="0"/>
              <w:bottom w:val="single" w:color="auto" w:sz="4" w:space="0"/>
              <w:right w:val="single" w:color="auto" w:sz="4" w:space="0"/>
            </w:tcBorders>
            <w:vAlign w:val="center"/>
          </w:tcPr>
          <w:p w14:paraId="2F4EE148">
            <w:pPr>
              <w:widowControl/>
              <w:snapToGrid w:val="0"/>
              <w:spacing w:line="240" w:lineRule="auto"/>
              <w:jc w:val="center"/>
              <w:rPr>
                <w:rFonts w:ascii="宋体" w:hAnsi="宋体"/>
                <w:color w:val="auto"/>
                <w:sz w:val="24"/>
              </w:rPr>
            </w:pPr>
            <w:r>
              <w:rPr>
                <w:rFonts w:hint="eastAsia" w:ascii="宋体" w:hAnsi="宋体"/>
                <w:color w:val="auto"/>
                <w:sz w:val="24"/>
              </w:rPr>
              <w:t>2</w:t>
            </w:r>
            <w:r>
              <w:rPr>
                <w:rFonts w:hint="eastAsia" w:ascii="宋体" w:hAnsi="宋体"/>
                <w:color w:val="auto"/>
                <w:sz w:val="24"/>
                <w:lang w:val="en-US" w:eastAsia="zh-CN"/>
              </w:rPr>
              <w:t>3</w:t>
            </w:r>
            <w:r>
              <w:rPr>
                <w:rFonts w:hint="eastAsia" w:ascii="宋体" w:hAnsi="宋体"/>
                <w:color w:val="auto"/>
                <w:sz w:val="24"/>
              </w:rPr>
              <w:t>0</w:t>
            </w:r>
          </w:p>
        </w:tc>
        <w:tc>
          <w:tcPr>
            <w:tcW w:w="4357" w:type="dxa"/>
            <w:tcBorders>
              <w:top w:val="single" w:color="auto" w:sz="4" w:space="0"/>
              <w:left w:val="single" w:color="auto" w:sz="4" w:space="0"/>
              <w:bottom w:val="single" w:color="auto" w:sz="4" w:space="0"/>
              <w:right w:val="single" w:color="auto" w:sz="4" w:space="0"/>
            </w:tcBorders>
          </w:tcPr>
          <w:p w14:paraId="17094ACD">
            <w:pPr>
              <w:widowControl/>
              <w:snapToGrid w:val="0"/>
              <w:spacing w:line="240" w:lineRule="auto"/>
              <w:jc w:val="left"/>
              <w:rPr>
                <w:rFonts w:ascii="宋体" w:hAnsi="宋体"/>
                <w:color w:val="auto"/>
                <w:sz w:val="24"/>
              </w:rPr>
            </w:pPr>
            <w:r>
              <w:rPr>
                <w:rFonts w:hint="eastAsia" w:ascii="宋体" w:hAnsi="宋体"/>
                <w:color w:val="auto"/>
                <w:sz w:val="24"/>
              </w:rPr>
              <w:t>月饼、米、面、油、肉、蛋、奶、水果、干果等节日用品和生活必需品。</w:t>
            </w:r>
          </w:p>
        </w:tc>
      </w:tr>
    </w:tbl>
    <w:p w14:paraId="74CC8A65">
      <w:pPr>
        <w:widowControl/>
        <w:snapToGrid w:val="0"/>
        <w:spacing w:line="360" w:lineRule="auto"/>
        <w:jc w:val="left"/>
        <w:rPr>
          <w:rFonts w:ascii="宋体" w:hAnsi="宋体"/>
          <w:color w:val="auto"/>
          <w:sz w:val="24"/>
        </w:rPr>
      </w:pPr>
      <w:r>
        <w:rPr>
          <w:rFonts w:hint="eastAsia" w:ascii="宋体" w:hAnsi="宋体"/>
          <w:color w:val="auto"/>
          <w:sz w:val="24"/>
        </w:rPr>
        <w:t>2.采购标准及计划安排（具体购买以实际为准）</w:t>
      </w:r>
    </w:p>
    <w:p w14:paraId="033CB6D6">
      <w:pPr>
        <w:widowControl/>
        <w:snapToGrid w:val="0"/>
        <w:spacing w:line="360" w:lineRule="auto"/>
        <w:jc w:val="left"/>
        <w:rPr>
          <w:rFonts w:ascii="宋体" w:hAnsi="宋体"/>
          <w:color w:val="auto"/>
          <w:sz w:val="24"/>
        </w:rPr>
      </w:pPr>
      <w:r>
        <w:rPr>
          <w:rFonts w:hint="eastAsia" w:ascii="宋体" w:hAnsi="宋体"/>
          <w:color w:val="auto"/>
          <w:sz w:val="24"/>
        </w:rPr>
        <w:t xml:space="preserve">（三）采购具体内容及要求 </w:t>
      </w:r>
    </w:p>
    <w:p w14:paraId="42020E74">
      <w:pPr>
        <w:widowControl/>
        <w:snapToGrid w:val="0"/>
        <w:spacing w:line="360" w:lineRule="auto"/>
        <w:jc w:val="left"/>
        <w:rPr>
          <w:rFonts w:ascii="宋体" w:hAnsi="宋体"/>
          <w:color w:val="auto"/>
          <w:sz w:val="24"/>
        </w:rPr>
      </w:pPr>
      <w:r>
        <w:rPr>
          <w:rFonts w:hint="eastAsia" w:ascii="宋体" w:hAnsi="宋体"/>
          <w:color w:val="auto"/>
          <w:sz w:val="24"/>
        </w:rPr>
        <w:t>1.专属福利电子采购平台产品清单：专属福利电子采购平台产品清单中标人自主选择提供的商品（提供选择的商品不得少于</w:t>
      </w:r>
      <w:r>
        <w:rPr>
          <w:rFonts w:hint="eastAsia" w:ascii="宋体" w:hAnsi="宋体"/>
          <w:color w:val="auto"/>
          <w:sz w:val="24"/>
          <w:lang w:val="en-US" w:eastAsia="zh-CN"/>
        </w:rPr>
        <w:t>3</w:t>
      </w:r>
      <w:r>
        <w:rPr>
          <w:rFonts w:hint="eastAsia" w:ascii="宋体" w:hAnsi="宋体"/>
          <w:color w:val="auto"/>
          <w:sz w:val="24"/>
        </w:rPr>
        <w:t>00个）：</w:t>
      </w:r>
    </w:p>
    <w:p w14:paraId="35BAF0BD">
      <w:pPr>
        <w:widowControl/>
        <w:snapToGrid w:val="0"/>
        <w:spacing w:line="360" w:lineRule="auto"/>
        <w:jc w:val="left"/>
        <w:rPr>
          <w:rFonts w:ascii="宋体" w:hAnsi="宋体"/>
          <w:sz w:val="24"/>
        </w:rPr>
      </w:pPr>
      <w:r>
        <w:rPr>
          <w:rFonts w:hint="eastAsia" w:ascii="宋体" w:hAnsi="宋体"/>
          <w:sz w:val="24"/>
        </w:rPr>
        <w:t xml:space="preserve">（1）应节食品：粽子、月饼等；  </w:t>
      </w:r>
    </w:p>
    <w:p w14:paraId="6DE57C3F">
      <w:pPr>
        <w:widowControl/>
        <w:snapToGrid w:val="0"/>
        <w:spacing w:line="360" w:lineRule="auto"/>
        <w:jc w:val="left"/>
        <w:rPr>
          <w:rFonts w:ascii="宋体" w:hAnsi="宋体"/>
          <w:sz w:val="24"/>
        </w:rPr>
      </w:pPr>
      <w:r>
        <w:rPr>
          <w:rFonts w:hint="eastAsia" w:ascii="宋体" w:hAnsi="宋体"/>
          <w:sz w:val="24"/>
        </w:rPr>
        <w:t>（2）粮油：米、面、杂粮、食用油等；</w:t>
      </w:r>
    </w:p>
    <w:p w14:paraId="1F490196">
      <w:pPr>
        <w:widowControl/>
        <w:snapToGrid w:val="0"/>
        <w:spacing w:line="360" w:lineRule="auto"/>
        <w:jc w:val="left"/>
        <w:rPr>
          <w:rFonts w:ascii="宋体" w:hAnsi="宋体"/>
          <w:sz w:val="24"/>
        </w:rPr>
      </w:pPr>
      <w:r>
        <w:rPr>
          <w:rFonts w:hint="eastAsia" w:ascii="宋体" w:hAnsi="宋体"/>
          <w:sz w:val="24"/>
        </w:rPr>
        <w:t>（3）干货：干菜、干菌菇、银耳、木耳等；</w:t>
      </w:r>
    </w:p>
    <w:p w14:paraId="48AAD656">
      <w:pPr>
        <w:widowControl/>
        <w:snapToGrid w:val="0"/>
        <w:spacing w:line="360" w:lineRule="auto"/>
        <w:jc w:val="left"/>
        <w:rPr>
          <w:rFonts w:ascii="宋体" w:hAnsi="宋体"/>
          <w:sz w:val="24"/>
        </w:rPr>
      </w:pPr>
      <w:r>
        <w:rPr>
          <w:rFonts w:hint="eastAsia" w:ascii="宋体" w:hAnsi="宋体"/>
          <w:sz w:val="24"/>
        </w:rPr>
        <w:t>（4）零食：坚果果干、糕点饼干、糖果巧克力、休闲零食等；</w:t>
      </w:r>
    </w:p>
    <w:p w14:paraId="44C78FC2">
      <w:pPr>
        <w:widowControl/>
        <w:snapToGrid w:val="0"/>
        <w:spacing w:line="360" w:lineRule="auto"/>
        <w:jc w:val="left"/>
        <w:rPr>
          <w:rFonts w:ascii="宋体" w:hAnsi="宋体"/>
          <w:sz w:val="24"/>
        </w:rPr>
      </w:pPr>
      <w:r>
        <w:rPr>
          <w:rFonts w:hint="eastAsia" w:ascii="宋体" w:hAnsi="宋体"/>
          <w:sz w:val="24"/>
        </w:rPr>
        <w:t xml:space="preserve">（5）乳制品：酸奶、其他乳制品等； </w:t>
      </w:r>
    </w:p>
    <w:p w14:paraId="12184140">
      <w:pPr>
        <w:widowControl/>
        <w:snapToGrid w:val="0"/>
        <w:spacing w:line="360" w:lineRule="auto"/>
        <w:jc w:val="left"/>
        <w:rPr>
          <w:rFonts w:ascii="宋体" w:hAnsi="宋体"/>
          <w:sz w:val="24"/>
        </w:rPr>
      </w:pPr>
      <w:r>
        <w:rPr>
          <w:rFonts w:hint="eastAsia" w:ascii="宋体" w:hAnsi="宋体"/>
          <w:sz w:val="24"/>
        </w:rPr>
        <w:t xml:space="preserve">（6）日用品：洗护发、身体护理、牙膏、牙刷、洗洁精、纸巾、毛巾、衣物洗护等； </w:t>
      </w:r>
    </w:p>
    <w:p w14:paraId="3636A42C">
      <w:pPr>
        <w:widowControl/>
        <w:snapToGrid w:val="0"/>
        <w:spacing w:line="360" w:lineRule="auto"/>
        <w:jc w:val="left"/>
        <w:rPr>
          <w:rFonts w:ascii="宋体" w:hAnsi="宋体"/>
          <w:sz w:val="24"/>
        </w:rPr>
      </w:pPr>
      <w:r>
        <w:rPr>
          <w:rFonts w:hint="eastAsia" w:ascii="宋体" w:hAnsi="宋体"/>
          <w:sz w:val="24"/>
        </w:rPr>
        <w:t>（7）生鲜商品：牛排、低温酸奶、鲜牛奶、水果等；</w:t>
      </w:r>
    </w:p>
    <w:p w14:paraId="706B1D6E">
      <w:pPr>
        <w:widowControl/>
        <w:snapToGrid w:val="0"/>
        <w:spacing w:line="360" w:lineRule="auto"/>
        <w:jc w:val="left"/>
        <w:rPr>
          <w:rFonts w:ascii="宋体" w:hAnsi="宋体"/>
          <w:sz w:val="24"/>
        </w:rPr>
      </w:pPr>
      <w:r>
        <w:rPr>
          <w:rFonts w:hint="eastAsia" w:ascii="宋体" w:hAnsi="宋体"/>
          <w:sz w:val="24"/>
        </w:rPr>
        <w:t xml:space="preserve">（8）其他中标人提供的商品。 </w:t>
      </w:r>
    </w:p>
    <w:p w14:paraId="12C16B0D">
      <w:pPr>
        <w:widowControl/>
        <w:snapToGrid w:val="0"/>
        <w:spacing w:line="360" w:lineRule="auto"/>
        <w:jc w:val="left"/>
        <w:rPr>
          <w:rFonts w:ascii="宋体" w:hAnsi="宋体"/>
          <w:sz w:val="24"/>
        </w:rPr>
      </w:pPr>
      <w:r>
        <w:rPr>
          <w:rFonts w:hint="eastAsia" w:ascii="宋体" w:hAnsi="宋体"/>
          <w:sz w:val="24"/>
        </w:rPr>
        <w:t xml:space="preserve">备注：自主选择提供商品组不限于应节产品、食品、生活日用品等范围产品，由中标人自主选择提供，以上清单只做参考。 </w:t>
      </w:r>
    </w:p>
    <w:p w14:paraId="3608764C">
      <w:pPr>
        <w:widowControl/>
        <w:numPr>
          <w:ilvl w:val="0"/>
          <w:numId w:val="9"/>
        </w:numPr>
        <w:snapToGrid w:val="0"/>
        <w:spacing w:line="360" w:lineRule="auto"/>
        <w:jc w:val="left"/>
        <w:textAlignment w:val="auto"/>
        <w:rPr>
          <w:rFonts w:ascii="宋体" w:hAnsi="宋体"/>
          <w:b/>
          <w:bCs/>
          <w:sz w:val="24"/>
        </w:rPr>
      </w:pPr>
      <w:r>
        <w:rPr>
          <w:rFonts w:hint="eastAsia" w:ascii="宋体" w:hAnsi="宋体"/>
          <w:b/>
          <w:bCs/>
          <w:sz w:val="24"/>
        </w:rPr>
        <w:t>中标人服务要求</w:t>
      </w:r>
    </w:p>
    <w:p w14:paraId="02E5D007">
      <w:pPr>
        <w:snapToGrid w:val="0"/>
        <w:spacing w:line="360" w:lineRule="auto"/>
        <w:jc w:val="left"/>
        <w:rPr>
          <w:rFonts w:ascii="宋体" w:hAnsi="宋体"/>
          <w:sz w:val="24"/>
        </w:rPr>
      </w:pPr>
      <w:r>
        <w:rPr>
          <w:rFonts w:hint="eastAsia" w:ascii="宋体" w:hAnsi="宋体"/>
          <w:sz w:val="24"/>
        </w:rPr>
        <w:t xml:space="preserve"> ★1.投标人须在投标时提供本项目专属福利电子采购平台产品清单列表，并承诺所提供的产品价格不高于该产品在京东自营旗舰店、淘宝天猫超市网上平台及中标人社会公开电商平台在售的价格，供货期内货品价格无法按上述实施，中标人应提供市场参考价或其他报价作为价格参考依据，最终由采购人与中标人协商确定。</w:t>
      </w:r>
      <w:r>
        <w:rPr>
          <w:rFonts w:hint="eastAsia" w:ascii="宋体" w:hAnsi="宋体"/>
          <w:b/>
          <w:bCs/>
          <w:sz w:val="24"/>
        </w:rPr>
        <w:t>（提供承诺函）</w:t>
      </w:r>
      <w:r>
        <w:rPr>
          <w:rFonts w:hint="eastAsia" w:ascii="宋体" w:hAnsi="宋体"/>
          <w:sz w:val="24"/>
        </w:rPr>
        <w:t xml:space="preserve">。 </w:t>
      </w:r>
    </w:p>
    <w:p w14:paraId="2439EB82">
      <w:pPr>
        <w:snapToGrid w:val="0"/>
        <w:spacing w:line="360" w:lineRule="auto"/>
        <w:jc w:val="left"/>
        <w:rPr>
          <w:rFonts w:ascii="宋体" w:hAnsi="宋体"/>
          <w:sz w:val="24"/>
        </w:rPr>
      </w:pPr>
      <w:r>
        <w:rPr>
          <w:rFonts w:hint="eastAsia" w:ascii="宋体" w:hAnsi="宋体"/>
          <w:sz w:val="24"/>
        </w:rPr>
        <w:t xml:space="preserve">2.采购人可根据不同节日的实际情况，要求中标人适当调整专属平台产品清单，以满足不同节日的不同慰问品需求。 </w:t>
      </w:r>
    </w:p>
    <w:p w14:paraId="4CB9D945">
      <w:pPr>
        <w:snapToGrid w:val="0"/>
        <w:spacing w:line="360" w:lineRule="auto"/>
        <w:jc w:val="left"/>
        <w:rPr>
          <w:rFonts w:ascii="宋体" w:hAnsi="宋体"/>
          <w:sz w:val="24"/>
        </w:rPr>
      </w:pPr>
      <w:r>
        <w:rPr>
          <w:rFonts w:hint="eastAsia" w:ascii="宋体" w:hAnsi="宋体"/>
          <w:sz w:val="24"/>
        </w:rPr>
        <w:t>3.中标人需要有自有仓库，仓储条件完善，能够很好的保证生鲜类、冻品、常温品等不同温区商品的存储及冷链配送需求</w:t>
      </w:r>
      <w:r>
        <w:rPr>
          <w:rFonts w:hint="eastAsia" w:ascii="宋体" w:hAnsi="宋体"/>
          <w:b/>
          <w:bCs/>
          <w:sz w:val="24"/>
        </w:rPr>
        <w:t>（投标时须提供相关介绍文件/图片，租赁合同等证明材料）</w:t>
      </w:r>
      <w:r>
        <w:rPr>
          <w:rFonts w:hint="eastAsia" w:ascii="宋体" w:hAnsi="宋体"/>
          <w:sz w:val="24"/>
        </w:rPr>
        <w:t xml:space="preserve"> </w:t>
      </w:r>
    </w:p>
    <w:p w14:paraId="1794DD0A">
      <w:pPr>
        <w:snapToGrid w:val="0"/>
        <w:spacing w:line="360" w:lineRule="auto"/>
        <w:jc w:val="left"/>
        <w:rPr>
          <w:rFonts w:ascii="宋体" w:hAnsi="宋体"/>
          <w:sz w:val="24"/>
        </w:rPr>
      </w:pPr>
      <w:r>
        <w:rPr>
          <w:rFonts w:hint="eastAsia" w:ascii="宋体" w:hAnsi="宋体"/>
          <w:sz w:val="24"/>
        </w:rPr>
        <w:t>★4.中标人须承诺提供的货物来源可追查，货物具有良好的周转渠道和充足的货物资源</w:t>
      </w:r>
      <w:r>
        <w:rPr>
          <w:rFonts w:hint="eastAsia" w:ascii="宋体" w:hAnsi="宋体"/>
          <w:b/>
          <w:bCs/>
          <w:sz w:val="24"/>
        </w:rPr>
        <w:t>。（提供承诺函）</w:t>
      </w:r>
      <w:r>
        <w:rPr>
          <w:rFonts w:hint="eastAsia" w:ascii="宋体" w:hAnsi="宋体"/>
          <w:sz w:val="24"/>
        </w:rPr>
        <w:t xml:space="preserve">。 </w:t>
      </w:r>
    </w:p>
    <w:p w14:paraId="43648F8C">
      <w:pPr>
        <w:widowControl/>
        <w:snapToGrid w:val="0"/>
        <w:spacing w:line="360" w:lineRule="auto"/>
        <w:jc w:val="left"/>
        <w:rPr>
          <w:rFonts w:ascii="宋体" w:hAnsi="宋体"/>
          <w:sz w:val="24"/>
        </w:rPr>
      </w:pPr>
      <w:r>
        <w:rPr>
          <w:rFonts w:hint="eastAsia" w:ascii="宋体" w:hAnsi="宋体"/>
          <w:sz w:val="24"/>
        </w:rPr>
        <w:t xml:space="preserve">5.专属福利电子采购平台服务要求： </w:t>
      </w:r>
    </w:p>
    <w:p w14:paraId="7DBCE91A">
      <w:pPr>
        <w:widowControl/>
        <w:numPr>
          <w:ilvl w:val="0"/>
          <w:numId w:val="10"/>
        </w:numPr>
        <w:snapToGrid w:val="0"/>
        <w:spacing w:line="360" w:lineRule="auto"/>
        <w:jc w:val="left"/>
        <w:textAlignment w:val="auto"/>
        <w:rPr>
          <w:rFonts w:ascii="宋体" w:hAnsi="宋体"/>
          <w:sz w:val="24"/>
        </w:rPr>
      </w:pPr>
      <w:r>
        <w:rPr>
          <w:rFonts w:hint="eastAsia" w:ascii="宋体" w:hAnsi="宋体"/>
          <w:sz w:val="24"/>
        </w:rPr>
        <w:t>中标人具有经营成熟的专属福利电子采购平台，根据本项目采购范围定制的有电脑PC端、手机APP、微信公众号等多种运营方式，提供线上签领服务。</w:t>
      </w:r>
    </w:p>
    <w:p w14:paraId="2F41E6B4">
      <w:pPr>
        <w:widowControl/>
        <w:numPr>
          <w:ilvl w:val="0"/>
          <w:numId w:val="10"/>
        </w:numPr>
        <w:snapToGrid w:val="0"/>
        <w:spacing w:line="360" w:lineRule="auto"/>
        <w:jc w:val="left"/>
        <w:textAlignment w:val="auto"/>
        <w:rPr>
          <w:rFonts w:ascii="宋体" w:hAnsi="宋体"/>
          <w:sz w:val="24"/>
        </w:rPr>
      </w:pPr>
      <w:r>
        <w:rPr>
          <w:rFonts w:hint="eastAsia" w:ascii="宋体" w:hAnsi="宋体"/>
          <w:sz w:val="24"/>
        </w:rPr>
        <w:t>经采购人工会确认，在每期采购计划下达后5个工作日内向采购人工会职工开放慰问套餐领取，职工在中标人平台通过自主选择慰问品套餐，完成下单，线上签字领取慰问套餐并通过系统生成签领凭证，职工可自行选择由中标人邮寄、配送至职工指定地点。</w:t>
      </w:r>
    </w:p>
    <w:p w14:paraId="20750584">
      <w:pPr>
        <w:widowControl/>
        <w:numPr>
          <w:ilvl w:val="0"/>
          <w:numId w:val="10"/>
        </w:numPr>
        <w:snapToGrid w:val="0"/>
        <w:spacing w:line="360" w:lineRule="auto"/>
        <w:jc w:val="left"/>
        <w:textAlignment w:val="auto"/>
        <w:rPr>
          <w:rFonts w:ascii="宋体" w:hAnsi="宋体"/>
          <w:sz w:val="24"/>
        </w:rPr>
      </w:pPr>
      <w:r>
        <w:rPr>
          <w:rFonts w:hint="eastAsia" w:ascii="宋体" w:hAnsi="宋体"/>
          <w:sz w:val="24"/>
        </w:rPr>
        <w:t>有完善的订单跟踪体系：从订单产生至收到慰问品，平台可查询订单配送状态。</w:t>
      </w:r>
    </w:p>
    <w:p w14:paraId="7078D666">
      <w:pPr>
        <w:widowControl/>
        <w:snapToGrid w:val="0"/>
        <w:spacing w:line="360" w:lineRule="auto"/>
        <w:jc w:val="left"/>
        <w:rPr>
          <w:rFonts w:ascii="宋体" w:hAnsi="宋体"/>
          <w:sz w:val="24"/>
        </w:rPr>
      </w:pPr>
      <w:r>
        <w:rPr>
          <w:rFonts w:hint="eastAsia" w:ascii="宋体" w:hAnsi="宋体"/>
          <w:sz w:val="24"/>
        </w:rPr>
        <w:t xml:space="preserve"> 6.配送要求： </w:t>
      </w:r>
    </w:p>
    <w:p w14:paraId="315C492D">
      <w:pPr>
        <w:widowControl/>
        <w:numPr>
          <w:ilvl w:val="0"/>
          <w:numId w:val="11"/>
        </w:numPr>
        <w:snapToGrid w:val="0"/>
        <w:spacing w:line="360" w:lineRule="auto"/>
        <w:jc w:val="left"/>
        <w:textAlignment w:val="auto"/>
        <w:rPr>
          <w:rFonts w:ascii="宋体" w:hAnsi="宋体"/>
          <w:sz w:val="24"/>
        </w:rPr>
      </w:pPr>
      <w:r>
        <w:rPr>
          <w:rFonts w:hint="eastAsia" w:ascii="宋体" w:hAnsi="宋体"/>
          <w:sz w:val="24"/>
        </w:rPr>
        <w:t xml:space="preserve">须具有自主完善的物流配送体系：中标人自有物流配送或委托第三方能够承担平台所提供所有商品全国范围内的配送，支持冷链物流，配送费用由中标人承担。 </w:t>
      </w:r>
    </w:p>
    <w:p w14:paraId="3BC00953">
      <w:pPr>
        <w:widowControl/>
        <w:numPr>
          <w:ilvl w:val="0"/>
          <w:numId w:val="11"/>
        </w:numPr>
        <w:snapToGrid w:val="0"/>
        <w:spacing w:line="360" w:lineRule="auto"/>
        <w:jc w:val="left"/>
        <w:textAlignment w:val="auto"/>
        <w:rPr>
          <w:rFonts w:ascii="宋体" w:hAnsi="宋体"/>
          <w:sz w:val="24"/>
        </w:rPr>
      </w:pPr>
      <w:bookmarkStart w:id="25" w:name="_Hlk185234382"/>
      <w:r>
        <w:rPr>
          <w:rFonts w:hint="eastAsia" w:ascii="宋体" w:hAnsi="宋体"/>
          <w:sz w:val="24"/>
        </w:rPr>
        <w:t>须做到可以在平台上实时跟踪查询物流信息。</w:t>
      </w:r>
      <w:r>
        <w:rPr>
          <w:rFonts w:hint="eastAsia" w:ascii="宋体" w:hAnsi="宋体"/>
          <w:b/>
          <w:bCs/>
          <w:sz w:val="24"/>
        </w:rPr>
        <w:t xml:space="preserve">（投标时须提供相关介绍文件、证明材料） </w:t>
      </w:r>
    </w:p>
    <w:bookmarkEnd w:id="25"/>
    <w:p w14:paraId="389AD590">
      <w:pPr>
        <w:widowControl/>
        <w:numPr>
          <w:ilvl w:val="0"/>
          <w:numId w:val="11"/>
        </w:numPr>
        <w:snapToGrid w:val="0"/>
        <w:spacing w:line="360" w:lineRule="auto"/>
        <w:jc w:val="left"/>
        <w:textAlignment w:val="auto"/>
        <w:rPr>
          <w:rFonts w:ascii="宋体" w:hAnsi="宋体"/>
          <w:sz w:val="24"/>
        </w:rPr>
      </w:pPr>
      <w:r>
        <w:rPr>
          <w:rFonts w:hint="eastAsia" w:ascii="宋体" w:hAnsi="宋体"/>
          <w:sz w:val="24"/>
        </w:rPr>
        <w:t>保证配送时效性需要做到下单之日起5天内送达，需要延迟配送，必须联系客户得到同意，联系不上客户，应分不同时段至少联系收货人3次以上，以保证订单包裹需要一次性收货。</w:t>
      </w:r>
    </w:p>
    <w:p w14:paraId="5922B84C">
      <w:pPr>
        <w:widowControl/>
        <w:numPr>
          <w:ilvl w:val="0"/>
          <w:numId w:val="11"/>
        </w:numPr>
        <w:snapToGrid w:val="0"/>
        <w:spacing w:line="360" w:lineRule="auto"/>
        <w:jc w:val="left"/>
        <w:textAlignment w:val="auto"/>
        <w:rPr>
          <w:rFonts w:ascii="宋体" w:hAnsi="宋体"/>
          <w:sz w:val="24"/>
        </w:rPr>
      </w:pPr>
      <w:r>
        <w:rPr>
          <w:rFonts w:hint="eastAsia" w:ascii="宋体" w:hAnsi="宋体"/>
          <w:sz w:val="24"/>
        </w:rPr>
        <w:t>货品允许开箱验货，允许收货人当面清点包裹内的商品件数及商品的完好程度。</w:t>
      </w:r>
    </w:p>
    <w:p w14:paraId="6B6664FB">
      <w:pPr>
        <w:widowControl/>
        <w:snapToGrid w:val="0"/>
        <w:spacing w:line="360" w:lineRule="auto"/>
        <w:jc w:val="left"/>
        <w:rPr>
          <w:rFonts w:ascii="宋体" w:hAnsi="宋体"/>
          <w:sz w:val="24"/>
        </w:rPr>
      </w:pPr>
      <w:r>
        <w:rPr>
          <w:rFonts w:hint="eastAsia" w:ascii="宋体" w:hAnsi="宋体"/>
          <w:sz w:val="24"/>
        </w:rPr>
        <w:t>7.售后服务要求：</w:t>
      </w:r>
    </w:p>
    <w:p w14:paraId="24C196ED">
      <w:pPr>
        <w:widowControl/>
        <w:snapToGrid w:val="0"/>
        <w:spacing w:line="360" w:lineRule="auto"/>
        <w:jc w:val="left"/>
        <w:rPr>
          <w:rFonts w:ascii="宋体" w:hAnsi="宋体"/>
          <w:sz w:val="24"/>
        </w:rPr>
      </w:pPr>
      <w:r>
        <w:rPr>
          <w:rFonts w:hint="eastAsia" w:ascii="宋体" w:hAnsi="宋体"/>
          <w:sz w:val="24"/>
        </w:rPr>
        <w:t>（1）如有损坏自收货之日起3日内包退包换。</w:t>
      </w:r>
    </w:p>
    <w:p w14:paraId="3BAD60F0">
      <w:pPr>
        <w:widowControl/>
        <w:snapToGrid w:val="0"/>
        <w:spacing w:line="360" w:lineRule="auto"/>
        <w:jc w:val="left"/>
        <w:rPr>
          <w:rFonts w:ascii="宋体" w:hAnsi="宋体"/>
          <w:sz w:val="24"/>
        </w:rPr>
      </w:pPr>
      <w:r>
        <w:rPr>
          <w:rFonts w:hint="eastAsia" w:ascii="宋体" w:hAnsi="宋体"/>
          <w:sz w:val="24"/>
        </w:rPr>
        <w:t xml:space="preserve">（2）有专业的售后服务团队和售后专线，提供详细的售后服务方案，主要包括退换货政策、保修、上门服务、符合国家三包政策、售后维护、客服专线服务、在线咨询服务、问题处理周期、纠纷解决等方面以及其他服务等内容。 </w:t>
      </w:r>
    </w:p>
    <w:p w14:paraId="446586FE">
      <w:pPr>
        <w:widowControl/>
        <w:snapToGrid w:val="0"/>
        <w:spacing w:line="360" w:lineRule="auto"/>
        <w:jc w:val="left"/>
        <w:rPr>
          <w:rFonts w:ascii="宋体" w:hAnsi="宋体"/>
          <w:sz w:val="24"/>
        </w:rPr>
      </w:pPr>
      <w:r>
        <w:rPr>
          <w:rFonts w:hint="eastAsia" w:ascii="宋体" w:hAnsi="宋体"/>
          <w:sz w:val="24"/>
        </w:rPr>
        <w:t xml:space="preserve">（3）须承诺针对本项目的供货商品全部为中标人自营商品，中标人拥有商品的合法流通资格，须确保商品商标、著作权不受第三方质疑，中标人自愿接受并配合采购人及评委进行针对本项目提报的自营商品审查核实工作。 </w:t>
      </w:r>
    </w:p>
    <w:p w14:paraId="7B7E576F">
      <w:pPr>
        <w:widowControl/>
        <w:snapToGrid w:val="0"/>
        <w:spacing w:line="360" w:lineRule="auto"/>
        <w:jc w:val="left"/>
        <w:rPr>
          <w:rFonts w:ascii="宋体" w:hAnsi="宋体"/>
          <w:b/>
          <w:bCs/>
          <w:sz w:val="24"/>
        </w:rPr>
      </w:pPr>
      <w:r>
        <w:rPr>
          <w:rFonts w:hint="eastAsia" w:ascii="宋体" w:hAnsi="宋体"/>
          <w:b/>
          <w:bCs/>
          <w:sz w:val="24"/>
        </w:rPr>
        <w:t xml:space="preserve"> （五）质量服务要求 </w:t>
      </w:r>
    </w:p>
    <w:p w14:paraId="17465B89">
      <w:pPr>
        <w:widowControl/>
        <w:snapToGrid w:val="0"/>
        <w:spacing w:line="360" w:lineRule="auto"/>
        <w:jc w:val="left"/>
        <w:rPr>
          <w:rFonts w:ascii="宋体" w:hAnsi="宋体"/>
          <w:sz w:val="24"/>
        </w:rPr>
      </w:pPr>
      <w:r>
        <w:rPr>
          <w:rFonts w:hint="eastAsia" w:ascii="宋体" w:hAnsi="宋体"/>
          <w:sz w:val="24"/>
        </w:rPr>
        <w:t xml:space="preserve">1.中标人应保证提供的产品质量指标达到相应的国家标准，行业标准及在本招标文件中提交并确定遵照的有关标准及技术要求。 </w:t>
      </w:r>
    </w:p>
    <w:p w14:paraId="3A102F03">
      <w:pPr>
        <w:widowControl/>
        <w:snapToGrid w:val="0"/>
        <w:spacing w:line="360" w:lineRule="auto"/>
        <w:jc w:val="left"/>
        <w:rPr>
          <w:rFonts w:ascii="宋体" w:hAnsi="宋体"/>
          <w:sz w:val="24"/>
        </w:rPr>
      </w:pPr>
      <w:r>
        <w:rPr>
          <w:rFonts w:hint="eastAsia" w:ascii="宋体" w:hAnsi="宋体"/>
          <w:sz w:val="24"/>
        </w:rPr>
        <w:t xml:space="preserve">2.有保质期的商品，剩余保存期限不得少于原有保质期的三分之二（自配送之日起计）。 </w:t>
      </w:r>
    </w:p>
    <w:p w14:paraId="6F2B4521">
      <w:pPr>
        <w:widowControl/>
        <w:snapToGrid w:val="0"/>
        <w:spacing w:line="360" w:lineRule="auto"/>
        <w:jc w:val="left"/>
        <w:rPr>
          <w:rFonts w:ascii="宋体" w:hAnsi="宋体"/>
          <w:sz w:val="24"/>
        </w:rPr>
      </w:pPr>
      <w:r>
        <w:rPr>
          <w:rFonts w:hint="eastAsia" w:ascii="宋体" w:hAnsi="宋体"/>
          <w:sz w:val="24"/>
        </w:rPr>
        <w:t xml:space="preserve">3.货物包装应完好无损，可视的内容物无腐败变霉变或影响使用的变形。 </w:t>
      </w:r>
    </w:p>
    <w:p w14:paraId="23C15117">
      <w:pPr>
        <w:widowControl/>
        <w:snapToGrid w:val="0"/>
        <w:spacing w:line="360" w:lineRule="auto"/>
        <w:jc w:val="left"/>
        <w:rPr>
          <w:rFonts w:ascii="宋体" w:hAnsi="宋体"/>
          <w:sz w:val="24"/>
        </w:rPr>
      </w:pPr>
      <w:r>
        <w:rPr>
          <w:rFonts w:hint="eastAsia" w:ascii="宋体" w:hAnsi="宋体"/>
          <w:sz w:val="24"/>
        </w:rPr>
        <w:t xml:space="preserve">4.货物应当具备其应当具备的性能，符合国家或行业标准； </w:t>
      </w:r>
    </w:p>
    <w:p w14:paraId="2CD4A706">
      <w:pPr>
        <w:widowControl/>
        <w:snapToGrid w:val="0"/>
        <w:spacing w:line="360" w:lineRule="auto"/>
        <w:jc w:val="left"/>
        <w:rPr>
          <w:rFonts w:ascii="宋体" w:hAnsi="宋体"/>
          <w:sz w:val="24"/>
        </w:rPr>
      </w:pPr>
      <w:r>
        <w:rPr>
          <w:rFonts w:hint="eastAsia" w:ascii="宋体" w:hAnsi="宋体"/>
          <w:sz w:val="24"/>
        </w:rPr>
        <w:t xml:space="preserve">5.食品包装标签应符合食品安全国家标准的要求，包括食品名称、配料表、规格、生产者经销商、生产日期、保质期、食品生产许可证编号等内容。 </w:t>
      </w:r>
    </w:p>
    <w:p w14:paraId="33FE60AD">
      <w:pPr>
        <w:widowControl/>
        <w:snapToGrid w:val="0"/>
        <w:spacing w:line="360" w:lineRule="auto"/>
        <w:jc w:val="left"/>
        <w:rPr>
          <w:rFonts w:ascii="宋体" w:hAnsi="宋体"/>
          <w:sz w:val="24"/>
        </w:rPr>
      </w:pPr>
      <w:r>
        <w:rPr>
          <w:rFonts w:hint="eastAsia" w:ascii="宋体" w:hAnsi="宋体"/>
          <w:sz w:val="24"/>
        </w:rPr>
        <w:t>6.中标人保证提供的货物不侵犯任何第三方的专利、商标或版权。否则，中标人须承担对第三方的专利或版权的侵权责任并承担因此而发生的所有费用。</w:t>
      </w:r>
    </w:p>
    <w:p w14:paraId="2BA2CE8D">
      <w:pPr>
        <w:pStyle w:val="20"/>
        <w:numPr>
          <w:ilvl w:val="0"/>
          <w:numId w:val="5"/>
        </w:numPr>
        <w:tabs>
          <w:tab w:val="left" w:pos="540"/>
        </w:tabs>
        <w:snapToGrid w:val="0"/>
        <w:spacing w:line="360" w:lineRule="auto"/>
        <w:rPr>
          <w:rFonts w:asciiTheme="minorEastAsia" w:hAnsiTheme="minorEastAsia"/>
          <w:b/>
          <w:sz w:val="24"/>
          <w:szCs w:val="24"/>
        </w:rPr>
      </w:pPr>
      <w:r>
        <w:rPr>
          <w:rFonts w:hint="eastAsia" w:hAnsi="宋体"/>
          <w:b/>
          <w:sz w:val="24"/>
          <w:szCs w:val="24"/>
        </w:rPr>
        <w:t>★</w:t>
      </w:r>
      <w:r>
        <w:rPr>
          <w:rFonts w:hint="eastAsia" w:asciiTheme="minorEastAsia" w:hAnsiTheme="minorEastAsia"/>
          <w:b/>
          <w:sz w:val="24"/>
          <w:szCs w:val="24"/>
        </w:rPr>
        <w:t>商务要求</w:t>
      </w:r>
    </w:p>
    <w:p w14:paraId="6614C605">
      <w:pPr>
        <w:pStyle w:val="84"/>
        <w:numPr>
          <w:ilvl w:val="0"/>
          <w:numId w:val="12"/>
        </w:numPr>
        <w:snapToGrid w:val="0"/>
        <w:spacing w:line="360" w:lineRule="auto"/>
        <w:ind w:firstLine="0" w:firstLineChars="0"/>
        <w:jc w:val="left"/>
        <w:textAlignment w:val="auto"/>
        <w:outlineLvl w:val="1"/>
        <w:rPr>
          <w:rFonts w:ascii="宋体" w:hAnsi="宋体"/>
          <w:b/>
          <w:bCs/>
          <w:sz w:val="24"/>
        </w:rPr>
      </w:pPr>
      <w:bookmarkStart w:id="26" w:name="_Toc3614"/>
      <w:r>
        <w:rPr>
          <w:rFonts w:hint="eastAsia" w:ascii="宋体" w:hAnsi="宋体"/>
          <w:b/>
          <w:bCs/>
          <w:sz w:val="24"/>
        </w:rPr>
        <w:t>响应报价</w:t>
      </w:r>
      <w:bookmarkEnd w:id="26"/>
    </w:p>
    <w:p w14:paraId="707554A8">
      <w:pPr>
        <w:numPr>
          <w:ilvl w:val="0"/>
          <w:numId w:val="13"/>
        </w:numPr>
        <w:snapToGrid w:val="0"/>
        <w:spacing w:line="360" w:lineRule="auto"/>
        <w:ind w:firstLine="0"/>
        <w:textAlignment w:val="auto"/>
        <w:rPr>
          <w:rFonts w:ascii="宋体" w:hAnsi="宋体"/>
          <w:sz w:val="24"/>
        </w:rPr>
      </w:pPr>
      <w:r>
        <w:rPr>
          <w:rFonts w:hint="eastAsia" w:ascii="宋体" w:hAnsi="宋体"/>
          <w:sz w:val="24"/>
        </w:rPr>
        <w:t>投标人必须对本项目专属福利电子采购平台上所有商品报出一个统一的响应综合折扣率，综合折扣率报价区间为0%—100%，保留两位小数（如90.00%），否则按无效报价处理。</w:t>
      </w:r>
    </w:p>
    <w:p w14:paraId="57833F60">
      <w:pPr>
        <w:numPr>
          <w:ilvl w:val="0"/>
          <w:numId w:val="13"/>
        </w:numPr>
        <w:snapToGrid w:val="0"/>
        <w:spacing w:line="360" w:lineRule="auto"/>
        <w:ind w:firstLine="0"/>
        <w:textAlignment w:val="auto"/>
        <w:rPr>
          <w:rFonts w:ascii="宋体" w:hAnsi="宋体"/>
          <w:sz w:val="24"/>
        </w:rPr>
      </w:pPr>
      <w:r>
        <w:rPr>
          <w:rFonts w:hint="eastAsia" w:ascii="宋体" w:hAnsi="宋体"/>
          <w:sz w:val="24"/>
        </w:rPr>
        <w:t>综合折扣率及结算价款已包含货款、包装、保管、运输保险、搬运、验收、质保期服务、投入人员费、电子采购平台服务费、各项税费及合同实施过程中可预见或不可预见费用等一切费用，采购人不再另行支付其他费用，合同另有约定除外。</w:t>
      </w:r>
    </w:p>
    <w:p w14:paraId="73B00DDE">
      <w:pPr>
        <w:numPr>
          <w:ilvl w:val="0"/>
          <w:numId w:val="13"/>
        </w:numPr>
        <w:snapToGrid w:val="0"/>
        <w:spacing w:line="360" w:lineRule="auto"/>
        <w:ind w:firstLine="0"/>
        <w:textAlignment w:val="auto"/>
        <w:rPr>
          <w:rFonts w:ascii="宋体" w:hAnsi="宋体"/>
          <w:sz w:val="24"/>
        </w:rPr>
      </w:pPr>
      <w:r>
        <w:rPr>
          <w:rFonts w:hint="eastAsia" w:ascii="宋体" w:hAnsi="宋体"/>
          <w:sz w:val="24"/>
        </w:rPr>
        <w:t>综合折扣率为本项目专属福利电子采购平台上进行下单的当日商品挂牌价的折扣率。</w:t>
      </w:r>
    </w:p>
    <w:p w14:paraId="153689FD">
      <w:pPr>
        <w:snapToGrid w:val="0"/>
        <w:spacing w:line="360" w:lineRule="auto"/>
        <w:rPr>
          <w:rFonts w:ascii="宋体" w:hAnsi="宋体"/>
          <w:sz w:val="24"/>
        </w:rPr>
      </w:pPr>
      <w:r>
        <w:rPr>
          <w:rFonts w:hint="eastAsia" w:ascii="宋体" w:hAnsi="宋体"/>
          <w:sz w:val="24"/>
        </w:rPr>
        <w:t>例如：202</w:t>
      </w:r>
      <w:r>
        <w:rPr>
          <w:rFonts w:hint="eastAsia" w:ascii="宋体" w:hAnsi="宋体"/>
          <w:sz w:val="24"/>
          <w:lang w:val="en-US" w:eastAsia="zh-CN"/>
        </w:rPr>
        <w:t>6</w:t>
      </w:r>
      <w:r>
        <w:rPr>
          <w:rFonts w:hint="eastAsia" w:ascii="宋体" w:hAnsi="宋体"/>
          <w:sz w:val="24"/>
        </w:rPr>
        <w:t>年春节，某商品挂牌价格为600.00元，成交综合折扣率为90.00%，则某商品实际结算金额为：600.00×90.00%=540.00元。</w:t>
      </w:r>
    </w:p>
    <w:p w14:paraId="723A1C99">
      <w:pPr>
        <w:pStyle w:val="84"/>
        <w:numPr>
          <w:ilvl w:val="0"/>
          <w:numId w:val="12"/>
        </w:numPr>
        <w:snapToGrid w:val="0"/>
        <w:spacing w:line="360" w:lineRule="auto"/>
        <w:ind w:firstLine="0" w:firstLineChars="0"/>
        <w:jc w:val="left"/>
        <w:textAlignment w:val="auto"/>
        <w:outlineLvl w:val="1"/>
        <w:rPr>
          <w:rFonts w:ascii="宋体" w:hAnsi="宋体"/>
          <w:b/>
          <w:bCs/>
          <w:sz w:val="24"/>
        </w:rPr>
      </w:pPr>
      <w:bookmarkStart w:id="27" w:name="_Toc14650"/>
      <w:r>
        <w:rPr>
          <w:rFonts w:hint="eastAsia" w:ascii="宋体" w:hAnsi="宋体"/>
          <w:b/>
          <w:bCs/>
          <w:sz w:val="24"/>
        </w:rPr>
        <w:t>付款方式</w:t>
      </w:r>
      <w:bookmarkEnd w:id="27"/>
    </w:p>
    <w:p w14:paraId="531B0B14">
      <w:pPr>
        <w:numPr>
          <w:ilvl w:val="0"/>
          <w:numId w:val="14"/>
        </w:numPr>
        <w:snapToGrid w:val="0"/>
        <w:spacing w:line="360" w:lineRule="auto"/>
        <w:ind w:firstLine="0"/>
        <w:jc w:val="left"/>
        <w:textAlignment w:val="auto"/>
        <w:rPr>
          <w:rFonts w:ascii="宋体" w:hAnsi="宋体"/>
          <w:sz w:val="24"/>
        </w:rPr>
      </w:pPr>
      <w:r>
        <w:rPr>
          <w:rFonts w:hint="eastAsia" w:ascii="宋体" w:hAnsi="宋体"/>
          <w:sz w:val="24"/>
        </w:rPr>
        <w:t>本项目采用按实结算方式，中标人节前按采购人工会委员会的需求提供套餐选购服务，采购人工会委员会确认套餐后，全部职工完成套餐选择并签收后，中标人向采购人工会委员会提供系统生成的签领凭证，采购人工会委员会核对无误后，中标人开具全额正式税务发票交采购人工会委员会审核，采购人工会委员会在收到发票后10个工作日内支付该次节日采购总金额的100%款项。</w:t>
      </w:r>
    </w:p>
    <w:p w14:paraId="43915420">
      <w:pPr>
        <w:numPr>
          <w:ilvl w:val="0"/>
          <w:numId w:val="14"/>
        </w:numPr>
        <w:snapToGrid w:val="0"/>
        <w:spacing w:line="360" w:lineRule="auto"/>
        <w:ind w:firstLine="0"/>
        <w:jc w:val="left"/>
        <w:textAlignment w:val="auto"/>
        <w:rPr>
          <w:rFonts w:ascii="宋体" w:hAnsi="宋体"/>
          <w:sz w:val="24"/>
        </w:rPr>
      </w:pPr>
      <w:r>
        <w:rPr>
          <w:rFonts w:hint="eastAsia" w:ascii="宋体" w:hAnsi="宋体"/>
          <w:sz w:val="24"/>
        </w:rPr>
        <w:t>结算价：结算价</w:t>
      </w:r>
      <w:r>
        <w:rPr>
          <w:rFonts w:ascii="宋体" w:hAnsi="宋体"/>
          <w:sz w:val="24"/>
        </w:rPr>
        <w:t>=</w:t>
      </w:r>
      <w:r>
        <w:rPr>
          <w:rFonts w:hint="eastAsia" w:ascii="宋体" w:hAnsi="宋体"/>
          <w:sz w:val="24"/>
        </w:rPr>
        <w:t>∑商品挂牌价单价</w:t>
      </w:r>
      <w:r>
        <w:rPr>
          <w:rFonts w:ascii="宋体" w:hAnsi="宋体"/>
          <w:sz w:val="24"/>
        </w:rPr>
        <w:t>*实际供货数量*</w:t>
      </w:r>
      <w:r>
        <w:rPr>
          <w:rFonts w:hint="eastAsia" w:ascii="宋体" w:hAnsi="宋体"/>
          <w:sz w:val="24"/>
        </w:rPr>
        <w:t>中标综合折扣率。</w:t>
      </w:r>
    </w:p>
    <w:p w14:paraId="3F3135B8">
      <w:pPr>
        <w:numPr>
          <w:ilvl w:val="0"/>
          <w:numId w:val="14"/>
        </w:numPr>
        <w:snapToGrid w:val="0"/>
        <w:spacing w:line="360" w:lineRule="auto"/>
        <w:ind w:firstLine="0"/>
        <w:jc w:val="left"/>
        <w:textAlignment w:val="auto"/>
        <w:rPr>
          <w:rFonts w:ascii="宋体" w:hAnsi="宋体"/>
          <w:color w:val="auto"/>
          <w:sz w:val="24"/>
        </w:rPr>
      </w:pPr>
      <w:r>
        <w:rPr>
          <w:rFonts w:hint="eastAsia" w:ascii="宋体" w:hAnsi="宋体"/>
          <w:sz w:val="24"/>
        </w:rPr>
        <w:t>中标人应提供与货物相应金额的</w:t>
      </w:r>
      <w:r>
        <w:rPr>
          <w:rFonts w:hint="eastAsia" w:ascii="宋体" w:hAnsi="宋体"/>
          <w:color w:val="auto"/>
          <w:sz w:val="24"/>
        </w:rPr>
        <w:t>正式发票。中标人未及时出具等额有效发票，导致付款延迟的，因此造成的损失由中标人自行承担责任。</w:t>
      </w:r>
    </w:p>
    <w:p w14:paraId="15E50515">
      <w:pPr>
        <w:numPr>
          <w:ilvl w:val="0"/>
          <w:numId w:val="14"/>
        </w:numPr>
        <w:snapToGrid w:val="0"/>
        <w:spacing w:line="360" w:lineRule="auto"/>
        <w:ind w:firstLine="0"/>
        <w:jc w:val="left"/>
        <w:textAlignment w:val="auto"/>
        <w:rPr>
          <w:rFonts w:ascii="宋体" w:hAnsi="宋体"/>
          <w:color w:val="auto"/>
          <w:sz w:val="24"/>
        </w:rPr>
      </w:pPr>
      <w:r>
        <w:rPr>
          <w:rFonts w:hint="eastAsia" w:ascii="宋体" w:hAnsi="宋体"/>
          <w:sz w:val="24"/>
        </w:rPr>
        <w:t>付款期间如因特殊情况需调整，由双</w:t>
      </w:r>
      <w:r>
        <w:rPr>
          <w:rFonts w:hint="eastAsia" w:ascii="宋体" w:hAnsi="宋体"/>
          <w:color w:val="auto"/>
          <w:sz w:val="24"/>
        </w:rPr>
        <w:t>方协商处理。</w:t>
      </w:r>
    </w:p>
    <w:p w14:paraId="3CDE4C99">
      <w:pPr>
        <w:numPr>
          <w:ilvl w:val="0"/>
          <w:numId w:val="14"/>
        </w:numPr>
        <w:snapToGrid w:val="0"/>
        <w:spacing w:line="360" w:lineRule="auto"/>
        <w:ind w:firstLine="0"/>
        <w:jc w:val="left"/>
        <w:textAlignment w:val="auto"/>
        <w:rPr>
          <w:rFonts w:ascii="宋体" w:hAnsi="宋体"/>
          <w:color w:val="auto"/>
          <w:sz w:val="24"/>
        </w:rPr>
      </w:pPr>
      <w:r>
        <w:rPr>
          <w:rFonts w:hint="eastAsia" w:cs="宋体" w:asciiTheme="minorEastAsia" w:hAnsiTheme="minorEastAsia" w:eastAsiaTheme="minorEastAsia"/>
          <w:color w:val="auto"/>
          <w:kern w:val="2"/>
          <w:sz w:val="24"/>
          <w:szCs w:val="22"/>
        </w:rPr>
        <w:t>违约责任：采购人逾期支付合同款项的，除应当支付合同款项外，还应当每日按“逾期金额×（合同订立时1年期贷款市场报价利率÷365天）”向中标人偿付违约金，因采购人使用的是财政资金，采购人在规定时间向支付部门提出支付申请，如因财政支付部门审核时间导致无法按期支付的，采购人不承担违约责任。</w:t>
      </w:r>
      <w:r>
        <w:rPr>
          <w:rFonts w:hint="eastAsia" w:cs="宋体" w:asciiTheme="minorEastAsia" w:hAnsiTheme="minorEastAsia" w:eastAsiaTheme="minorEastAsia"/>
          <w:color w:val="auto"/>
          <w:kern w:val="2"/>
          <w:sz w:val="24"/>
          <w:szCs w:val="22"/>
          <w:lang w:val="en-US" w:eastAsia="zh-CN"/>
        </w:rPr>
        <w:t>且如</w:t>
      </w:r>
      <w:r>
        <w:rPr>
          <w:rFonts w:hint="eastAsia" w:cs="宋体" w:asciiTheme="minorEastAsia" w:hAnsiTheme="minorEastAsia" w:eastAsiaTheme="minorEastAsia"/>
          <w:color w:val="auto"/>
          <w:kern w:val="2"/>
          <w:sz w:val="24"/>
          <w:szCs w:val="22"/>
        </w:rPr>
        <w:t>因中标人自身原因导致无法及时支付</w:t>
      </w:r>
      <w:r>
        <w:rPr>
          <w:rFonts w:hint="eastAsia" w:cs="宋体" w:asciiTheme="minorEastAsia" w:hAnsiTheme="minorEastAsia" w:eastAsiaTheme="minorEastAsia"/>
          <w:color w:val="auto"/>
          <w:kern w:val="2"/>
          <w:sz w:val="24"/>
          <w:szCs w:val="22"/>
          <w:lang w:eastAsia="zh-CN"/>
        </w:rPr>
        <w:t>，</w:t>
      </w:r>
      <w:r>
        <w:rPr>
          <w:rFonts w:hint="eastAsia" w:cs="宋体" w:asciiTheme="minorEastAsia" w:hAnsiTheme="minorEastAsia" w:eastAsiaTheme="minorEastAsia"/>
          <w:color w:val="auto"/>
          <w:kern w:val="2"/>
          <w:sz w:val="24"/>
          <w:szCs w:val="22"/>
          <w:lang w:val="en-US" w:eastAsia="zh-CN"/>
        </w:rPr>
        <w:t>亦非采购人违约情形</w:t>
      </w:r>
      <w:r>
        <w:rPr>
          <w:rFonts w:hint="eastAsia" w:cs="宋体" w:asciiTheme="minorEastAsia" w:hAnsiTheme="minorEastAsia" w:eastAsiaTheme="minorEastAsia"/>
          <w:color w:val="auto"/>
          <w:kern w:val="2"/>
          <w:sz w:val="24"/>
          <w:szCs w:val="22"/>
        </w:rPr>
        <w:t>。</w:t>
      </w:r>
    </w:p>
    <w:p w14:paraId="4FF3FC14">
      <w:pPr>
        <w:pStyle w:val="84"/>
        <w:numPr>
          <w:ilvl w:val="0"/>
          <w:numId w:val="12"/>
        </w:numPr>
        <w:snapToGrid w:val="0"/>
        <w:spacing w:line="360" w:lineRule="auto"/>
        <w:ind w:firstLine="0" w:firstLineChars="0"/>
        <w:jc w:val="left"/>
        <w:textAlignment w:val="auto"/>
        <w:outlineLvl w:val="1"/>
        <w:rPr>
          <w:rFonts w:ascii="宋体" w:hAnsi="宋体"/>
          <w:b/>
          <w:bCs/>
          <w:color w:val="auto"/>
          <w:sz w:val="24"/>
        </w:rPr>
      </w:pPr>
      <w:bookmarkStart w:id="28" w:name="_Toc14881"/>
      <w:r>
        <w:rPr>
          <w:rFonts w:hint="eastAsia" w:ascii="宋体" w:hAnsi="宋体"/>
          <w:b/>
          <w:bCs/>
          <w:color w:val="auto"/>
          <w:sz w:val="24"/>
        </w:rPr>
        <w:t>服务期限</w:t>
      </w:r>
      <w:bookmarkEnd w:id="28"/>
    </w:p>
    <w:p w14:paraId="15EDB746">
      <w:pPr>
        <w:snapToGrid w:val="0"/>
        <w:spacing w:line="360" w:lineRule="auto"/>
        <w:jc w:val="left"/>
        <w:rPr>
          <w:rFonts w:ascii="宋体" w:hAnsi="宋体"/>
          <w:color w:val="auto"/>
          <w:sz w:val="24"/>
        </w:rPr>
      </w:pPr>
      <w:r>
        <w:rPr>
          <w:rFonts w:hint="eastAsia" w:ascii="宋体" w:hAnsi="宋体"/>
          <w:color w:val="auto"/>
          <w:sz w:val="24"/>
        </w:rPr>
        <w:t>自签订合同之日起至202</w:t>
      </w:r>
      <w:r>
        <w:rPr>
          <w:rFonts w:hint="eastAsia" w:ascii="宋体" w:hAnsi="宋体"/>
          <w:color w:val="auto"/>
          <w:sz w:val="24"/>
          <w:lang w:val="en-US" w:eastAsia="zh-CN"/>
        </w:rPr>
        <w:t>6</w:t>
      </w:r>
      <w:r>
        <w:rPr>
          <w:rFonts w:hint="eastAsia" w:ascii="宋体" w:hAnsi="宋体"/>
          <w:color w:val="auto"/>
          <w:sz w:val="24"/>
        </w:rPr>
        <w:t>年12月31日或项目结算金额达到预算金额其中一项先到达为止。中标人应于该期限内向采购人提供货品。</w:t>
      </w:r>
    </w:p>
    <w:p w14:paraId="1F3EB1E2">
      <w:pPr>
        <w:pStyle w:val="84"/>
        <w:numPr>
          <w:ilvl w:val="0"/>
          <w:numId w:val="12"/>
        </w:numPr>
        <w:snapToGrid w:val="0"/>
        <w:spacing w:line="360" w:lineRule="auto"/>
        <w:ind w:firstLine="0" w:firstLineChars="0"/>
        <w:jc w:val="left"/>
        <w:textAlignment w:val="auto"/>
        <w:outlineLvl w:val="1"/>
        <w:rPr>
          <w:rFonts w:ascii="宋体" w:hAnsi="宋体"/>
          <w:b/>
          <w:bCs/>
          <w:color w:val="auto"/>
          <w:sz w:val="24"/>
        </w:rPr>
      </w:pPr>
      <w:bookmarkStart w:id="29" w:name="_Toc21736"/>
      <w:r>
        <w:rPr>
          <w:rFonts w:hint="eastAsia" w:ascii="宋体" w:hAnsi="宋体"/>
          <w:b/>
          <w:bCs/>
          <w:color w:val="auto"/>
          <w:sz w:val="24"/>
        </w:rPr>
        <w:t>交货方式及地点</w:t>
      </w:r>
      <w:bookmarkEnd w:id="29"/>
    </w:p>
    <w:p w14:paraId="78D4E49D">
      <w:pPr>
        <w:snapToGrid w:val="0"/>
        <w:spacing w:line="360" w:lineRule="auto"/>
        <w:jc w:val="left"/>
        <w:rPr>
          <w:rFonts w:ascii="宋体" w:hAnsi="宋体"/>
          <w:sz w:val="24"/>
        </w:rPr>
      </w:pPr>
      <w:r>
        <w:rPr>
          <w:rFonts w:hint="eastAsia" w:ascii="宋体" w:hAnsi="宋体"/>
          <w:sz w:val="24"/>
        </w:rPr>
        <w:t xml:space="preserve">由中标人直接邮寄、配送到采购人职工指定地点。 </w:t>
      </w:r>
    </w:p>
    <w:p w14:paraId="08CC7CAC">
      <w:pPr>
        <w:snapToGrid w:val="0"/>
        <w:spacing w:line="360" w:lineRule="auto"/>
        <w:jc w:val="left"/>
        <w:rPr>
          <w:rFonts w:ascii="宋体" w:hAnsi="宋体"/>
          <w:sz w:val="24"/>
        </w:rPr>
      </w:pPr>
      <w:r>
        <w:rPr>
          <w:rFonts w:hint="eastAsia" w:ascii="宋体" w:hAnsi="宋体"/>
          <w:sz w:val="24"/>
        </w:rPr>
        <w:t>（1）专属福利电子采购平台须于合同签订后5个工作日内完成并面向采购人单位工会开放并按采购人通知开放领取；</w:t>
      </w:r>
    </w:p>
    <w:p w14:paraId="34A3A3BF">
      <w:pPr>
        <w:snapToGrid w:val="0"/>
        <w:spacing w:line="360" w:lineRule="auto"/>
        <w:jc w:val="left"/>
        <w:rPr>
          <w:rFonts w:ascii="宋体" w:hAnsi="宋体"/>
          <w:sz w:val="24"/>
        </w:rPr>
      </w:pPr>
      <w:r>
        <w:rPr>
          <w:rFonts w:hint="eastAsia" w:ascii="宋体" w:hAnsi="宋体"/>
          <w:sz w:val="24"/>
        </w:rPr>
        <w:t xml:space="preserve">（2）中标人必须能实现5天内送达全国指定地址。 </w:t>
      </w:r>
    </w:p>
    <w:p w14:paraId="7D651A07">
      <w:pPr>
        <w:snapToGrid w:val="0"/>
        <w:spacing w:line="360" w:lineRule="auto"/>
        <w:jc w:val="left"/>
        <w:rPr>
          <w:rFonts w:ascii="宋体" w:hAnsi="宋体"/>
          <w:bCs/>
          <w:sz w:val="24"/>
        </w:rPr>
      </w:pPr>
      <w:r>
        <w:rPr>
          <w:rFonts w:hint="eastAsia" w:ascii="宋体" w:hAnsi="宋体"/>
          <w:sz w:val="24"/>
        </w:rPr>
        <w:t>（3）在服务有效期内，中标人应保证专属福利电子采购平台的正常使用，每个节日自中标人开放慰问套餐领取之日起职工可下单时间应不少于3</w:t>
      </w:r>
      <w:r>
        <w:rPr>
          <w:rFonts w:ascii="宋体" w:hAnsi="宋体"/>
          <w:sz w:val="24"/>
        </w:rPr>
        <w:t>0</w:t>
      </w:r>
      <w:r>
        <w:rPr>
          <w:rFonts w:hint="eastAsia" w:ascii="宋体" w:hAnsi="宋体"/>
          <w:sz w:val="24"/>
        </w:rPr>
        <w:t>日历日。</w:t>
      </w:r>
    </w:p>
    <w:p w14:paraId="5E14BDE2">
      <w:pPr>
        <w:pStyle w:val="84"/>
        <w:numPr>
          <w:ilvl w:val="0"/>
          <w:numId w:val="12"/>
        </w:numPr>
        <w:snapToGrid w:val="0"/>
        <w:spacing w:line="360" w:lineRule="auto"/>
        <w:ind w:firstLine="0" w:firstLineChars="0"/>
        <w:jc w:val="left"/>
        <w:textAlignment w:val="auto"/>
        <w:outlineLvl w:val="1"/>
        <w:rPr>
          <w:rFonts w:ascii="宋体" w:hAnsi="宋体"/>
          <w:b/>
          <w:bCs/>
          <w:color w:val="auto"/>
          <w:sz w:val="24"/>
        </w:rPr>
      </w:pPr>
      <w:bookmarkStart w:id="30" w:name="_Toc32649"/>
      <w:r>
        <w:rPr>
          <w:rFonts w:hint="eastAsia" w:ascii="宋体" w:hAnsi="宋体"/>
          <w:b/>
          <w:bCs/>
          <w:color w:val="auto"/>
          <w:sz w:val="24"/>
        </w:rPr>
        <w:t>履约保证金</w:t>
      </w:r>
      <w:bookmarkEnd w:id="30"/>
    </w:p>
    <w:p w14:paraId="5CA63443">
      <w:pPr>
        <w:snapToGrid w:val="0"/>
        <w:spacing w:line="360" w:lineRule="auto"/>
        <w:ind w:left="425" w:hanging="283"/>
        <w:rPr>
          <w:rFonts w:hint="eastAsia" w:ascii="宋体" w:hAnsi="宋体"/>
          <w:color w:val="auto"/>
          <w:sz w:val="24"/>
        </w:rPr>
      </w:pPr>
      <w:bookmarkStart w:id="31" w:name="回填数据_履约保证金_非广东省项目（服务）_1"/>
      <w:bookmarkStart w:id="32" w:name="回填数据_履约保证金_广东省项目（服务）_2"/>
      <w:r>
        <w:rPr>
          <w:rFonts w:ascii="宋体" w:hAnsi="宋体"/>
          <w:color w:val="auto"/>
          <w:sz w:val="24"/>
        </w:rPr>
        <w:t>1.</w:t>
      </w:r>
      <w:r>
        <w:rPr>
          <w:rFonts w:hint="eastAsia" w:ascii="宋体" w:hAnsi="宋体"/>
          <w:color w:val="auto"/>
          <w:sz w:val="24"/>
        </w:rPr>
        <w:t>提交说明</w:t>
      </w:r>
    </w:p>
    <w:p w14:paraId="597BA88F">
      <w:pPr>
        <w:snapToGrid w:val="0"/>
        <w:spacing w:line="360" w:lineRule="auto"/>
        <w:ind w:left="840" w:hanging="698"/>
        <w:rPr>
          <w:rFonts w:hint="eastAsia" w:ascii="宋体" w:hAnsi="宋体"/>
          <w:color w:val="auto"/>
          <w:sz w:val="24"/>
        </w:rPr>
      </w:pPr>
      <w:r>
        <w:rPr>
          <w:rFonts w:hint="eastAsia" w:ascii="宋体" w:hAnsi="宋体"/>
          <w:color w:val="auto"/>
          <w:sz w:val="24"/>
        </w:rPr>
        <w:t>（1）时间：合同签订前；</w:t>
      </w:r>
    </w:p>
    <w:p w14:paraId="3C601918">
      <w:pPr>
        <w:snapToGrid w:val="0"/>
        <w:spacing w:line="360" w:lineRule="auto"/>
        <w:ind w:left="840" w:hanging="698"/>
        <w:rPr>
          <w:rFonts w:hint="eastAsia" w:ascii="宋体" w:hAnsi="宋体"/>
          <w:color w:val="auto"/>
          <w:sz w:val="24"/>
        </w:rPr>
      </w:pPr>
      <w:r>
        <w:rPr>
          <w:rFonts w:hint="eastAsia" w:ascii="宋体" w:hAnsi="宋体"/>
          <w:color w:val="auto"/>
          <w:sz w:val="24"/>
        </w:rPr>
        <w:t>（2）金额：合同（成交）金额的</w:t>
      </w:r>
      <w:r>
        <w:rPr>
          <w:rFonts w:hint="eastAsia" w:ascii="宋体" w:hAnsi="宋体"/>
          <w:color w:val="auto"/>
          <w:sz w:val="24"/>
          <w:u w:val="single"/>
          <w:lang w:val="en-US" w:eastAsia="zh-CN"/>
        </w:rPr>
        <w:t>5</w:t>
      </w:r>
      <w:r>
        <w:rPr>
          <w:rFonts w:hint="eastAsia" w:ascii="宋体" w:hAnsi="宋体"/>
          <w:color w:val="auto"/>
          <w:sz w:val="24"/>
          <w:u w:val="single"/>
        </w:rPr>
        <w:t>%</w:t>
      </w:r>
      <w:r>
        <w:rPr>
          <w:rFonts w:hint="eastAsia" w:ascii="宋体" w:hAnsi="宋体"/>
          <w:color w:val="auto"/>
          <w:sz w:val="24"/>
        </w:rPr>
        <w:t>；</w:t>
      </w:r>
    </w:p>
    <w:p w14:paraId="44FE35E2">
      <w:pPr>
        <w:snapToGrid w:val="0"/>
        <w:spacing w:line="360" w:lineRule="auto"/>
        <w:ind w:left="840" w:hanging="698"/>
        <w:rPr>
          <w:rFonts w:hint="eastAsia" w:ascii="宋体" w:hAnsi="宋体"/>
          <w:color w:val="auto"/>
          <w:sz w:val="24"/>
        </w:rPr>
      </w:pPr>
      <w:r>
        <w:rPr>
          <w:rFonts w:hint="eastAsia" w:ascii="宋体" w:hAnsi="宋体"/>
          <w:color w:val="auto"/>
          <w:sz w:val="24"/>
        </w:rPr>
        <w:t>（3）方式：转账、支票、汇票、本票、保函；</w:t>
      </w:r>
    </w:p>
    <w:p w14:paraId="6AD0C58D">
      <w:pPr>
        <w:snapToGrid w:val="0"/>
        <w:spacing w:line="360" w:lineRule="auto"/>
        <w:ind w:left="425" w:hanging="283"/>
        <w:rPr>
          <w:rFonts w:hint="eastAsia" w:ascii="宋体" w:hAnsi="宋体"/>
          <w:color w:val="auto"/>
          <w:sz w:val="24"/>
        </w:rPr>
      </w:pPr>
      <w:r>
        <w:rPr>
          <w:rFonts w:ascii="宋体" w:hAnsi="宋体"/>
          <w:color w:val="auto"/>
          <w:sz w:val="24"/>
        </w:rPr>
        <w:t>2.</w:t>
      </w:r>
      <w:r>
        <w:rPr>
          <w:rFonts w:hint="eastAsia" w:ascii="宋体" w:hAnsi="宋体"/>
          <w:color w:val="auto"/>
          <w:sz w:val="24"/>
        </w:rPr>
        <w:t>退还说明：</w:t>
      </w:r>
    </w:p>
    <w:p w14:paraId="60ACFF09">
      <w:pPr>
        <w:numPr>
          <w:ilvl w:val="0"/>
          <w:numId w:val="15"/>
        </w:numPr>
        <w:snapToGrid w:val="0"/>
        <w:spacing w:line="360" w:lineRule="auto"/>
        <w:ind w:hanging="698"/>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rPr>
        <w:t>时间、方式和条件：</w:t>
      </w:r>
      <w:r>
        <w:rPr>
          <w:rFonts w:hint="eastAsia" w:cs="宋体" w:asciiTheme="minorEastAsia" w:hAnsiTheme="minorEastAsia" w:eastAsiaTheme="minorEastAsia"/>
          <w:color w:val="auto"/>
          <w:sz w:val="24"/>
          <w:lang w:eastAsia="zh-TW"/>
        </w:rPr>
        <w:t>中标人履行完成合同约定权利义务事项</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且无存在需要扣减保证金的情况下</w:t>
      </w:r>
      <w:r>
        <w:rPr>
          <w:rFonts w:hint="eastAsia" w:cs="宋体" w:asciiTheme="minorEastAsia" w:hAnsiTheme="minorEastAsia" w:eastAsiaTheme="minorEastAsia"/>
          <w:color w:val="auto"/>
          <w:sz w:val="24"/>
          <w:lang w:eastAsia="zh-TW"/>
        </w:rPr>
        <w:t>在合同期满之日起</w:t>
      </w:r>
      <w:r>
        <w:rPr>
          <w:rFonts w:hint="eastAsia" w:cs="宋体" w:asciiTheme="minorEastAsia" w:hAnsiTheme="minorEastAsia" w:eastAsiaTheme="minorEastAsia"/>
          <w:color w:val="auto"/>
          <w:sz w:val="24"/>
          <w:u w:val="single"/>
          <w:lang w:val="en-US" w:eastAsia="zh-CN"/>
        </w:rPr>
        <w:t>15个工作日</w:t>
      </w:r>
      <w:r>
        <w:rPr>
          <w:rFonts w:hint="eastAsia" w:cs="宋体" w:asciiTheme="minorEastAsia" w:hAnsiTheme="minorEastAsia" w:eastAsiaTheme="minorEastAsia"/>
          <w:color w:val="auto"/>
          <w:sz w:val="24"/>
          <w:lang w:eastAsia="zh-TW"/>
        </w:rPr>
        <w:t>内退还</w:t>
      </w:r>
      <w:r>
        <w:rPr>
          <w:rFonts w:hint="eastAsia" w:cs="宋体" w:asciiTheme="minorEastAsia" w:hAnsiTheme="minorEastAsia" w:eastAsiaTheme="minorEastAsia"/>
          <w:color w:val="auto"/>
          <w:sz w:val="24"/>
        </w:rPr>
        <w:t>或</w:t>
      </w:r>
      <w:r>
        <w:rPr>
          <w:rFonts w:hint="eastAsia" w:cs="宋体" w:asciiTheme="minorEastAsia" w:hAnsiTheme="minorEastAsia" w:eastAsiaTheme="minorEastAsia"/>
          <w:color w:val="auto"/>
          <w:sz w:val="24"/>
          <w:lang w:eastAsia="zh-TW"/>
        </w:rPr>
        <w:t>在合同期满之日起</w:t>
      </w:r>
      <w:r>
        <w:rPr>
          <w:rFonts w:hint="eastAsia" w:cs="宋体" w:asciiTheme="minorEastAsia" w:hAnsiTheme="minorEastAsia" w:eastAsiaTheme="minorEastAsia"/>
          <w:color w:val="auto"/>
          <w:sz w:val="24"/>
          <w:u w:val="single"/>
          <w:lang w:val="en-US" w:eastAsia="zh-CN"/>
        </w:rPr>
        <w:t>15个工作日</w:t>
      </w:r>
      <w:r>
        <w:rPr>
          <w:rFonts w:hint="eastAsia" w:cs="宋体" w:asciiTheme="minorEastAsia" w:hAnsiTheme="minorEastAsia" w:eastAsiaTheme="minorEastAsia"/>
          <w:color w:val="auto"/>
          <w:sz w:val="24"/>
          <w:lang w:eastAsia="zh-TW"/>
        </w:rPr>
        <w:t>内</w:t>
      </w:r>
      <w:r>
        <w:rPr>
          <w:rFonts w:hint="eastAsia" w:cs="宋体" w:asciiTheme="minorEastAsia" w:hAnsiTheme="minorEastAsia" w:eastAsiaTheme="minorEastAsia"/>
          <w:color w:val="auto"/>
          <w:sz w:val="24"/>
        </w:rPr>
        <w:t>失效。</w:t>
      </w:r>
      <w:r>
        <w:rPr>
          <w:rFonts w:hint="eastAsia" w:cs="宋体" w:asciiTheme="minorEastAsia" w:hAnsiTheme="minorEastAsia" w:eastAsiaTheme="minorEastAsia"/>
          <w:color w:val="auto"/>
          <w:sz w:val="24"/>
          <w:lang w:val="en-US" w:eastAsia="zh-CN"/>
        </w:rPr>
        <w:t>履约保证金为无息退还</w:t>
      </w:r>
      <w:r>
        <w:rPr>
          <w:rFonts w:hint="eastAsia" w:cs="宋体" w:asciiTheme="minorEastAsia" w:hAnsiTheme="minorEastAsia" w:eastAsiaTheme="minorEastAsia"/>
          <w:color w:val="auto"/>
          <w:sz w:val="24"/>
          <w:lang w:eastAsia="zh-TW"/>
        </w:rPr>
        <w:t>。</w:t>
      </w:r>
    </w:p>
    <w:p w14:paraId="71972368">
      <w:pPr>
        <w:numPr>
          <w:ilvl w:val="0"/>
          <w:numId w:val="15"/>
        </w:numPr>
        <w:snapToGrid w:val="0"/>
        <w:spacing w:line="360" w:lineRule="auto"/>
        <w:ind w:hanging="698"/>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rPr>
        <w:t>违约责任：</w:t>
      </w:r>
      <w:r>
        <w:rPr>
          <w:rFonts w:hint="eastAsia" w:cs="宋体" w:asciiTheme="minorEastAsia" w:hAnsiTheme="minorEastAsia" w:eastAsiaTheme="minorEastAsia"/>
          <w:color w:val="auto"/>
          <w:sz w:val="24"/>
          <w:lang w:eastAsia="zh-TW"/>
        </w:rPr>
        <w:t>采购人逾期退还履约保证金的，除应当退还履约保证金本金外，</w:t>
      </w:r>
      <w:r>
        <w:rPr>
          <w:rFonts w:hint="eastAsia" w:ascii="宋体" w:hAnsi="宋体" w:cs="宋体"/>
          <w:color w:val="auto"/>
          <w:sz w:val="24"/>
          <w:lang w:eastAsia="zh-TW"/>
        </w:rPr>
        <w:t>还应当每日按“逾期金额×（合同订立时1年期贷款市场报价利率÷365天）”</w:t>
      </w:r>
      <w:r>
        <w:rPr>
          <w:rFonts w:hint="eastAsia" w:ascii="宋体" w:hAnsi="宋体" w:cs="宋体"/>
          <w:color w:val="auto"/>
          <w:sz w:val="24"/>
        </w:rPr>
        <w:t>向中标人</w:t>
      </w:r>
      <w:r>
        <w:rPr>
          <w:rFonts w:hint="eastAsia" w:ascii="宋体" w:hAnsi="宋体" w:cs="宋体"/>
          <w:color w:val="auto"/>
          <w:sz w:val="24"/>
          <w:lang w:eastAsia="zh-TW"/>
        </w:rPr>
        <w:t>偿付违约金</w:t>
      </w:r>
      <w:r>
        <w:rPr>
          <w:rFonts w:hint="eastAsia" w:cs="宋体" w:asciiTheme="minorEastAsia" w:hAnsiTheme="minorEastAsia" w:eastAsiaTheme="minorEastAsia"/>
          <w:color w:val="auto"/>
          <w:sz w:val="24"/>
          <w:lang w:eastAsia="zh-TW"/>
        </w:rPr>
        <w:t>，但因中标人自身原因导致无法及时退还的除外。</w:t>
      </w:r>
    </w:p>
    <w:p w14:paraId="4017012E">
      <w:pPr>
        <w:numPr>
          <w:ilvl w:val="0"/>
          <w:numId w:val="15"/>
        </w:numPr>
        <w:snapToGrid w:val="0"/>
        <w:spacing w:line="360" w:lineRule="auto"/>
        <w:ind w:hanging="698"/>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lang w:eastAsia="zh-TW"/>
        </w:rPr>
        <w:t>中标人违反合同及其附件约定的任何义务，采购人有权在履约保证金中直接扣除中标人应向采购人支付的违约金或损失赔偿额，如有不足的，中标人应对超过的部分予以赔偿。扣除后，如合同仍继续履行的，</w:t>
      </w:r>
      <w:r>
        <w:rPr>
          <w:rFonts w:hint="eastAsia" w:cs="宋体" w:asciiTheme="minorEastAsia" w:hAnsiTheme="minorEastAsia" w:eastAsiaTheme="minorEastAsia"/>
          <w:color w:val="auto"/>
          <w:sz w:val="24"/>
          <w:lang w:val="en-US" w:eastAsia="zh-CN"/>
        </w:rPr>
        <w:t>中标人</w:t>
      </w:r>
      <w:r>
        <w:rPr>
          <w:rFonts w:hint="eastAsia" w:cs="宋体" w:asciiTheme="minorEastAsia" w:hAnsiTheme="minorEastAsia" w:eastAsiaTheme="minorEastAsia"/>
          <w:color w:val="auto"/>
          <w:sz w:val="24"/>
          <w:lang w:eastAsia="zh-TW"/>
        </w:rPr>
        <w:t>应在扣除之日起3个工作日内向</w:t>
      </w:r>
      <w:r>
        <w:rPr>
          <w:rFonts w:hint="eastAsia" w:cs="宋体" w:asciiTheme="minorEastAsia" w:hAnsiTheme="minorEastAsia" w:eastAsiaTheme="minorEastAsia"/>
          <w:color w:val="auto"/>
          <w:sz w:val="24"/>
          <w:lang w:val="en-US" w:eastAsia="zh-CN"/>
        </w:rPr>
        <w:t>采购人</w:t>
      </w:r>
      <w:r>
        <w:rPr>
          <w:rFonts w:hint="eastAsia" w:cs="宋体" w:asciiTheme="minorEastAsia" w:hAnsiTheme="minorEastAsia" w:eastAsiaTheme="minorEastAsia"/>
          <w:color w:val="auto"/>
          <w:sz w:val="24"/>
          <w:lang w:eastAsia="zh-TW"/>
        </w:rPr>
        <w:t>补足履约保证金</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否则逾期补足的差额部分中标人须按日息千分之三的标准向采购人支付逾期费用，且采购人有权解除合同</w:t>
      </w:r>
      <w:r>
        <w:rPr>
          <w:rFonts w:hint="eastAsia" w:cs="宋体" w:asciiTheme="minorEastAsia" w:hAnsiTheme="minorEastAsia" w:eastAsiaTheme="minorEastAsia"/>
          <w:color w:val="auto"/>
          <w:sz w:val="24"/>
          <w:lang w:eastAsia="zh-TW"/>
        </w:rPr>
        <w:t>。</w:t>
      </w:r>
    </w:p>
    <w:p w14:paraId="0FCA4317">
      <w:pPr>
        <w:numPr>
          <w:ilvl w:val="0"/>
          <w:numId w:val="0"/>
        </w:numPr>
        <w:snapToGrid w:val="0"/>
        <w:spacing w:line="360" w:lineRule="auto"/>
        <w:ind w:left="142" w:left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TW"/>
        </w:rPr>
        <w:t>如</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有如下违约情况，</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将没收其履约保证金，并有权追究</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的损害赔偿责任,该损害包括但不限于给</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造成的财产损失与声誉损失、律师费、调查取证费、诉讼费等。</w:t>
      </w:r>
    </w:p>
    <w:p w14:paraId="08A7022C">
      <w:pPr>
        <w:numPr>
          <w:ilvl w:val="0"/>
          <w:numId w:val="16"/>
        </w:numPr>
        <w:snapToGrid w:val="0"/>
        <w:spacing w:line="360" w:lineRule="auto"/>
        <w:ind w:hanging="698"/>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 xml:space="preserve">单方面中断合同； </w:t>
      </w:r>
    </w:p>
    <w:p w14:paraId="5129BA2F">
      <w:pPr>
        <w:numPr>
          <w:ilvl w:val="0"/>
          <w:numId w:val="16"/>
        </w:numPr>
        <w:snapToGrid w:val="0"/>
        <w:spacing w:line="360" w:lineRule="auto"/>
        <w:ind w:hanging="698"/>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lang w:eastAsia="zh-TW"/>
        </w:rPr>
        <w:t>合同执行期间，</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没有履行合同条款的内容，且拒不按照</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的要求进行及时整改，导致</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 xml:space="preserve">终止合同； </w:t>
      </w:r>
    </w:p>
    <w:p w14:paraId="54E9F3EC">
      <w:pPr>
        <w:numPr>
          <w:ilvl w:val="0"/>
          <w:numId w:val="16"/>
        </w:numPr>
        <w:snapToGrid w:val="0"/>
        <w:spacing w:line="360" w:lineRule="auto"/>
        <w:ind w:hanging="698"/>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未遵守保密约定，导致</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机密或</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职工个人信息泄密的。</w:t>
      </w:r>
    </w:p>
    <w:bookmarkEnd w:id="31"/>
    <w:bookmarkEnd w:id="32"/>
    <w:p w14:paraId="1A51B2E1">
      <w:pPr>
        <w:pStyle w:val="84"/>
        <w:numPr>
          <w:ilvl w:val="0"/>
          <w:numId w:val="12"/>
        </w:numPr>
        <w:autoSpaceDE w:val="0"/>
        <w:autoSpaceDN w:val="0"/>
        <w:snapToGrid w:val="0"/>
        <w:spacing w:line="360" w:lineRule="auto"/>
        <w:ind w:firstLine="0" w:firstLineChars="0"/>
        <w:jc w:val="left"/>
        <w:textAlignment w:val="auto"/>
        <w:outlineLvl w:val="1"/>
        <w:rPr>
          <w:rFonts w:ascii="宋体" w:hAnsi="宋体"/>
          <w:b/>
          <w:bCs/>
          <w:color w:val="auto"/>
          <w:sz w:val="24"/>
        </w:rPr>
      </w:pPr>
      <w:bookmarkStart w:id="33" w:name="_Toc21622"/>
      <w:r>
        <w:rPr>
          <w:rFonts w:hint="eastAsia" w:ascii="宋体" w:hAnsi="宋体"/>
          <w:b/>
          <w:bCs/>
          <w:color w:val="auto"/>
          <w:sz w:val="24"/>
        </w:rPr>
        <w:t>其他要求</w:t>
      </w:r>
      <w:bookmarkEnd w:id="33"/>
    </w:p>
    <w:p w14:paraId="2064C958">
      <w:pPr>
        <w:numPr>
          <w:ilvl w:val="0"/>
          <w:numId w:val="17"/>
        </w:numPr>
        <w:snapToGrid w:val="0"/>
        <w:spacing w:line="360" w:lineRule="auto"/>
        <w:ind w:firstLine="0"/>
        <w:textAlignment w:val="auto"/>
        <w:rPr>
          <w:rFonts w:ascii="宋体" w:hAnsi="宋体"/>
          <w:color w:val="auto"/>
          <w:sz w:val="24"/>
        </w:rPr>
      </w:pPr>
      <w:r>
        <w:rPr>
          <w:rFonts w:hint="eastAsia" w:ascii="宋体" w:hAnsi="宋体"/>
          <w:color w:val="auto"/>
          <w:sz w:val="24"/>
        </w:rPr>
        <w:t>中标人不得将项目转让或分包给他人，否则采购人有权单方终止合同,由此产生的一切经济损失由中标人自行承担。</w:t>
      </w:r>
    </w:p>
    <w:p w14:paraId="691BDFB1">
      <w:pPr>
        <w:numPr>
          <w:ilvl w:val="0"/>
          <w:numId w:val="17"/>
        </w:numPr>
        <w:snapToGrid w:val="0"/>
        <w:spacing w:line="360" w:lineRule="auto"/>
        <w:ind w:firstLine="0"/>
        <w:textAlignment w:val="auto"/>
        <w:rPr>
          <w:rFonts w:ascii="宋体" w:hAnsi="宋体" w:cs="宋体"/>
          <w:sz w:val="24"/>
        </w:rPr>
      </w:pPr>
      <w:r>
        <w:rPr>
          <w:rFonts w:hint="eastAsia" w:ascii="宋体" w:hAnsi="宋体"/>
          <w:sz w:val="24"/>
        </w:rPr>
        <w:t>中标人在合同履行期间，未按要求履行合同服务要求，采购人均有权单方终止合同,由此产生的一切经济损失由中标人自行承担。</w:t>
      </w:r>
    </w:p>
    <w:bookmarkEnd w:id="21"/>
    <w:p w14:paraId="7B5C35E4">
      <w:pPr>
        <w:widowControl/>
        <w:tabs>
          <w:tab w:val="left" w:pos="567"/>
        </w:tabs>
        <w:autoSpaceDE w:val="0"/>
        <w:autoSpaceDN w:val="0"/>
        <w:snapToGrid w:val="0"/>
        <w:spacing w:line="360" w:lineRule="auto"/>
        <w:jc w:val="left"/>
        <w:rPr>
          <w:rFonts w:hAnsi="宋体" w:cs="宋体"/>
          <w:sz w:val="24"/>
        </w:rPr>
      </w:pPr>
      <w:bookmarkStart w:id="34" w:name="_Toc13067019"/>
      <w:bookmarkStart w:id="35" w:name="_Toc13067017"/>
      <w:bookmarkStart w:id="36" w:name="_Toc435109306"/>
      <w:bookmarkStart w:id="37" w:name="_Toc13067022"/>
      <w:bookmarkStart w:id="38" w:name="_Toc435115055"/>
      <w:bookmarkStart w:id="39" w:name="_Toc435514850"/>
    </w:p>
    <w:p w14:paraId="306CDDD9">
      <w:pPr>
        <w:widowControl/>
        <w:adjustRightInd/>
        <w:spacing w:line="240" w:lineRule="auto"/>
        <w:jc w:val="left"/>
        <w:textAlignment w:val="auto"/>
        <w:rPr>
          <w:b/>
          <w:bCs/>
          <w:sz w:val="28"/>
          <w:szCs w:val="28"/>
        </w:rPr>
      </w:pPr>
      <w:r>
        <w:rPr>
          <w:b/>
          <w:bCs/>
          <w:sz w:val="28"/>
          <w:szCs w:val="28"/>
        </w:rPr>
        <w:br w:type="page"/>
      </w:r>
    </w:p>
    <w:p w14:paraId="24013782">
      <w:pPr>
        <w:snapToGrid w:val="0"/>
        <w:spacing w:line="360" w:lineRule="auto"/>
        <w:jc w:val="center"/>
        <w:outlineLvl w:val="0"/>
        <w:rPr>
          <w:b/>
          <w:bCs/>
          <w:sz w:val="28"/>
          <w:szCs w:val="28"/>
        </w:rPr>
      </w:pPr>
      <w:bookmarkStart w:id="40" w:name="_Toc17969"/>
      <w:r>
        <w:rPr>
          <w:rFonts w:hint="eastAsia"/>
          <w:b/>
          <w:bCs/>
          <w:sz w:val="28"/>
          <w:szCs w:val="28"/>
        </w:rPr>
        <w:t>第三章 评标方法</w:t>
      </w:r>
      <w:bookmarkEnd w:id="34"/>
      <w:r>
        <w:rPr>
          <w:rFonts w:hint="eastAsia"/>
          <w:b/>
          <w:bCs/>
          <w:sz w:val="28"/>
          <w:szCs w:val="28"/>
        </w:rPr>
        <w:t>和标准</w:t>
      </w:r>
      <w:bookmarkEnd w:id="40"/>
    </w:p>
    <w:p w14:paraId="49317B0F">
      <w:pPr>
        <w:pStyle w:val="84"/>
        <w:numPr>
          <w:ilvl w:val="0"/>
          <w:numId w:val="18"/>
        </w:numPr>
        <w:tabs>
          <w:tab w:val="left" w:pos="420"/>
          <w:tab w:val="left" w:pos="630"/>
        </w:tabs>
        <w:autoSpaceDE w:val="0"/>
        <w:autoSpaceDN w:val="0"/>
        <w:snapToGrid w:val="0"/>
        <w:spacing w:line="360" w:lineRule="auto"/>
        <w:ind w:firstLineChars="0"/>
        <w:rPr>
          <w:rFonts w:ascii="宋体" w:hAnsi="宋体"/>
          <w:b/>
          <w:sz w:val="24"/>
        </w:rPr>
      </w:pPr>
      <w:r>
        <w:rPr>
          <w:rFonts w:hint="eastAsia" w:ascii="宋体" w:hAnsi="宋体"/>
          <w:b/>
          <w:sz w:val="24"/>
        </w:rPr>
        <w:t>说明：</w:t>
      </w:r>
    </w:p>
    <w:p w14:paraId="600C32FE">
      <w:pPr>
        <w:pStyle w:val="84"/>
        <w:numPr>
          <w:ilvl w:val="0"/>
          <w:numId w:val="19"/>
        </w:numPr>
        <w:tabs>
          <w:tab w:val="left" w:pos="630"/>
        </w:tabs>
        <w:autoSpaceDE w:val="0"/>
        <w:autoSpaceDN w:val="0"/>
        <w:snapToGrid w:val="0"/>
        <w:spacing w:line="360" w:lineRule="auto"/>
        <w:ind w:left="567" w:hanging="567" w:firstLineChars="0"/>
        <w:rPr>
          <w:rFonts w:ascii="宋体" w:hAnsi="宋体"/>
          <w:sz w:val="24"/>
        </w:rPr>
      </w:pPr>
      <w:r>
        <w:rPr>
          <w:rFonts w:hint="eastAsia" w:ascii="宋体" w:hAnsi="宋体"/>
          <w:sz w:val="24"/>
        </w:rPr>
        <w:t>投标人必须严格按照《资格性审查表》、《符合性审查表》的评审内容的要求如实提供证明材料并应加盖投标人公章，若投标人不满足《资格性审查表》、《符合性审查表》中任何情形之一的，则其投标无效。</w:t>
      </w:r>
    </w:p>
    <w:p w14:paraId="2CFB0DF5">
      <w:pPr>
        <w:pStyle w:val="84"/>
        <w:numPr>
          <w:ilvl w:val="0"/>
          <w:numId w:val="19"/>
        </w:numPr>
        <w:tabs>
          <w:tab w:val="left" w:pos="630"/>
        </w:tabs>
        <w:autoSpaceDE w:val="0"/>
        <w:autoSpaceDN w:val="0"/>
        <w:snapToGrid w:val="0"/>
        <w:spacing w:line="360" w:lineRule="auto"/>
        <w:ind w:left="567" w:hanging="567" w:firstLineChars="0"/>
        <w:rPr>
          <w:rFonts w:ascii="宋体" w:hAnsi="宋体"/>
          <w:strike/>
          <w:sz w:val="24"/>
        </w:rPr>
      </w:pPr>
      <w:r>
        <w:rPr>
          <w:rFonts w:hint="eastAsia" w:ascii="宋体" w:hAnsi="宋体"/>
          <w:sz w:val="24"/>
        </w:rPr>
        <w:t>资格性、符合性审查内容详见《资格性审查表》、《符合性审查表》。</w:t>
      </w:r>
    </w:p>
    <w:p w14:paraId="28EBF4AB">
      <w:pPr>
        <w:pStyle w:val="84"/>
        <w:numPr>
          <w:ilvl w:val="0"/>
          <w:numId w:val="19"/>
        </w:numPr>
        <w:tabs>
          <w:tab w:val="left" w:pos="630"/>
        </w:tabs>
        <w:autoSpaceDE w:val="0"/>
        <w:autoSpaceDN w:val="0"/>
        <w:snapToGrid w:val="0"/>
        <w:spacing w:line="360" w:lineRule="auto"/>
        <w:ind w:left="567" w:hanging="567" w:firstLineChars="0"/>
        <w:rPr>
          <w:rFonts w:ascii="宋体" w:hAnsi="宋体"/>
          <w:sz w:val="24"/>
        </w:rPr>
      </w:pPr>
      <w:r>
        <w:rPr>
          <w:rFonts w:hint="eastAsia" w:ascii="宋体" w:hAnsi="宋体"/>
          <w:sz w:val="24"/>
        </w:rPr>
        <w:t>技术、商务评分：评标委员会各成员分值的算术平均值（四舍五入后，小数点后保留两位有效数）。</w:t>
      </w:r>
    </w:p>
    <w:p w14:paraId="5C739EFD">
      <w:pPr>
        <w:pStyle w:val="84"/>
        <w:numPr>
          <w:ilvl w:val="0"/>
          <w:numId w:val="19"/>
        </w:numPr>
        <w:tabs>
          <w:tab w:val="left" w:pos="630"/>
        </w:tabs>
        <w:autoSpaceDE w:val="0"/>
        <w:autoSpaceDN w:val="0"/>
        <w:snapToGrid w:val="0"/>
        <w:spacing w:line="360" w:lineRule="auto"/>
        <w:ind w:left="567" w:hanging="567" w:firstLineChars="0"/>
        <w:rPr>
          <w:rFonts w:ascii="宋体" w:hAnsi="宋体"/>
          <w:sz w:val="24"/>
        </w:rPr>
      </w:pPr>
      <w:r>
        <w:rPr>
          <w:rFonts w:hint="eastAsia" w:ascii="宋体" w:hAnsi="宋体"/>
          <w:sz w:val="24"/>
        </w:rPr>
        <w:t>投标人应如实提交《综合评分表》要求提交的相关各类证明、资料等并应加盖投标人公章，投标人如未按要求提交的，该项评分为零分。</w:t>
      </w:r>
    </w:p>
    <w:p w14:paraId="2DB8FD25">
      <w:pPr>
        <w:widowControl/>
        <w:adjustRightInd/>
        <w:spacing w:line="240" w:lineRule="auto"/>
        <w:jc w:val="left"/>
        <w:textAlignment w:val="auto"/>
        <w:rPr>
          <w:rFonts w:ascii="黑体" w:hAnsi="宋体" w:eastAsia="黑体" w:cs="宋体"/>
          <w:sz w:val="28"/>
          <w:szCs w:val="28"/>
        </w:rPr>
      </w:pPr>
      <w:bookmarkStart w:id="41" w:name="_Toc435514846"/>
      <w:r>
        <w:rPr>
          <w:rFonts w:ascii="黑体" w:hAnsi="宋体" w:eastAsia="黑体" w:cs="宋体"/>
          <w:sz w:val="28"/>
          <w:szCs w:val="28"/>
        </w:rPr>
        <w:br w:type="page"/>
      </w:r>
    </w:p>
    <w:p w14:paraId="7BB8708D">
      <w:pPr>
        <w:snapToGrid w:val="0"/>
        <w:spacing w:before="156" w:beforeLines="50" w:line="360" w:lineRule="auto"/>
        <w:jc w:val="center"/>
        <w:outlineLvl w:val="3"/>
        <w:rPr>
          <w:rFonts w:ascii="黑体" w:hAnsi="宋体" w:eastAsia="黑体" w:cs="宋体"/>
          <w:sz w:val="28"/>
          <w:szCs w:val="28"/>
        </w:rPr>
      </w:pPr>
      <w:r>
        <w:rPr>
          <w:rFonts w:hint="eastAsia" w:ascii="黑体" w:hAnsi="宋体" w:eastAsia="黑体" w:cs="宋体"/>
          <w:sz w:val="28"/>
          <w:szCs w:val="28"/>
        </w:rPr>
        <w:t>资格性审查表</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78"/>
        <w:gridCol w:w="9102"/>
      </w:tblGrid>
      <w:tr w14:paraId="6F9F9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8" w:hRule="atLeast"/>
        </w:trPr>
        <w:tc>
          <w:tcPr>
            <w:tcW w:w="573" w:type="pct"/>
            <w:vAlign w:val="center"/>
          </w:tcPr>
          <w:p w14:paraId="7180BFCD">
            <w:pPr>
              <w:snapToGrid w:val="0"/>
              <w:spacing w:line="288"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4426" w:type="pct"/>
            <w:vAlign w:val="center"/>
          </w:tcPr>
          <w:p w14:paraId="5A2EB6D4">
            <w:pPr>
              <w:snapToGrid w:val="0"/>
              <w:spacing w:line="288"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评 审 内 容</w:t>
            </w:r>
          </w:p>
        </w:tc>
      </w:tr>
      <w:tr w14:paraId="34822F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5CCEF168">
            <w:pPr>
              <w:pStyle w:val="84"/>
              <w:numPr>
                <w:ilvl w:val="0"/>
                <w:numId w:val="20"/>
              </w:numPr>
              <w:snapToGrid w:val="0"/>
              <w:spacing w:line="288" w:lineRule="auto"/>
              <w:ind w:left="142" w:leftChars="71" w:firstLine="0" w:firstLineChars="0"/>
              <w:rPr>
                <w:rFonts w:cs="宋体" w:asciiTheme="minorEastAsia" w:hAnsiTheme="minorEastAsia" w:eastAsiaTheme="minorEastAsia"/>
                <w:sz w:val="24"/>
              </w:rPr>
            </w:pPr>
          </w:p>
        </w:tc>
        <w:tc>
          <w:tcPr>
            <w:tcW w:w="4426" w:type="pct"/>
            <w:vAlign w:val="center"/>
          </w:tcPr>
          <w:p w14:paraId="5E98A126">
            <w:pPr>
              <w:tabs>
                <w:tab w:val="left" w:pos="612"/>
              </w:tabs>
              <w:snapToGrid w:val="0"/>
              <w:spacing w:line="288" w:lineRule="auto"/>
              <w:rPr>
                <w:rFonts w:asciiTheme="minorEastAsia" w:hAnsiTheme="minorEastAsia" w:eastAsiaTheme="minorEastAsia"/>
                <w:bCs/>
                <w:sz w:val="24"/>
              </w:rPr>
            </w:pPr>
            <w:r>
              <w:rPr>
                <w:rFonts w:hint="eastAsia" w:asciiTheme="minorEastAsia" w:hAnsiTheme="minorEastAsia" w:eastAsiaTheme="minorEastAsia"/>
                <w:bCs/>
                <w:sz w:val="24"/>
              </w:rPr>
              <w:t>具备《中华人民共和国政府采购法》第二十二条规定的条件</w:t>
            </w:r>
            <w:r>
              <w:rPr>
                <w:rFonts w:hint="eastAsia" w:asciiTheme="minorEastAsia" w:hAnsiTheme="minorEastAsia" w:eastAsiaTheme="minorEastAsia"/>
                <w:sz w:val="24"/>
              </w:rPr>
              <w:t>；</w:t>
            </w:r>
          </w:p>
        </w:tc>
      </w:tr>
      <w:tr w14:paraId="4DFFFC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31A75FBC">
            <w:pPr>
              <w:numPr>
                <w:ilvl w:val="0"/>
                <w:numId w:val="21"/>
              </w:numPr>
              <w:tabs>
                <w:tab w:val="left" w:pos="176"/>
                <w:tab w:val="left" w:pos="612"/>
              </w:tabs>
              <w:snapToGrid w:val="0"/>
              <w:spacing w:line="288" w:lineRule="auto"/>
              <w:jc w:val="center"/>
              <w:rPr>
                <w:rFonts w:cs="宋体" w:asciiTheme="minorEastAsia" w:hAnsiTheme="minorEastAsia" w:eastAsiaTheme="minorEastAsia"/>
                <w:sz w:val="24"/>
              </w:rPr>
            </w:pPr>
          </w:p>
        </w:tc>
        <w:tc>
          <w:tcPr>
            <w:tcW w:w="4426" w:type="pct"/>
            <w:vAlign w:val="center"/>
          </w:tcPr>
          <w:p w14:paraId="1DA98407">
            <w:pPr>
              <w:pStyle w:val="84"/>
              <w:tabs>
                <w:tab w:val="left" w:pos="612"/>
              </w:tabs>
              <w:snapToGrid w:val="0"/>
              <w:spacing w:line="288" w:lineRule="auto"/>
              <w:ind w:left="2" w:firstLine="0" w:firstLineChars="0"/>
              <w:rPr>
                <w:rFonts w:asciiTheme="minorEastAsia" w:hAnsiTheme="minorEastAsia" w:eastAsiaTheme="minorEastAsia"/>
                <w:bCs/>
                <w:sz w:val="24"/>
              </w:rPr>
            </w:pPr>
            <w:r>
              <w:rPr>
                <w:rFonts w:hint="eastAsia" w:asciiTheme="minorEastAsia" w:hAnsiTheme="minorEastAsia" w:eastAsiaTheme="minorEastAsia"/>
                <w:sz w:val="24"/>
              </w:rPr>
              <w:t>提供在中华人民共和国境内注册的法人或其他组织的营业执照或事业单位法人证书或社会团体法人登记证书</w:t>
            </w:r>
            <w:r>
              <w:rPr>
                <w:rFonts w:hint="eastAsia" w:cs="黑体" w:asciiTheme="minorEastAsia" w:hAnsiTheme="minorEastAsia" w:eastAsiaTheme="minorEastAsia"/>
                <w:sz w:val="24"/>
              </w:rPr>
              <w:t>复印件</w:t>
            </w:r>
            <w:r>
              <w:rPr>
                <w:rFonts w:hint="eastAsia" w:asciiTheme="minorEastAsia" w:hAnsiTheme="minorEastAsia" w:eastAsiaTheme="minorEastAsia"/>
                <w:sz w:val="24"/>
              </w:rPr>
              <w:t>，如投标人为自然人的提供自然人身份证明</w:t>
            </w:r>
            <w:r>
              <w:rPr>
                <w:rFonts w:hint="eastAsia" w:cs="黑体" w:asciiTheme="minorEastAsia" w:hAnsiTheme="minorEastAsia" w:eastAsiaTheme="minorEastAsia"/>
                <w:sz w:val="24"/>
              </w:rPr>
              <w:t>复印件</w:t>
            </w:r>
            <w:r>
              <w:rPr>
                <w:rFonts w:hint="eastAsia" w:asciiTheme="minorEastAsia" w:hAnsiTheme="minorEastAsia" w:eastAsiaTheme="minorEastAsia"/>
                <w:bCs/>
                <w:sz w:val="24"/>
              </w:rPr>
              <w:t>；</w:t>
            </w:r>
            <w:r>
              <w:rPr>
                <w:rFonts w:hint="eastAsia" w:asciiTheme="minorEastAsia" w:hAnsiTheme="minorEastAsia" w:eastAsiaTheme="minorEastAsia"/>
                <w:sz w:val="24"/>
              </w:rPr>
              <w:t>如国家另有规定的，则从其规定。（</w:t>
            </w:r>
            <w:r>
              <w:rPr>
                <w:rFonts w:hint="eastAsia" w:cs="宋体" w:asciiTheme="minorEastAsia" w:hAnsiTheme="minorEastAsia" w:eastAsiaTheme="minorEastAsia"/>
                <w:sz w:val="24"/>
              </w:rPr>
              <w:t>分公司投标，须取得</w:t>
            </w:r>
            <w:r>
              <w:rPr>
                <w:rFonts w:hint="eastAsia" w:cs="黑体" w:asciiTheme="minorEastAsia" w:hAnsiTheme="minorEastAsia" w:eastAsiaTheme="minorEastAsia"/>
                <w:sz w:val="24"/>
              </w:rPr>
              <w:t>具有法人资格的总公司</w:t>
            </w:r>
            <w:r>
              <w:rPr>
                <w:rStyle w:val="59"/>
                <w:rFonts w:hint="eastAsia" w:asciiTheme="minorEastAsia" w:hAnsiTheme="minorEastAsia" w:eastAsiaTheme="minorEastAsia"/>
                <w:sz w:val="24"/>
              </w:rPr>
              <w:t>（总所）</w:t>
            </w:r>
            <w:r>
              <w:rPr>
                <w:rFonts w:hint="eastAsia" w:cs="黑体" w:asciiTheme="minorEastAsia" w:hAnsiTheme="minorEastAsia" w:eastAsiaTheme="minorEastAsia"/>
                <w:sz w:val="24"/>
              </w:rPr>
              <w:t>出具给分公司的授权书，并提供总公司</w:t>
            </w:r>
            <w:r>
              <w:rPr>
                <w:rStyle w:val="59"/>
                <w:rFonts w:hint="eastAsia" w:asciiTheme="minorEastAsia" w:hAnsiTheme="minorEastAsia" w:eastAsiaTheme="minorEastAsia"/>
                <w:sz w:val="24"/>
              </w:rPr>
              <w:t>（总所）</w:t>
            </w:r>
            <w:r>
              <w:rPr>
                <w:rFonts w:hint="eastAsia" w:cs="黑体" w:asciiTheme="minorEastAsia" w:hAnsiTheme="minorEastAsia" w:eastAsiaTheme="minorEastAsia"/>
                <w:sz w:val="24"/>
              </w:rPr>
              <w:t>和分公司的营业执照（执业许可证）复印件。</w:t>
            </w:r>
            <w:r>
              <w:rPr>
                <w:rStyle w:val="59"/>
                <w:rFonts w:hint="eastAsia" w:asciiTheme="minorEastAsia" w:hAnsiTheme="minorEastAsia" w:eastAsiaTheme="minorEastAsia"/>
                <w:sz w:val="24"/>
              </w:rPr>
              <w:t>已由总公司（总所）授权的，总公司（总所）取得的相关资质证书对分公司有效，法律法规或者行业另有规定的除外。）</w:t>
            </w:r>
          </w:p>
        </w:tc>
      </w:tr>
      <w:tr w14:paraId="5A1DD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476CB504">
            <w:pPr>
              <w:numPr>
                <w:ilvl w:val="0"/>
                <w:numId w:val="21"/>
              </w:numPr>
              <w:tabs>
                <w:tab w:val="left" w:pos="176"/>
                <w:tab w:val="left" w:pos="612"/>
              </w:tabs>
              <w:snapToGrid w:val="0"/>
              <w:spacing w:line="288" w:lineRule="auto"/>
              <w:jc w:val="center"/>
              <w:rPr>
                <w:rFonts w:cs="宋体" w:asciiTheme="minorEastAsia" w:hAnsiTheme="minorEastAsia" w:eastAsiaTheme="minorEastAsia"/>
                <w:sz w:val="24"/>
              </w:rPr>
            </w:pPr>
          </w:p>
        </w:tc>
        <w:tc>
          <w:tcPr>
            <w:tcW w:w="4426" w:type="pct"/>
            <w:vAlign w:val="center"/>
          </w:tcPr>
          <w:p w14:paraId="507A4569">
            <w:pPr>
              <w:tabs>
                <w:tab w:val="left" w:pos="612"/>
              </w:tabs>
              <w:snapToGrid w:val="0"/>
              <w:spacing w:line="288" w:lineRule="auto"/>
              <w:rPr>
                <w:rFonts w:hint="eastAsia" w:eastAsia="宋体" w:asciiTheme="minorEastAsia" w:hAnsiTheme="minorEastAsia"/>
                <w:bCs/>
                <w:sz w:val="24"/>
                <w:lang w:eastAsia="zh-CN"/>
              </w:rPr>
            </w:pPr>
            <w:r>
              <w:rPr>
                <w:rFonts w:hint="eastAsia" w:ascii="宋体" w:hAnsi="宋体"/>
                <w:kern w:val="2"/>
                <w:sz w:val="24"/>
                <w:szCs w:val="21"/>
              </w:rPr>
              <w:t>提供</w:t>
            </w:r>
            <w:r>
              <w:rPr>
                <w:rFonts w:hint="eastAsia" w:ascii="宋体" w:hAnsi="宋体"/>
                <w:kern w:val="2"/>
                <w:sz w:val="24"/>
                <w:szCs w:val="21"/>
                <w:u w:val="single"/>
              </w:rPr>
              <w:t>202</w:t>
            </w:r>
            <w:r>
              <w:rPr>
                <w:rFonts w:hint="eastAsia" w:ascii="宋体" w:hAnsi="宋体"/>
                <w:kern w:val="2"/>
                <w:sz w:val="24"/>
                <w:szCs w:val="21"/>
                <w:u w:val="single"/>
                <w:lang w:val="en-US" w:eastAsia="zh-CN"/>
              </w:rPr>
              <w:t>4</w:t>
            </w:r>
            <w:r>
              <w:rPr>
                <w:rFonts w:hint="eastAsia" w:ascii="宋体" w:hAnsi="宋体"/>
                <w:kern w:val="2"/>
                <w:sz w:val="24"/>
                <w:szCs w:val="21"/>
              </w:rPr>
              <w:t>年度财务状况报告或</w:t>
            </w:r>
            <w:r>
              <w:rPr>
                <w:rFonts w:hint="eastAsia" w:ascii="宋体" w:hAnsi="宋体"/>
                <w:kern w:val="2"/>
                <w:sz w:val="24"/>
                <w:szCs w:val="21"/>
                <w:u w:val="single"/>
              </w:rPr>
              <w:t>202</w:t>
            </w:r>
            <w:r>
              <w:rPr>
                <w:rFonts w:hint="eastAsia" w:ascii="宋体" w:hAnsi="宋体"/>
                <w:kern w:val="2"/>
                <w:sz w:val="24"/>
                <w:szCs w:val="21"/>
                <w:u w:val="single"/>
                <w:lang w:val="en-US" w:eastAsia="zh-CN"/>
              </w:rPr>
              <w:t>5</w:t>
            </w:r>
            <w:r>
              <w:rPr>
                <w:rFonts w:hint="eastAsia" w:ascii="宋体" w:hAnsi="宋体"/>
                <w:kern w:val="2"/>
                <w:sz w:val="24"/>
                <w:szCs w:val="21"/>
              </w:rPr>
              <w:t>年任意</w:t>
            </w:r>
            <w:r>
              <w:rPr>
                <w:rFonts w:hint="eastAsia" w:ascii="宋体" w:hAnsi="宋体"/>
                <w:kern w:val="2"/>
                <w:sz w:val="24"/>
                <w:szCs w:val="21"/>
                <w:u w:val="single"/>
              </w:rPr>
              <w:t>1</w:t>
            </w:r>
            <w:r>
              <w:rPr>
                <w:rFonts w:hint="eastAsia" w:ascii="宋体" w:hAnsi="宋体"/>
                <w:kern w:val="2"/>
                <w:sz w:val="24"/>
                <w:szCs w:val="21"/>
              </w:rPr>
              <w:t>个月的财务状况报告复印件，或银行出具的资信证明材料复印件</w:t>
            </w:r>
            <w:r>
              <w:rPr>
                <w:rFonts w:hint="eastAsia" w:ascii="宋体" w:hAnsi="宋体"/>
                <w:kern w:val="2"/>
                <w:sz w:val="24"/>
                <w:szCs w:val="21"/>
                <w:lang w:eastAsia="zh-CN"/>
              </w:rPr>
              <w:t>。</w:t>
            </w:r>
          </w:p>
        </w:tc>
      </w:tr>
      <w:tr w14:paraId="0905CD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08FDC7A2">
            <w:pPr>
              <w:numPr>
                <w:ilvl w:val="0"/>
                <w:numId w:val="21"/>
              </w:numPr>
              <w:tabs>
                <w:tab w:val="left" w:pos="176"/>
                <w:tab w:val="left" w:pos="612"/>
              </w:tabs>
              <w:snapToGrid w:val="0"/>
              <w:spacing w:line="288" w:lineRule="auto"/>
              <w:jc w:val="center"/>
              <w:rPr>
                <w:rFonts w:cs="宋体" w:asciiTheme="minorEastAsia" w:hAnsiTheme="minorEastAsia" w:eastAsiaTheme="minorEastAsia"/>
                <w:sz w:val="24"/>
              </w:rPr>
            </w:pPr>
          </w:p>
        </w:tc>
        <w:tc>
          <w:tcPr>
            <w:tcW w:w="4426" w:type="pct"/>
            <w:vAlign w:val="center"/>
          </w:tcPr>
          <w:p w14:paraId="1D3ABA0D">
            <w:pPr>
              <w:tabs>
                <w:tab w:val="left" w:pos="612"/>
              </w:tabs>
              <w:snapToGrid w:val="0"/>
              <w:spacing w:line="288" w:lineRule="auto"/>
              <w:rPr>
                <w:rFonts w:asciiTheme="minorEastAsia" w:hAnsiTheme="minorEastAsia" w:eastAsiaTheme="minorEastAsia"/>
                <w:bCs/>
                <w:sz w:val="24"/>
              </w:rPr>
            </w:pPr>
            <w:r>
              <w:rPr>
                <w:rFonts w:hint="eastAsia" w:asciiTheme="minorEastAsia" w:hAnsiTheme="minorEastAsia" w:eastAsiaTheme="minorEastAsia"/>
                <w:bCs/>
                <w:sz w:val="24"/>
              </w:rPr>
              <w:t>提供2025年任意1个月缴纳税收的凭据证明材料复印件；如依法免税的，应提供相关材料。</w:t>
            </w:r>
          </w:p>
        </w:tc>
      </w:tr>
      <w:tr w14:paraId="787DA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0D01E5FB">
            <w:pPr>
              <w:numPr>
                <w:ilvl w:val="0"/>
                <w:numId w:val="21"/>
              </w:numPr>
              <w:tabs>
                <w:tab w:val="left" w:pos="176"/>
                <w:tab w:val="left" w:pos="612"/>
              </w:tabs>
              <w:snapToGrid w:val="0"/>
              <w:spacing w:line="288" w:lineRule="auto"/>
              <w:jc w:val="center"/>
              <w:rPr>
                <w:rFonts w:cs="宋体" w:asciiTheme="minorEastAsia" w:hAnsiTheme="minorEastAsia" w:eastAsiaTheme="minorEastAsia"/>
                <w:sz w:val="24"/>
              </w:rPr>
            </w:pPr>
          </w:p>
        </w:tc>
        <w:tc>
          <w:tcPr>
            <w:tcW w:w="4426" w:type="pct"/>
            <w:vAlign w:val="center"/>
          </w:tcPr>
          <w:p w14:paraId="1C71A258">
            <w:pPr>
              <w:tabs>
                <w:tab w:val="left" w:pos="612"/>
              </w:tabs>
              <w:snapToGrid w:val="0"/>
              <w:spacing w:line="288" w:lineRule="auto"/>
              <w:rPr>
                <w:rFonts w:asciiTheme="minorEastAsia" w:hAnsiTheme="minorEastAsia" w:eastAsiaTheme="minorEastAsia"/>
                <w:bCs/>
                <w:sz w:val="24"/>
              </w:rPr>
            </w:pPr>
            <w:r>
              <w:rPr>
                <w:rFonts w:hint="eastAsia" w:asciiTheme="minorEastAsia" w:hAnsiTheme="minorEastAsia" w:eastAsiaTheme="minorEastAsia"/>
                <w:bCs/>
                <w:sz w:val="24"/>
              </w:rPr>
              <w:t>提供2025年任意1个月缴纳社会保障资金的凭据证明材料复印件；如依法不需要缴纳社会保障资金的，应提供相关材料。</w:t>
            </w:r>
          </w:p>
        </w:tc>
      </w:tr>
      <w:tr w14:paraId="2DD9E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00AB634A">
            <w:pPr>
              <w:numPr>
                <w:ilvl w:val="0"/>
                <w:numId w:val="21"/>
              </w:numPr>
              <w:tabs>
                <w:tab w:val="left" w:pos="176"/>
                <w:tab w:val="left" w:pos="612"/>
              </w:tabs>
              <w:snapToGrid w:val="0"/>
              <w:spacing w:line="288" w:lineRule="auto"/>
              <w:jc w:val="center"/>
              <w:rPr>
                <w:rFonts w:cs="宋体" w:asciiTheme="minorEastAsia" w:hAnsiTheme="minorEastAsia" w:eastAsiaTheme="minorEastAsia"/>
                <w:sz w:val="24"/>
              </w:rPr>
            </w:pPr>
          </w:p>
        </w:tc>
        <w:tc>
          <w:tcPr>
            <w:tcW w:w="4426" w:type="pct"/>
            <w:vAlign w:val="center"/>
          </w:tcPr>
          <w:p w14:paraId="6F4C5EA8">
            <w:pPr>
              <w:tabs>
                <w:tab w:val="left" w:pos="612"/>
              </w:tabs>
              <w:snapToGrid w:val="0"/>
              <w:spacing w:line="288" w:lineRule="auto"/>
              <w:rPr>
                <w:rFonts w:asciiTheme="minorEastAsia" w:hAnsiTheme="minorEastAsia" w:eastAsiaTheme="minorEastAsia"/>
                <w:bCs/>
                <w:sz w:val="24"/>
              </w:rPr>
            </w:pPr>
            <w:r>
              <w:rPr>
                <w:rFonts w:hint="eastAsia" w:asciiTheme="minorEastAsia" w:hAnsiTheme="minorEastAsia" w:eastAsiaTheme="minorEastAsia"/>
                <w:bCs/>
                <w:sz w:val="24"/>
              </w:rPr>
              <w:t>具提供履行合同所必需的设备和专业技术能力的证明材料。（提供《投标人资格声明函》）</w:t>
            </w:r>
          </w:p>
        </w:tc>
      </w:tr>
      <w:tr w14:paraId="287459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79DB87AF">
            <w:pPr>
              <w:numPr>
                <w:ilvl w:val="0"/>
                <w:numId w:val="21"/>
              </w:numPr>
              <w:tabs>
                <w:tab w:val="left" w:pos="176"/>
                <w:tab w:val="left" w:pos="612"/>
              </w:tabs>
              <w:snapToGrid w:val="0"/>
              <w:spacing w:line="288" w:lineRule="auto"/>
              <w:jc w:val="center"/>
              <w:rPr>
                <w:rFonts w:cs="宋体" w:asciiTheme="minorEastAsia" w:hAnsiTheme="minorEastAsia" w:eastAsiaTheme="minorEastAsia"/>
                <w:sz w:val="24"/>
              </w:rPr>
            </w:pPr>
          </w:p>
        </w:tc>
        <w:tc>
          <w:tcPr>
            <w:tcW w:w="4426" w:type="pct"/>
            <w:vAlign w:val="center"/>
          </w:tcPr>
          <w:p w14:paraId="6BB17B41">
            <w:pPr>
              <w:tabs>
                <w:tab w:val="left" w:pos="612"/>
              </w:tabs>
              <w:snapToGrid w:val="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提供参加采购活动前3年内在经营活动中没有重大违法记录的书面声明。（提供《投标人资格声明函》）</w:t>
            </w:r>
          </w:p>
        </w:tc>
      </w:tr>
      <w:tr w14:paraId="526AC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26C4D851">
            <w:pPr>
              <w:numPr>
                <w:ilvl w:val="0"/>
                <w:numId w:val="21"/>
              </w:numPr>
              <w:tabs>
                <w:tab w:val="left" w:pos="176"/>
                <w:tab w:val="left" w:pos="612"/>
              </w:tabs>
              <w:snapToGrid w:val="0"/>
              <w:spacing w:line="288" w:lineRule="auto"/>
              <w:jc w:val="center"/>
              <w:rPr>
                <w:rFonts w:cs="宋体" w:asciiTheme="minorEastAsia" w:hAnsiTheme="minorEastAsia" w:eastAsiaTheme="minorEastAsia"/>
                <w:sz w:val="24"/>
              </w:rPr>
            </w:pPr>
          </w:p>
        </w:tc>
        <w:tc>
          <w:tcPr>
            <w:tcW w:w="4426" w:type="pct"/>
            <w:vAlign w:val="center"/>
          </w:tcPr>
          <w:p w14:paraId="2DC05367">
            <w:pPr>
              <w:tabs>
                <w:tab w:val="left" w:pos="612"/>
              </w:tabs>
              <w:snapToGrid w:val="0"/>
              <w:spacing w:line="288" w:lineRule="auto"/>
              <w:rPr>
                <w:rFonts w:asciiTheme="minorEastAsia" w:hAnsiTheme="minorEastAsia" w:eastAsiaTheme="minorEastAsia"/>
                <w:bCs/>
                <w:sz w:val="24"/>
              </w:rPr>
            </w:pPr>
            <w:r>
              <w:rPr>
                <w:rFonts w:hint="eastAsia" w:asciiTheme="majorEastAsia" w:hAnsiTheme="majorEastAsia" w:eastAsiaTheme="majorEastAsia"/>
                <w:sz w:val="24"/>
              </w:rPr>
              <w:t>法律、法规规定其他条件。</w:t>
            </w:r>
            <w:r>
              <w:rPr>
                <w:rFonts w:hint="eastAsia" w:asciiTheme="minorEastAsia" w:hAnsiTheme="minorEastAsia" w:eastAsiaTheme="minorEastAsia"/>
                <w:bCs/>
                <w:sz w:val="24"/>
              </w:rPr>
              <w:t>（提供《投标人资格声明函》）</w:t>
            </w:r>
          </w:p>
        </w:tc>
      </w:tr>
      <w:tr w14:paraId="33A4A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6136BED5">
            <w:pPr>
              <w:pStyle w:val="84"/>
              <w:numPr>
                <w:ilvl w:val="0"/>
                <w:numId w:val="20"/>
              </w:numPr>
              <w:snapToGrid w:val="0"/>
              <w:spacing w:line="288" w:lineRule="auto"/>
              <w:ind w:left="142" w:leftChars="71" w:firstLine="0" w:firstLineChars="0"/>
              <w:rPr>
                <w:rFonts w:cs="宋体" w:asciiTheme="minorEastAsia" w:hAnsiTheme="minorEastAsia" w:eastAsiaTheme="minorEastAsia"/>
                <w:sz w:val="24"/>
              </w:rPr>
            </w:pPr>
          </w:p>
        </w:tc>
        <w:tc>
          <w:tcPr>
            <w:tcW w:w="4426" w:type="pct"/>
            <w:vAlign w:val="center"/>
          </w:tcPr>
          <w:p w14:paraId="3C061430">
            <w:pPr>
              <w:tabs>
                <w:tab w:val="left" w:pos="612"/>
              </w:tabs>
              <w:snapToGrid w:val="0"/>
              <w:spacing w:line="288" w:lineRule="auto"/>
              <w:rPr>
                <w:rFonts w:asciiTheme="minorEastAsia" w:hAnsiTheme="minorEastAsia" w:eastAsiaTheme="minorEastAsia"/>
                <w:sz w:val="24"/>
              </w:rPr>
            </w:pPr>
            <w:r>
              <w:rPr>
                <w:rFonts w:hint="eastAsia" w:asciiTheme="minorEastAsia" w:hAnsiTheme="minorEastAsia" w:eastAsiaTheme="minorEastAsia"/>
                <w:sz w:val="24"/>
              </w:rPr>
              <w:t>为采购项目提供整体设计、规范编制或者项目管理、监理、检测等服务的供应商，不得再参加该采购项目的其他采购活动。（提供《投标人资格声明函》）</w:t>
            </w:r>
          </w:p>
        </w:tc>
      </w:tr>
      <w:tr w14:paraId="2BAC5F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32E5FF24">
            <w:pPr>
              <w:pStyle w:val="84"/>
              <w:numPr>
                <w:ilvl w:val="0"/>
                <w:numId w:val="20"/>
              </w:numPr>
              <w:snapToGrid w:val="0"/>
              <w:spacing w:line="288" w:lineRule="auto"/>
              <w:ind w:left="142" w:leftChars="71" w:firstLine="0" w:firstLineChars="0"/>
              <w:rPr>
                <w:rFonts w:cs="宋体" w:asciiTheme="minorEastAsia" w:hAnsiTheme="minorEastAsia" w:eastAsiaTheme="minorEastAsia"/>
                <w:sz w:val="24"/>
              </w:rPr>
            </w:pPr>
          </w:p>
        </w:tc>
        <w:tc>
          <w:tcPr>
            <w:tcW w:w="4426" w:type="pct"/>
            <w:vAlign w:val="center"/>
          </w:tcPr>
          <w:p w14:paraId="295D2720">
            <w:pPr>
              <w:tabs>
                <w:tab w:val="left" w:pos="612"/>
              </w:tabs>
              <w:snapToGrid w:val="0"/>
              <w:spacing w:line="288" w:lineRule="auto"/>
              <w:rPr>
                <w:rFonts w:asciiTheme="minorEastAsia" w:hAnsiTheme="minorEastAsia" w:eastAsiaTheme="minorEastAsia"/>
                <w:sz w:val="24"/>
              </w:rPr>
            </w:pPr>
            <w:r>
              <w:rPr>
                <w:rFonts w:hint="eastAsia" w:ascii="宋体" w:hAnsi="宋体"/>
                <w:bCs/>
                <w:kern w:val="2"/>
                <w:sz w:val="24"/>
              </w:rPr>
              <w:t>单位负责人为同一人或者存在直接控股、管理关系的不同供应商，不得参加同一合同项下的政府采购活动。</w:t>
            </w:r>
            <w:r>
              <w:rPr>
                <w:rFonts w:hint="eastAsia" w:ascii="宋体" w:hAnsi="宋体"/>
                <w:bCs/>
                <w:kern w:val="2"/>
                <w:sz w:val="24"/>
                <w:szCs w:val="20"/>
              </w:rPr>
              <w:t>（提供《</w:t>
            </w:r>
            <w:r>
              <w:rPr>
                <w:rFonts w:hint="eastAsia" w:ascii="宋体" w:hAnsi="宋体"/>
                <w:kern w:val="2"/>
                <w:sz w:val="24"/>
              </w:rPr>
              <w:t>投标人</w:t>
            </w:r>
            <w:r>
              <w:rPr>
                <w:rFonts w:hint="eastAsia" w:ascii="宋体" w:hAnsi="宋体"/>
                <w:bCs/>
                <w:kern w:val="2"/>
                <w:sz w:val="24"/>
                <w:szCs w:val="20"/>
              </w:rPr>
              <w:t>资格声明函》）</w:t>
            </w:r>
          </w:p>
        </w:tc>
      </w:tr>
      <w:tr w14:paraId="51F02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7D17F36C">
            <w:pPr>
              <w:pStyle w:val="84"/>
              <w:numPr>
                <w:ilvl w:val="0"/>
                <w:numId w:val="20"/>
              </w:numPr>
              <w:snapToGrid w:val="0"/>
              <w:spacing w:line="288" w:lineRule="auto"/>
              <w:ind w:left="142" w:leftChars="71" w:firstLine="0" w:firstLineChars="0"/>
              <w:rPr>
                <w:rFonts w:cs="宋体" w:asciiTheme="minorEastAsia" w:hAnsiTheme="minorEastAsia" w:eastAsiaTheme="minorEastAsia"/>
                <w:sz w:val="24"/>
              </w:rPr>
            </w:pPr>
          </w:p>
        </w:tc>
        <w:tc>
          <w:tcPr>
            <w:tcW w:w="4426" w:type="pct"/>
            <w:vAlign w:val="center"/>
          </w:tcPr>
          <w:p w14:paraId="4A1DD8BB">
            <w:pPr>
              <w:tabs>
                <w:tab w:val="left" w:pos="567"/>
              </w:tabs>
              <w:snapToGrid w:val="0"/>
              <w:spacing w:line="288" w:lineRule="auto"/>
              <w:rPr>
                <w:rFonts w:asciiTheme="minorEastAsia" w:hAnsiTheme="minorEastAsia" w:eastAsiaTheme="minorEastAsia"/>
                <w:sz w:val="24"/>
              </w:rPr>
            </w:pPr>
            <w:r>
              <w:rPr>
                <w:rFonts w:hint="eastAsia" w:asciiTheme="minorEastAsia" w:hAnsiTheme="minorEastAsia" w:eastAsiaTheme="minorEastAsia"/>
                <w:sz w:val="24"/>
              </w:rPr>
              <w:t>投标人未被列入“信用中国”网站(www.creditchina.gov.cn)以下任何记录名单之一：①失信被执行人；②重大税收违法失信主体；③政府采购严重违法失信行为。同时，不处于中国政府采购网(www.ccgp.gov.cn)“政府采购严重违法失信行为信息记录”中的禁止参加政府采购活动期间。（说明：①由采购人、采购代理机构于投标截止日在“信用中国”网站（www.creditchina.gov.cn）及中国政府采购网(www.ccgp.gov.cn)查询结果为准，如在上述网站查询结果均显示没有相关记录，视为不存在上述不良信用记录。②采购代理机构同时对信用信息查询记录和证据截图或下载存档；③投标人为分公司或联合体有成员为分公司的，同时对该分公司所属总公司（总所）进行信用记录查询，该分公司所属总公司（总所）存在不良信用记录的，视同供应商（联合体）存在不良信用记录。）</w:t>
            </w:r>
          </w:p>
        </w:tc>
      </w:tr>
      <w:tr w14:paraId="22D97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31584FC9">
            <w:pPr>
              <w:pStyle w:val="84"/>
              <w:numPr>
                <w:ilvl w:val="0"/>
                <w:numId w:val="20"/>
              </w:numPr>
              <w:snapToGrid w:val="0"/>
              <w:spacing w:line="288" w:lineRule="auto"/>
              <w:ind w:left="142" w:leftChars="71" w:firstLine="0" w:firstLineChars="0"/>
              <w:rPr>
                <w:rFonts w:cs="宋体" w:asciiTheme="minorEastAsia" w:hAnsiTheme="minorEastAsia" w:eastAsiaTheme="minorEastAsia"/>
                <w:sz w:val="24"/>
              </w:rPr>
            </w:pPr>
          </w:p>
        </w:tc>
        <w:tc>
          <w:tcPr>
            <w:tcW w:w="4426" w:type="pct"/>
            <w:vAlign w:val="center"/>
          </w:tcPr>
          <w:p w14:paraId="5521E411">
            <w:pPr>
              <w:tabs>
                <w:tab w:val="left" w:pos="612"/>
              </w:tabs>
              <w:snapToGrid w:val="0"/>
              <w:spacing w:line="288" w:lineRule="auto"/>
              <w:rPr>
                <w:rFonts w:asciiTheme="minorEastAsia" w:hAnsiTheme="minorEastAsia" w:eastAsiaTheme="minorEastAsia"/>
                <w:bCs/>
                <w:sz w:val="24"/>
              </w:rPr>
            </w:pPr>
            <w:r>
              <w:rPr>
                <w:rFonts w:hint="eastAsia" w:ascii="宋体" w:hAnsi="宋体"/>
                <w:sz w:val="24"/>
              </w:rPr>
              <w:t>本项目不接受联合体投标。</w:t>
            </w:r>
          </w:p>
        </w:tc>
      </w:tr>
      <w:tr w14:paraId="0EAE1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3" w:type="pct"/>
            <w:vAlign w:val="center"/>
          </w:tcPr>
          <w:p w14:paraId="734F34EE">
            <w:pPr>
              <w:pStyle w:val="84"/>
              <w:numPr>
                <w:ilvl w:val="0"/>
                <w:numId w:val="20"/>
              </w:numPr>
              <w:snapToGrid w:val="0"/>
              <w:spacing w:line="288" w:lineRule="auto"/>
              <w:ind w:left="142" w:leftChars="71" w:firstLine="0" w:firstLineChars="0"/>
              <w:rPr>
                <w:rFonts w:cs="宋体" w:asciiTheme="minorEastAsia" w:hAnsiTheme="minorEastAsia" w:eastAsiaTheme="minorEastAsia"/>
                <w:sz w:val="24"/>
              </w:rPr>
            </w:pPr>
          </w:p>
        </w:tc>
        <w:tc>
          <w:tcPr>
            <w:tcW w:w="4426" w:type="pct"/>
            <w:vAlign w:val="center"/>
          </w:tcPr>
          <w:p w14:paraId="1F770EE1">
            <w:pPr>
              <w:tabs>
                <w:tab w:val="left" w:pos="612"/>
              </w:tabs>
              <w:snapToGrid w:val="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投标人资格声明函已提交并符合招标文件要求的；</w:t>
            </w:r>
          </w:p>
        </w:tc>
      </w:tr>
      <w:tr w14:paraId="6A32D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1" w:hRule="atLeast"/>
        </w:trPr>
        <w:tc>
          <w:tcPr>
            <w:tcW w:w="573" w:type="pct"/>
            <w:vAlign w:val="center"/>
          </w:tcPr>
          <w:p w14:paraId="0A038CB3">
            <w:pPr>
              <w:pStyle w:val="84"/>
              <w:numPr>
                <w:ilvl w:val="0"/>
                <w:numId w:val="20"/>
              </w:numPr>
              <w:snapToGrid w:val="0"/>
              <w:spacing w:line="288" w:lineRule="auto"/>
              <w:ind w:left="142" w:leftChars="71" w:firstLine="0" w:firstLineChars="0"/>
              <w:rPr>
                <w:rFonts w:cs="宋体" w:asciiTheme="minorEastAsia" w:hAnsiTheme="minorEastAsia" w:eastAsiaTheme="minorEastAsia"/>
                <w:sz w:val="24"/>
              </w:rPr>
            </w:pPr>
          </w:p>
        </w:tc>
        <w:tc>
          <w:tcPr>
            <w:tcW w:w="4426" w:type="pct"/>
            <w:vAlign w:val="center"/>
          </w:tcPr>
          <w:p w14:paraId="0AB11A54">
            <w:pPr>
              <w:adjustRightInd/>
              <w:snapToGrid w:val="0"/>
              <w:spacing w:line="360" w:lineRule="auto"/>
              <w:textAlignment w:val="auto"/>
              <w:rPr>
                <w:rFonts w:ascii="宋体" w:hAnsi="宋体"/>
                <w:b/>
                <w:bCs/>
                <w:i/>
                <w:iCs/>
                <w:kern w:val="2"/>
                <w:sz w:val="24"/>
                <w:shd w:val="pct10" w:color="auto" w:fill="FFFFFF"/>
              </w:rPr>
            </w:pPr>
            <w:r>
              <w:rPr>
                <w:rFonts w:hint="eastAsia" w:ascii="宋体" w:hAnsi="宋体" w:cs="仿宋_GB2312"/>
                <w:kern w:val="2"/>
                <w:sz w:val="24"/>
              </w:rPr>
              <w:t>落实政府采购政策需满足的资格要求：</w:t>
            </w:r>
          </w:p>
          <w:p w14:paraId="3C226C33">
            <w:pPr>
              <w:adjustRightInd/>
              <w:snapToGrid w:val="0"/>
              <w:spacing w:line="360" w:lineRule="auto"/>
              <w:textAlignment w:val="auto"/>
              <w:rPr>
                <w:rFonts w:cs="宋体" w:asciiTheme="minorEastAsia" w:hAnsiTheme="minorEastAsia" w:eastAsiaTheme="minorEastAsia"/>
                <w:sz w:val="24"/>
              </w:rPr>
            </w:pPr>
            <w:r>
              <w:rPr>
                <w:rFonts w:hint="eastAsia" w:cs="宋体" w:asciiTheme="minorEastAsia" w:hAnsiTheme="minorEastAsia" w:eastAsiaTheme="minorEastAsia"/>
                <w:sz w:val="24"/>
              </w:rPr>
              <w:t>无。本项目不属于专门面向中小企业采购的项目。</w:t>
            </w:r>
          </w:p>
        </w:tc>
      </w:tr>
    </w:tbl>
    <w:p w14:paraId="16EE0DEA">
      <w:pPr>
        <w:snapToGrid w:val="0"/>
        <w:spacing w:before="156" w:beforeLines="50" w:line="360" w:lineRule="auto"/>
        <w:jc w:val="center"/>
        <w:outlineLvl w:val="3"/>
        <w:rPr>
          <w:rFonts w:ascii="黑体" w:hAnsi="宋体" w:eastAsia="黑体" w:cs="宋体"/>
          <w:sz w:val="28"/>
          <w:szCs w:val="28"/>
        </w:rPr>
      </w:pPr>
      <w:r>
        <w:rPr>
          <w:rFonts w:hint="eastAsia" w:ascii="黑体" w:hAnsi="宋体" w:eastAsia="黑体" w:cs="宋体"/>
          <w:sz w:val="28"/>
          <w:szCs w:val="28"/>
        </w:rPr>
        <w:t>符合性审查表</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78"/>
        <w:gridCol w:w="9102"/>
      </w:tblGrid>
      <w:tr w14:paraId="27CD3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573" w:type="pct"/>
            <w:vAlign w:val="center"/>
          </w:tcPr>
          <w:p w14:paraId="2E33C434">
            <w:pPr>
              <w:jc w:val="center"/>
              <w:rPr>
                <w:rFonts w:ascii="宋体" w:cs="宋体"/>
                <w:b/>
                <w:sz w:val="24"/>
              </w:rPr>
            </w:pPr>
            <w:r>
              <w:rPr>
                <w:rFonts w:hint="eastAsia" w:ascii="宋体" w:cs="宋体"/>
                <w:b/>
                <w:sz w:val="24"/>
              </w:rPr>
              <w:t>序号</w:t>
            </w:r>
          </w:p>
        </w:tc>
        <w:tc>
          <w:tcPr>
            <w:tcW w:w="4427" w:type="pct"/>
            <w:vAlign w:val="center"/>
          </w:tcPr>
          <w:p w14:paraId="151B2B58">
            <w:pPr>
              <w:jc w:val="center"/>
              <w:rPr>
                <w:rFonts w:ascii="宋体" w:cs="宋体"/>
                <w:b/>
                <w:sz w:val="24"/>
              </w:rPr>
            </w:pPr>
            <w:r>
              <w:rPr>
                <w:rFonts w:hint="eastAsia" w:ascii="宋体" w:hAnsi="宋体" w:cs="宋体"/>
                <w:b/>
                <w:sz w:val="24"/>
              </w:rPr>
              <w:t>评 审 内 容</w:t>
            </w:r>
          </w:p>
        </w:tc>
      </w:tr>
      <w:tr w14:paraId="0F654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61" w:hRule="atLeast"/>
        </w:trPr>
        <w:tc>
          <w:tcPr>
            <w:tcW w:w="573" w:type="pct"/>
            <w:vAlign w:val="center"/>
          </w:tcPr>
          <w:p w14:paraId="3C7729E0">
            <w:pPr>
              <w:numPr>
                <w:ilvl w:val="0"/>
                <w:numId w:val="22"/>
              </w:numPr>
              <w:tabs>
                <w:tab w:val="left" w:pos="176"/>
                <w:tab w:val="left" w:pos="612"/>
              </w:tabs>
              <w:jc w:val="center"/>
              <w:rPr>
                <w:rFonts w:ascii="宋体" w:hAnsi="宋体" w:cs="宋体"/>
                <w:sz w:val="24"/>
              </w:rPr>
            </w:pPr>
          </w:p>
        </w:tc>
        <w:tc>
          <w:tcPr>
            <w:tcW w:w="4427" w:type="pct"/>
            <w:vAlign w:val="center"/>
          </w:tcPr>
          <w:p w14:paraId="2B2D15AC">
            <w:pPr>
              <w:tabs>
                <w:tab w:val="left" w:pos="612"/>
              </w:tabs>
              <w:rPr>
                <w:rFonts w:ascii="宋体" w:hAnsi="宋体" w:cs="宋体"/>
                <w:sz w:val="24"/>
              </w:rPr>
            </w:pPr>
            <w:r>
              <w:rPr>
                <w:rFonts w:hint="eastAsia" w:ascii="宋体" w:hAnsi="宋体" w:cs="宋体"/>
                <w:sz w:val="24"/>
              </w:rPr>
              <w:t>按照招标文件规定要求签署、盖章且投标文件有法定代表人签字或盖个人名章（或签字人有法定代表人有效授权书）的；</w:t>
            </w:r>
          </w:p>
        </w:tc>
      </w:tr>
      <w:tr w14:paraId="2787D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trPr>
        <w:tc>
          <w:tcPr>
            <w:tcW w:w="573" w:type="pct"/>
            <w:vAlign w:val="center"/>
          </w:tcPr>
          <w:p w14:paraId="3BD67DD4">
            <w:pPr>
              <w:numPr>
                <w:ilvl w:val="0"/>
                <w:numId w:val="22"/>
              </w:numPr>
              <w:tabs>
                <w:tab w:val="left" w:pos="176"/>
                <w:tab w:val="left" w:pos="612"/>
              </w:tabs>
              <w:jc w:val="center"/>
              <w:rPr>
                <w:rFonts w:ascii="宋体" w:hAnsi="宋体" w:cs="宋体"/>
                <w:sz w:val="24"/>
              </w:rPr>
            </w:pPr>
          </w:p>
        </w:tc>
        <w:tc>
          <w:tcPr>
            <w:tcW w:w="4427" w:type="pct"/>
            <w:vAlign w:val="center"/>
          </w:tcPr>
          <w:p w14:paraId="273883C8">
            <w:pPr>
              <w:tabs>
                <w:tab w:val="left" w:pos="612"/>
              </w:tabs>
              <w:rPr>
                <w:rFonts w:ascii="宋体" w:hAnsi="宋体" w:cs="宋体"/>
                <w:sz w:val="24"/>
              </w:rPr>
            </w:pPr>
            <w:r>
              <w:rPr>
                <w:rFonts w:hint="eastAsia" w:ascii="宋体" w:hAnsi="宋体" w:cs="宋体"/>
                <w:sz w:val="24"/>
              </w:rPr>
              <w:t>投标函已提交并符合招标文件要求的，且</w:t>
            </w:r>
            <w:r>
              <w:rPr>
                <w:rFonts w:hint="eastAsia" w:ascii="宋体" w:hAnsi="宋体"/>
                <w:sz w:val="24"/>
              </w:rPr>
              <w:t>投标有效期不少于招标文件中载明的投标有效期；</w:t>
            </w:r>
          </w:p>
        </w:tc>
      </w:tr>
      <w:tr w14:paraId="1FC96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3" w:hRule="atLeast"/>
        </w:trPr>
        <w:tc>
          <w:tcPr>
            <w:tcW w:w="573" w:type="pct"/>
            <w:vAlign w:val="center"/>
          </w:tcPr>
          <w:p w14:paraId="111C6D4B">
            <w:pPr>
              <w:numPr>
                <w:ilvl w:val="0"/>
                <w:numId w:val="22"/>
              </w:numPr>
              <w:tabs>
                <w:tab w:val="left" w:pos="176"/>
                <w:tab w:val="left" w:pos="612"/>
              </w:tabs>
              <w:jc w:val="center"/>
              <w:rPr>
                <w:rFonts w:ascii="宋体" w:hAnsi="宋体" w:cs="宋体"/>
                <w:sz w:val="24"/>
              </w:rPr>
            </w:pPr>
          </w:p>
        </w:tc>
        <w:tc>
          <w:tcPr>
            <w:tcW w:w="4427" w:type="pct"/>
            <w:vAlign w:val="center"/>
          </w:tcPr>
          <w:p w14:paraId="480CA732">
            <w:pPr>
              <w:spacing w:line="360" w:lineRule="auto"/>
              <w:rPr>
                <w:rFonts w:ascii="宋体" w:hAnsi="宋体" w:cs="宋体"/>
                <w:sz w:val="24"/>
              </w:rPr>
            </w:pPr>
            <w:r>
              <w:rPr>
                <w:rFonts w:hint="eastAsia" w:asciiTheme="minorEastAsia" w:hAnsiTheme="minorEastAsia" w:eastAsiaTheme="minorEastAsia"/>
                <w:sz w:val="24"/>
              </w:rPr>
              <w:t>投标综合折扣率报价没有大于100%，也没有为负数或零</w:t>
            </w:r>
            <w:r>
              <w:rPr>
                <w:rFonts w:hint="eastAsia" w:cs="宋体" w:asciiTheme="minorEastAsia" w:hAnsiTheme="minorEastAsia" w:eastAsiaTheme="minorEastAsia"/>
                <w:sz w:val="24"/>
              </w:rPr>
              <w:t>，且是固定唯一值的；</w:t>
            </w:r>
          </w:p>
        </w:tc>
      </w:tr>
      <w:tr w14:paraId="17C1F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573" w:type="pct"/>
            <w:vAlign w:val="center"/>
          </w:tcPr>
          <w:p w14:paraId="20902B3C">
            <w:pPr>
              <w:numPr>
                <w:ilvl w:val="0"/>
                <w:numId w:val="22"/>
              </w:numPr>
              <w:tabs>
                <w:tab w:val="left" w:pos="176"/>
                <w:tab w:val="left" w:pos="612"/>
              </w:tabs>
              <w:jc w:val="center"/>
              <w:rPr>
                <w:rFonts w:ascii="宋体" w:hAnsi="宋体" w:cs="宋体"/>
                <w:sz w:val="24"/>
              </w:rPr>
            </w:pPr>
          </w:p>
        </w:tc>
        <w:tc>
          <w:tcPr>
            <w:tcW w:w="4427" w:type="pct"/>
            <w:shd w:val="clear" w:color="auto" w:fill="auto"/>
            <w:vAlign w:val="center"/>
          </w:tcPr>
          <w:p w14:paraId="6FD7AD46">
            <w:pPr>
              <w:ind w:left="1"/>
              <w:rPr>
                <w:rFonts w:ascii="宋体" w:hAnsi="宋体" w:cs="宋体"/>
                <w:sz w:val="24"/>
              </w:rPr>
            </w:pPr>
            <w:r>
              <w:rPr>
                <w:rFonts w:hint="eastAsia" w:ascii="宋体" w:hAnsi="宋体" w:cs="宋体"/>
                <w:sz w:val="24"/>
              </w:rPr>
              <w:t>投标文件未出现选择性报价或有附加条件报价的情形；</w:t>
            </w:r>
          </w:p>
        </w:tc>
      </w:tr>
      <w:tr w14:paraId="76D2D8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573" w:type="pct"/>
            <w:vAlign w:val="center"/>
          </w:tcPr>
          <w:p w14:paraId="566136C5">
            <w:pPr>
              <w:numPr>
                <w:ilvl w:val="0"/>
                <w:numId w:val="22"/>
              </w:numPr>
              <w:tabs>
                <w:tab w:val="left" w:pos="176"/>
                <w:tab w:val="left" w:pos="612"/>
              </w:tabs>
              <w:jc w:val="center"/>
              <w:rPr>
                <w:rFonts w:ascii="宋体" w:hAnsi="宋体" w:cs="宋体"/>
                <w:sz w:val="24"/>
              </w:rPr>
            </w:pPr>
          </w:p>
        </w:tc>
        <w:tc>
          <w:tcPr>
            <w:tcW w:w="4427" w:type="pct"/>
            <w:vAlign w:val="center"/>
          </w:tcPr>
          <w:p w14:paraId="39A27BA9">
            <w:pPr>
              <w:rPr>
                <w:rFonts w:ascii="宋体" w:hAnsi="宋体" w:cs="宋体"/>
                <w:sz w:val="24"/>
              </w:rPr>
            </w:pPr>
            <w:r>
              <w:rPr>
                <w:rFonts w:hint="eastAsia" w:ascii="宋体" w:hAnsi="宋体" w:cs="宋体"/>
                <w:sz w:val="24"/>
              </w:rPr>
              <w:t>投标文件完全满足招标文件的实质性条款（即标注★号条款）无负偏离的；</w:t>
            </w:r>
            <w:r>
              <w:rPr>
                <w:rFonts w:ascii="宋体" w:hAnsi="宋体" w:cs="宋体"/>
                <w:sz w:val="24"/>
              </w:rPr>
              <w:t xml:space="preserve"> </w:t>
            </w:r>
          </w:p>
        </w:tc>
      </w:tr>
      <w:tr w14:paraId="6B72BF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573" w:type="pct"/>
            <w:vAlign w:val="center"/>
          </w:tcPr>
          <w:p w14:paraId="66E10CA9">
            <w:pPr>
              <w:numPr>
                <w:ilvl w:val="0"/>
                <w:numId w:val="22"/>
              </w:numPr>
              <w:tabs>
                <w:tab w:val="left" w:pos="176"/>
                <w:tab w:val="left" w:pos="612"/>
              </w:tabs>
              <w:jc w:val="center"/>
              <w:rPr>
                <w:rFonts w:ascii="宋体" w:hAnsi="宋体" w:cs="宋体"/>
                <w:sz w:val="24"/>
              </w:rPr>
            </w:pPr>
          </w:p>
        </w:tc>
        <w:tc>
          <w:tcPr>
            <w:tcW w:w="4427" w:type="pct"/>
            <w:vAlign w:val="center"/>
          </w:tcPr>
          <w:p w14:paraId="1DFCA598">
            <w:pPr>
              <w:rPr>
                <w:rFonts w:ascii="宋体" w:hAnsi="宋体" w:cs="宋体"/>
                <w:sz w:val="24"/>
              </w:rPr>
            </w:pPr>
            <w:r>
              <w:rPr>
                <w:rFonts w:hint="eastAsia" w:ascii="宋体" w:hAnsi="宋体" w:cs="宋体"/>
                <w:sz w:val="24"/>
              </w:rPr>
              <w:t>投标文件没有招标文件中规定的其它无效投标条款的；</w:t>
            </w:r>
          </w:p>
        </w:tc>
      </w:tr>
      <w:tr w14:paraId="61FF9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573" w:type="pct"/>
            <w:vAlign w:val="center"/>
          </w:tcPr>
          <w:p w14:paraId="50F29155">
            <w:pPr>
              <w:numPr>
                <w:ilvl w:val="0"/>
                <w:numId w:val="22"/>
              </w:numPr>
              <w:tabs>
                <w:tab w:val="left" w:pos="176"/>
                <w:tab w:val="left" w:pos="612"/>
              </w:tabs>
              <w:jc w:val="center"/>
              <w:rPr>
                <w:rFonts w:ascii="宋体" w:hAnsi="宋体" w:cs="宋体"/>
                <w:sz w:val="24"/>
              </w:rPr>
            </w:pPr>
          </w:p>
        </w:tc>
        <w:tc>
          <w:tcPr>
            <w:tcW w:w="4427" w:type="pct"/>
            <w:vAlign w:val="center"/>
          </w:tcPr>
          <w:p w14:paraId="35575CDC">
            <w:pPr>
              <w:rPr>
                <w:rFonts w:ascii="宋体" w:hAnsi="宋体" w:cs="宋体"/>
                <w:sz w:val="24"/>
              </w:rPr>
            </w:pPr>
            <w:r>
              <w:rPr>
                <w:rFonts w:hint="eastAsia" w:ascii="宋体" w:hAnsi="宋体" w:cs="宋体"/>
                <w:sz w:val="24"/>
              </w:rPr>
              <w:t>按有关法律、法规、规章不属于投标无效的。</w:t>
            </w:r>
          </w:p>
        </w:tc>
      </w:tr>
    </w:tbl>
    <w:p w14:paraId="4A046A29">
      <w:pPr>
        <w:widowControl/>
        <w:jc w:val="center"/>
        <w:outlineLvl w:val="3"/>
        <w:rPr>
          <w:rFonts w:ascii="黑体" w:hAnsi="宋体" w:eastAsia="黑体" w:cs="宋体"/>
          <w:sz w:val="28"/>
          <w:szCs w:val="28"/>
        </w:rPr>
      </w:pPr>
      <w:r>
        <w:rPr>
          <w:rFonts w:ascii="黑体" w:hAnsi="宋体" w:eastAsia="黑体" w:cs="宋体"/>
          <w:sz w:val="28"/>
          <w:szCs w:val="28"/>
        </w:rPr>
        <w:br w:type="page"/>
      </w:r>
      <w:r>
        <w:rPr>
          <w:rFonts w:hint="eastAsia" w:ascii="黑体" w:hAnsi="宋体" w:eastAsia="黑体" w:cs="宋体"/>
          <w:sz w:val="28"/>
          <w:szCs w:val="28"/>
        </w:rPr>
        <w:t>综合评分表</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63"/>
        <w:gridCol w:w="1096"/>
        <w:gridCol w:w="6624"/>
        <w:gridCol w:w="880"/>
        <w:gridCol w:w="917"/>
      </w:tblGrid>
      <w:tr w14:paraId="0B79D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65222D41">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cs="宋体"/>
                <w:b/>
                <w:sz w:val="24"/>
              </w:rPr>
              <w:t>序号</w:t>
            </w:r>
          </w:p>
        </w:tc>
        <w:tc>
          <w:tcPr>
            <w:tcW w:w="533" w:type="pct"/>
            <w:vAlign w:val="center"/>
          </w:tcPr>
          <w:p w14:paraId="4BD6892C">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cs="宋体"/>
                <w:b/>
                <w:sz w:val="24"/>
              </w:rPr>
              <w:t>评审因素</w:t>
            </w:r>
          </w:p>
        </w:tc>
        <w:tc>
          <w:tcPr>
            <w:tcW w:w="3221" w:type="pct"/>
            <w:vAlign w:val="center"/>
          </w:tcPr>
          <w:p w14:paraId="0931C999">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cs="宋体"/>
                <w:b/>
                <w:sz w:val="24"/>
              </w:rPr>
              <w:t>评分细则</w:t>
            </w:r>
          </w:p>
        </w:tc>
        <w:tc>
          <w:tcPr>
            <w:tcW w:w="428" w:type="pct"/>
            <w:vAlign w:val="center"/>
          </w:tcPr>
          <w:p w14:paraId="4DF86635">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cs="宋体"/>
                <w:b/>
                <w:sz w:val="24"/>
              </w:rPr>
              <w:t>分值（分）</w:t>
            </w:r>
          </w:p>
        </w:tc>
        <w:tc>
          <w:tcPr>
            <w:tcW w:w="445" w:type="pct"/>
            <w:vAlign w:val="center"/>
          </w:tcPr>
          <w:p w14:paraId="7BCA5BAE">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cs="宋体"/>
                <w:b/>
                <w:sz w:val="24"/>
              </w:rPr>
              <w:t>权重（%）</w:t>
            </w:r>
          </w:p>
        </w:tc>
      </w:tr>
      <w:tr w14:paraId="2ABADA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371" w:type="pct"/>
            <w:vAlign w:val="center"/>
          </w:tcPr>
          <w:p w14:paraId="327B48D2">
            <w:pPr>
              <w:autoSpaceDE w:val="0"/>
              <w:autoSpaceDN w:val="0"/>
              <w:snapToGrid w:val="0"/>
              <w:spacing w:line="240" w:lineRule="auto"/>
              <w:ind w:left="-74" w:leftChars="-37" w:right="-70" w:rightChars="-35"/>
              <w:jc w:val="center"/>
              <w:textAlignment w:val="auto"/>
              <w:rPr>
                <w:rFonts w:ascii="宋体" w:hAnsi="宋体" w:cs="宋体"/>
                <w:sz w:val="24"/>
              </w:rPr>
            </w:pPr>
            <w:r>
              <w:rPr>
                <w:rFonts w:hint="eastAsia" w:ascii="宋体" w:hAnsi="宋体" w:cs="宋体"/>
                <w:sz w:val="24"/>
              </w:rPr>
              <w:t>一</w:t>
            </w:r>
          </w:p>
        </w:tc>
        <w:tc>
          <w:tcPr>
            <w:tcW w:w="4628" w:type="pct"/>
            <w:gridSpan w:val="4"/>
            <w:vAlign w:val="center"/>
          </w:tcPr>
          <w:p w14:paraId="47DDCC49">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b/>
                <w:sz w:val="24"/>
              </w:rPr>
              <w:t>技术部分（</w:t>
            </w:r>
            <w:r>
              <w:rPr>
                <w:rFonts w:ascii="宋体" w:hAnsi="宋体"/>
                <w:b/>
                <w:sz w:val="24"/>
              </w:rPr>
              <w:t>4</w:t>
            </w:r>
            <w:r>
              <w:rPr>
                <w:rFonts w:hint="eastAsia" w:ascii="宋体" w:hAnsi="宋体"/>
                <w:b/>
                <w:sz w:val="24"/>
                <w:lang w:val="en-US" w:eastAsia="zh-CN"/>
              </w:rPr>
              <w:t>8</w:t>
            </w:r>
            <w:r>
              <w:rPr>
                <w:rFonts w:hint="eastAsia" w:ascii="宋体" w:hAnsi="宋体"/>
                <w:b/>
                <w:sz w:val="24"/>
              </w:rPr>
              <w:t>分）</w:t>
            </w:r>
          </w:p>
        </w:tc>
      </w:tr>
      <w:tr w14:paraId="11728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7BA10D33">
            <w:pPr>
              <w:numPr>
                <w:ilvl w:val="0"/>
                <w:numId w:val="23"/>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74D7C0DB">
            <w:pPr>
              <w:autoSpaceDE w:val="0"/>
              <w:autoSpaceDN w:val="0"/>
              <w:snapToGrid w:val="0"/>
              <w:spacing w:line="240" w:lineRule="auto"/>
              <w:jc w:val="center"/>
              <w:textAlignment w:val="auto"/>
              <w:rPr>
                <w:rFonts w:ascii="宋体" w:hAnsi="宋体" w:cs="宋体"/>
                <w:sz w:val="24"/>
              </w:rPr>
            </w:pPr>
            <w:r>
              <w:rPr>
                <w:rFonts w:hint="eastAsia" w:ascii="宋体" w:hAnsi="宋体" w:cs="宋体"/>
                <w:sz w:val="24"/>
                <w:lang w:val="en-GB"/>
              </w:rPr>
              <w:t>货物丰富性、可选择性</w:t>
            </w:r>
          </w:p>
        </w:tc>
        <w:tc>
          <w:tcPr>
            <w:tcW w:w="3221" w:type="pct"/>
            <w:vAlign w:val="center"/>
          </w:tcPr>
          <w:p w14:paraId="6D9239C6">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根据投标人拟提供的商品的多样性、可选择性（包括但不限于商品的品种、涵盖的范围、数量等）进行综合评审：</w:t>
            </w:r>
          </w:p>
          <w:p w14:paraId="4ADA9728">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1、投标人拟提供的商品种类多、可选择性多，完全满足且优于项目需求的，得</w:t>
            </w:r>
            <w:r>
              <w:rPr>
                <w:rFonts w:ascii="宋体" w:hAnsi="宋体" w:cs="宋体"/>
                <w:sz w:val="24"/>
                <w:lang w:bidi="ar"/>
              </w:rPr>
              <w:t>8</w:t>
            </w:r>
            <w:r>
              <w:rPr>
                <w:rFonts w:hint="eastAsia" w:ascii="宋体" w:hAnsi="宋体" w:cs="宋体"/>
                <w:sz w:val="24"/>
                <w:lang w:bidi="ar"/>
              </w:rPr>
              <w:t>分；</w:t>
            </w:r>
          </w:p>
          <w:p w14:paraId="554C3661">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2、投标人拟提供的商品种类较多、可选择性较多，完全满足项目需求的，得</w:t>
            </w:r>
            <w:r>
              <w:rPr>
                <w:rFonts w:ascii="宋体" w:hAnsi="宋体" w:cs="宋体"/>
                <w:sz w:val="24"/>
                <w:lang w:bidi="ar"/>
              </w:rPr>
              <w:t>5</w:t>
            </w:r>
            <w:r>
              <w:rPr>
                <w:rFonts w:hint="eastAsia" w:ascii="宋体" w:hAnsi="宋体" w:cs="宋体"/>
                <w:sz w:val="24"/>
                <w:lang w:bidi="ar"/>
              </w:rPr>
              <w:t>分；</w:t>
            </w:r>
          </w:p>
          <w:p w14:paraId="47EE8AE5">
            <w:pPr>
              <w:autoSpaceDE w:val="0"/>
              <w:autoSpaceDN w:val="0"/>
              <w:snapToGrid w:val="0"/>
              <w:spacing w:line="240" w:lineRule="auto"/>
              <w:jc w:val="left"/>
              <w:textAlignment w:val="auto"/>
              <w:rPr>
                <w:rFonts w:ascii="宋体" w:hAnsi="宋体" w:cs="宋体"/>
                <w:sz w:val="24"/>
                <w:lang w:bidi="ar"/>
              </w:rPr>
            </w:pPr>
            <w:r>
              <w:rPr>
                <w:rFonts w:ascii="宋体" w:hAnsi="宋体" w:cs="宋体"/>
                <w:sz w:val="24"/>
                <w:lang w:bidi="ar"/>
              </w:rPr>
              <w:t>3</w:t>
            </w:r>
            <w:r>
              <w:rPr>
                <w:rFonts w:hint="eastAsia" w:ascii="宋体" w:hAnsi="宋体" w:cs="宋体"/>
                <w:sz w:val="24"/>
                <w:lang w:bidi="ar"/>
              </w:rPr>
              <w:t>、投标人拟提供的商品种类较少、可选择性较少，不完全满足项目需求的，得</w:t>
            </w:r>
            <w:r>
              <w:rPr>
                <w:rFonts w:ascii="宋体" w:hAnsi="宋体" w:cs="宋体"/>
                <w:sz w:val="24"/>
                <w:lang w:bidi="ar"/>
              </w:rPr>
              <w:t>2</w:t>
            </w:r>
            <w:r>
              <w:rPr>
                <w:rFonts w:hint="eastAsia" w:ascii="宋体" w:hAnsi="宋体" w:cs="宋体"/>
                <w:sz w:val="24"/>
                <w:lang w:bidi="ar"/>
              </w:rPr>
              <w:t>分。</w:t>
            </w:r>
          </w:p>
          <w:p w14:paraId="2FF0358B">
            <w:pPr>
              <w:autoSpaceDE w:val="0"/>
              <w:autoSpaceDN w:val="0"/>
              <w:snapToGrid w:val="0"/>
              <w:spacing w:line="240" w:lineRule="auto"/>
              <w:jc w:val="left"/>
              <w:textAlignment w:val="auto"/>
              <w:rPr>
                <w:rFonts w:ascii="宋体" w:hAnsi="宋体"/>
                <w:sz w:val="24"/>
              </w:rPr>
            </w:pPr>
            <w:r>
              <w:rPr>
                <w:rFonts w:ascii="宋体" w:hAnsi="宋体" w:cs="宋体"/>
                <w:sz w:val="24"/>
                <w:lang w:bidi="ar"/>
              </w:rPr>
              <w:t>4</w:t>
            </w:r>
            <w:r>
              <w:rPr>
                <w:rFonts w:hint="eastAsia" w:ascii="宋体" w:hAnsi="宋体" w:cs="宋体"/>
                <w:sz w:val="24"/>
                <w:lang w:bidi="ar"/>
              </w:rPr>
              <w:t>、没有提供证明资料或提供的资料不能体现投标人拟提供的商品品种、范围、数量等信息的，不得分。</w:t>
            </w:r>
          </w:p>
        </w:tc>
        <w:tc>
          <w:tcPr>
            <w:tcW w:w="428" w:type="pct"/>
            <w:vAlign w:val="center"/>
          </w:tcPr>
          <w:p w14:paraId="2B592A22">
            <w:pPr>
              <w:autoSpaceDE w:val="0"/>
              <w:autoSpaceDN w:val="0"/>
              <w:snapToGrid w:val="0"/>
              <w:spacing w:line="240" w:lineRule="auto"/>
              <w:jc w:val="center"/>
              <w:textAlignment w:val="auto"/>
              <w:rPr>
                <w:rFonts w:ascii="宋体" w:hAnsi="宋体" w:cs="宋体"/>
                <w:sz w:val="24"/>
              </w:rPr>
            </w:pPr>
            <w:r>
              <w:rPr>
                <w:rFonts w:ascii="宋体" w:hAnsi="宋体" w:cs="宋体"/>
                <w:sz w:val="24"/>
              </w:rPr>
              <w:t>8</w:t>
            </w:r>
          </w:p>
        </w:tc>
        <w:tc>
          <w:tcPr>
            <w:tcW w:w="445" w:type="pct"/>
            <w:vAlign w:val="center"/>
          </w:tcPr>
          <w:p w14:paraId="18F46974">
            <w:pPr>
              <w:autoSpaceDE w:val="0"/>
              <w:autoSpaceDN w:val="0"/>
              <w:snapToGrid w:val="0"/>
              <w:spacing w:line="240" w:lineRule="auto"/>
              <w:jc w:val="center"/>
              <w:textAlignment w:val="auto"/>
              <w:rPr>
                <w:rFonts w:ascii="宋体" w:hAnsi="宋体"/>
                <w:sz w:val="24"/>
              </w:rPr>
            </w:pPr>
            <w:r>
              <w:rPr>
                <w:rFonts w:ascii="宋体" w:hAnsi="宋体"/>
                <w:sz w:val="24"/>
              </w:rPr>
              <w:t>8</w:t>
            </w:r>
          </w:p>
        </w:tc>
      </w:tr>
      <w:tr w14:paraId="7C390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307AEE62">
            <w:pPr>
              <w:numPr>
                <w:ilvl w:val="0"/>
                <w:numId w:val="23"/>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64E6B370">
            <w:pPr>
              <w:autoSpaceDE w:val="0"/>
              <w:autoSpaceDN w:val="0"/>
              <w:snapToGrid w:val="0"/>
              <w:spacing w:line="240" w:lineRule="auto"/>
              <w:jc w:val="center"/>
              <w:textAlignment w:val="auto"/>
              <w:rPr>
                <w:rFonts w:ascii="宋体" w:hAnsi="宋体"/>
                <w:bCs/>
                <w:sz w:val="24"/>
              </w:rPr>
            </w:pPr>
            <w:r>
              <w:rPr>
                <w:rFonts w:hint="eastAsia" w:ascii="宋体" w:hAnsi="宋体"/>
                <w:bCs/>
                <w:kern w:val="2"/>
                <w:sz w:val="24"/>
              </w:rPr>
              <w:t>项目实施方案</w:t>
            </w:r>
          </w:p>
        </w:tc>
        <w:tc>
          <w:tcPr>
            <w:tcW w:w="3221" w:type="pct"/>
            <w:vAlign w:val="center"/>
          </w:tcPr>
          <w:p w14:paraId="0032852D">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根据投标人项目实施方案内容进行评分：</w:t>
            </w:r>
          </w:p>
          <w:p w14:paraId="57DB9829">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1、技术成熟度高、配送安排方案完善、合理性及可行性高、设备配置充足，完全满足且优于本项目需求得</w:t>
            </w:r>
            <w:r>
              <w:rPr>
                <w:rFonts w:ascii="宋体" w:hAnsi="宋体" w:cs="宋体"/>
                <w:sz w:val="24"/>
                <w:lang w:bidi="ar"/>
              </w:rPr>
              <w:t>8</w:t>
            </w:r>
            <w:r>
              <w:rPr>
                <w:rFonts w:hint="eastAsia" w:ascii="宋体" w:hAnsi="宋体" w:cs="宋体"/>
                <w:sz w:val="24"/>
                <w:lang w:bidi="ar"/>
              </w:rPr>
              <w:t>分；</w:t>
            </w:r>
          </w:p>
          <w:p w14:paraId="4BA38D22">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2、技术成熟度较高、配送安排方案较为完善、具有较好的合理性及可行性、设备配置较为充足，完全满足本项目需求得</w:t>
            </w:r>
            <w:r>
              <w:rPr>
                <w:rFonts w:ascii="宋体" w:hAnsi="宋体" w:cs="宋体"/>
                <w:sz w:val="24"/>
                <w:lang w:bidi="ar"/>
              </w:rPr>
              <w:t>5</w:t>
            </w:r>
            <w:r>
              <w:rPr>
                <w:rFonts w:hint="eastAsia" w:ascii="宋体" w:hAnsi="宋体" w:cs="宋体"/>
                <w:sz w:val="24"/>
                <w:lang w:bidi="ar"/>
              </w:rPr>
              <w:t>分；</w:t>
            </w:r>
          </w:p>
          <w:p w14:paraId="6C5CC15D">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3、技术成熟度较差、配送安排方案较差、合理性及可行性较差、设备配置较差，不完全满足本项目需求得</w:t>
            </w:r>
            <w:r>
              <w:rPr>
                <w:rFonts w:ascii="宋体" w:hAnsi="宋体" w:cs="宋体"/>
                <w:sz w:val="24"/>
                <w:lang w:bidi="ar"/>
              </w:rPr>
              <w:t>2</w:t>
            </w:r>
            <w:r>
              <w:rPr>
                <w:rFonts w:hint="eastAsia" w:ascii="宋体" w:hAnsi="宋体" w:cs="宋体"/>
                <w:sz w:val="24"/>
                <w:lang w:bidi="ar"/>
              </w:rPr>
              <w:t>分；</w:t>
            </w:r>
          </w:p>
          <w:p w14:paraId="4F381471">
            <w:pPr>
              <w:autoSpaceDE w:val="0"/>
              <w:autoSpaceDN w:val="0"/>
              <w:snapToGrid w:val="0"/>
              <w:spacing w:line="240" w:lineRule="auto"/>
              <w:jc w:val="left"/>
              <w:textAlignment w:val="auto"/>
              <w:rPr>
                <w:rFonts w:ascii="宋体" w:hAnsi="宋体"/>
                <w:sz w:val="24"/>
              </w:rPr>
            </w:pPr>
            <w:r>
              <w:rPr>
                <w:rFonts w:hint="eastAsia" w:ascii="宋体" w:hAnsi="宋体" w:cs="宋体"/>
                <w:sz w:val="24"/>
                <w:lang w:bidi="ar"/>
              </w:rPr>
              <w:t>4、未提供方案得0分。</w:t>
            </w:r>
          </w:p>
        </w:tc>
        <w:tc>
          <w:tcPr>
            <w:tcW w:w="428" w:type="pct"/>
            <w:vAlign w:val="center"/>
          </w:tcPr>
          <w:p w14:paraId="0A064737">
            <w:pPr>
              <w:autoSpaceDE w:val="0"/>
              <w:autoSpaceDN w:val="0"/>
              <w:snapToGrid w:val="0"/>
              <w:spacing w:line="240" w:lineRule="auto"/>
              <w:jc w:val="center"/>
              <w:textAlignment w:val="auto"/>
              <w:rPr>
                <w:rFonts w:ascii="宋体" w:hAnsi="宋体"/>
                <w:bCs/>
                <w:sz w:val="24"/>
              </w:rPr>
            </w:pPr>
            <w:r>
              <w:rPr>
                <w:rFonts w:ascii="宋体" w:hAnsi="宋体"/>
                <w:bCs/>
                <w:sz w:val="24"/>
              </w:rPr>
              <w:t>8</w:t>
            </w:r>
          </w:p>
        </w:tc>
        <w:tc>
          <w:tcPr>
            <w:tcW w:w="445" w:type="pct"/>
            <w:vAlign w:val="center"/>
          </w:tcPr>
          <w:p w14:paraId="6FCD5DF1">
            <w:pPr>
              <w:autoSpaceDE w:val="0"/>
              <w:autoSpaceDN w:val="0"/>
              <w:snapToGrid w:val="0"/>
              <w:spacing w:line="240" w:lineRule="auto"/>
              <w:jc w:val="center"/>
              <w:textAlignment w:val="auto"/>
              <w:rPr>
                <w:rFonts w:ascii="宋体" w:hAnsi="宋体"/>
                <w:sz w:val="24"/>
              </w:rPr>
            </w:pPr>
            <w:r>
              <w:rPr>
                <w:rFonts w:ascii="宋体" w:hAnsi="宋体"/>
                <w:sz w:val="24"/>
              </w:rPr>
              <w:t>8</w:t>
            </w:r>
          </w:p>
        </w:tc>
      </w:tr>
      <w:tr w14:paraId="45652F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5B845472">
            <w:pPr>
              <w:numPr>
                <w:ilvl w:val="0"/>
                <w:numId w:val="23"/>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03FE88BB">
            <w:pPr>
              <w:autoSpaceDE w:val="0"/>
              <w:autoSpaceDN w:val="0"/>
              <w:snapToGrid w:val="0"/>
              <w:spacing w:line="240" w:lineRule="auto"/>
              <w:jc w:val="center"/>
              <w:textAlignment w:val="auto"/>
              <w:rPr>
                <w:rFonts w:ascii="宋体" w:hAnsi="宋体"/>
                <w:bCs/>
                <w:kern w:val="2"/>
                <w:sz w:val="24"/>
              </w:rPr>
            </w:pPr>
            <w:r>
              <w:rPr>
                <w:rFonts w:hint="eastAsia" w:ascii="宋体" w:hAnsi="宋体"/>
                <w:bCs/>
                <w:kern w:val="2"/>
                <w:sz w:val="24"/>
              </w:rPr>
              <w:t>质量保障措施</w:t>
            </w:r>
          </w:p>
        </w:tc>
        <w:tc>
          <w:tcPr>
            <w:tcW w:w="3221" w:type="pct"/>
            <w:vAlign w:val="center"/>
          </w:tcPr>
          <w:p w14:paraId="6ADDB5BD">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根据货物来源（包括加工、包装、存储、运输）等环节的质量保障措施进行综合评审：</w:t>
            </w:r>
          </w:p>
          <w:p w14:paraId="51982E71">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 xml:space="preserve">1、货物来源真实可靠有保障，在加工、包装、存储、运输各环节均具有科学合理的质量保证措施及方案，完全满足且优于项目需求的，得8分； </w:t>
            </w:r>
          </w:p>
          <w:p w14:paraId="07372EFB">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 xml:space="preserve">2、货物来源真实可靠有保障，在加工、包装、存储、运输各环节均具有较好的质量保证措施及方案，完全满足项目需求的，得5分； </w:t>
            </w:r>
          </w:p>
          <w:p w14:paraId="10BD7CAA">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3、货物来源无安全保障，在加工、包装、存储、运输各环节粗糙不完整的，不完全满足项目需求的，得2分。</w:t>
            </w:r>
          </w:p>
          <w:p w14:paraId="12EF5DD9">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4、不提供不得分。</w:t>
            </w:r>
          </w:p>
        </w:tc>
        <w:tc>
          <w:tcPr>
            <w:tcW w:w="428" w:type="pct"/>
            <w:vAlign w:val="center"/>
          </w:tcPr>
          <w:p w14:paraId="0D136AFE">
            <w:pPr>
              <w:autoSpaceDE w:val="0"/>
              <w:autoSpaceDN w:val="0"/>
              <w:snapToGrid w:val="0"/>
              <w:spacing w:line="240" w:lineRule="auto"/>
              <w:jc w:val="center"/>
              <w:textAlignment w:val="auto"/>
              <w:rPr>
                <w:rFonts w:ascii="宋体" w:hAnsi="宋体"/>
                <w:bCs/>
                <w:sz w:val="24"/>
              </w:rPr>
            </w:pPr>
            <w:r>
              <w:rPr>
                <w:rFonts w:hint="eastAsia" w:ascii="宋体" w:hAnsi="宋体"/>
                <w:bCs/>
                <w:sz w:val="24"/>
              </w:rPr>
              <w:t>8</w:t>
            </w:r>
          </w:p>
        </w:tc>
        <w:tc>
          <w:tcPr>
            <w:tcW w:w="445" w:type="pct"/>
            <w:vAlign w:val="center"/>
          </w:tcPr>
          <w:p w14:paraId="4F3DD543">
            <w:pPr>
              <w:autoSpaceDE w:val="0"/>
              <w:autoSpaceDN w:val="0"/>
              <w:snapToGrid w:val="0"/>
              <w:spacing w:line="240" w:lineRule="auto"/>
              <w:jc w:val="center"/>
              <w:textAlignment w:val="auto"/>
              <w:rPr>
                <w:rFonts w:ascii="宋体" w:hAnsi="宋体"/>
                <w:sz w:val="24"/>
              </w:rPr>
            </w:pPr>
            <w:r>
              <w:rPr>
                <w:rFonts w:hint="eastAsia" w:ascii="宋体" w:hAnsi="宋体"/>
                <w:sz w:val="24"/>
              </w:rPr>
              <w:t>8</w:t>
            </w:r>
          </w:p>
        </w:tc>
      </w:tr>
      <w:tr w14:paraId="7B50F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31F9F071">
            <w:pPr>
              <w:numPr>
                <w:ilvl w:val="0"/>
                <w:numId w:val="23"/>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71939FA4">
            <w:pPr>
              <w:autoSpaceDE w:val="0"/>
              <w:autoSpaceDN w:val="0"/>
              <w:snapToGrid w:val="0"/>
              <w:spacing w:line="240" w:lineRule="auto"/>
              <w:jc w:val="center"/>
              <w:textAlignment w:val="auto"/>
              <w:rPr>
                <w:rFonts w:ascii="宋体" w:hAnsi="宋体" w:cs="宋体"/>
                <w:sz w:val="24"/>
                <w:lang w:val="en-GB"/>
              </w:rPr>
            </w:pPr>
            <w:r>
              <w:rPr>
                <w:rFonts w:hint="eastAsia" w:ascii="宋体" w:hAnsi="宋体" w:cs="宋体"/>
                <w:sz w:val="24"/>
                <w:lang w:val="en-GB"/>
              </w:rPr>
              <w:t>售后服务方案</w:t>
            </w:r>
          </w:p>
        </w:tc>
        <w:tc>
          <w:tcPr>
            <w:tcW w:w="3221" w:type="pct"/>
            <w:vAlign w:val="center"/>
          </w:tcPr>
          <w:p w14:paraId="612B843D">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根据投标人的售后服务方案、售后人员配置、售后服务方案及出现食品安全质量问题退换货保障措施进行综合评价：</w:t>
            </w:r>
          </w:p>
          <w:p w14:paraId="15C8EABC">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1、投标人货物来源、加工、包装、保存、运输各环节的质量保障措施合理，保障措施有力的及投标人售后服务方案、售后人员配置、售后服务承诺合理，方案措施有力的；食品出现质量问题退换货时间短、流程简洁有效，完全满足且优于本项目需求的，得</w:t>
            </w:r>
            <w:r>
              <w:rPr>
                <w:rFonts w:ascii="宋体" w:hAnsi="宋体" w:cs="宋体"/>
                <w:sz w:val="24"/>
                <w:lang w:val="en-GB" w:bidi="ar"/>
              </w:rPr>
              <w:t>8</w:t>
            </w:r>
            <w:r>
              <w:rPr>
                <w:rFonts w:hint="eastAsia" w:ascii="宋体" w:hAnsi="宋体" w:cs="宋体"/>
                <w:sz w:val="24"/>
                <w:lang w:val="en-GB" w:bidi="ar"/>
              </w:rPr>
              <w:t>分；</w:t>
            </w:r>
          </w:p>
          <w:p w14:paraId="4CE7576E">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2、投标人货物来源、加工、包装、保存、运输各环节的质量保障措施较为合理，有较好的保障措施的及投标人售后服务方案、售后人员配置、售后服务承诺基本合理，有相应的方案；食品出现质量问题退换货时间短、流程简洁有效，完全满足本项目需求的，得</w:t>
            </w:r>
            <w:r>
              <w:rPr>
                <w:rFonts w:ascii="宋体" w:hAnsi="宋体" w:cs="宋体"/>
                <w:sz w:val="24"/>
                <w:lang w:val="en-GB" w:bidi="ar"/>
              </w:rPr>
              <w:t>5</w:t>
            </w:r>
            <w:r>
              <w:rPr>
                <w:rFonts w:hint="eastAsia" w:ascii="宋体" w:hAnsi="宋体" w:cs="宋体"/>
                <w:sz w:val="24"/>
                <w:lang w:val="en-GB" w:bidi="ar"/>
              </w:rPr>
              <w:t>分；</w:t>
            </w:r>
          </w:p>
          <w:p w14:paraId="7C84D80D">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3、投标人货物来源、加工、包装、保存、运输各环节的质量保障措施不合理，保障措施不完善方案不合理，方案不完善；食品出现质量问题退换货时间长、流程复杂的，不完全满足本项目需求的，得</w:t>
            </w:r>
            <w:r>
              <w:rPr>
                <w:rFonts w:ascii="宋体" w:hAnsi="宋体" w:cs="宋体"/>
                <w:sz w:val="24"/>
                <w:lang w:val="en-GB" w:bidi="ar"/>
              </w:rPr>
              <w:t>2</w:t>
            </w:r>
            <w:r>
              <w:rPr>
                <w:rFonts w:hint="eastAsia" w:ascii="宋体" w:hAnsi="宋体" w:cs="宋体"/>
                <w:sz w:val="24"/>
                <w:lang w:val="en-GB" w:bidi="ar"/>
              </w:rPr>
              <w:t>分；</w:t>
            </w:r>
          </w:p>
          <w:p w14:paraId="5B0E94AC">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val="en-GB" w:bidi="ar"/>
              </w:rPr>
              <w:t>4、未提供方案得0分。</w:t>
            </w:r>
          </w:p>
        </w:tc>
        <w:tc>
          <w:tcPr>
            <w:tcW w:w="428" w:type="pct"/>
            <w:vAlign w:val="center"/>
          </w:tcPr>
          <w:p w14:paraId="036A520A">
            <w:pPr>
              <w:autoSpaceDE w:val="0"/>
              <w:autoSpaceDN w:val="0"/>
              <w:snapToGrid w:val="0"/>
              <w:spacing w:line="240" w:lineRule="auto"/>
              <w:jc w:val="center"/>
              <w:textAlignment w:val="auto"/>
              <w:rPr>
                <w:rFonts w:ascii="宋体" w:hAnsi="宋体"/>
                <w:bCs/>
                <w:sz w:val="24"/>
              </w:rPr>
            </w:pPr>
            <w:r>
              <w:rPr>
                <w:rFonts w:ascii="宋体" w:hAnsi="宋体"/>
                <w:bCs/>
                <w:sz w:val="24"/>
              </w:rPr>
              <w:t>8</w:t>
            </w:r>
          </w:p>
        </w:tc>
        <w:tc>
          <w:tcPr>
            <w:tcW w:w="445" w:type="pct"/>
            <w:vAlign w:val="center"/>
          </w:tcPr>
          <w:p w14:paraId="77EEE868">
            <w:pPr>
              <w:autoSpaceDE w:val="0"/>
              <w:autoSpaceDN w:val="0"/>
              <w:snapToGrid w:val="0"/>
              <w:spacing w:line="240" w:lineRule="auto"/>
              <w:jc w:val="center"/>
              <w:textAlignment w:val="auto"/>
              <w:rPr>
                <w:rFonts w:ascii="宋体" w:hAnsi="宋体"/>
                <w:sz w:val="24"/>
              </w:rPr>
            </w:pPr>
            <w:r>
              <w:rPr>
                <w:rFonts w:ascii="宋体" w:hAnsi="宋体"/>
                <w:sz w:val="24"/>
              </w:rPr>
              <w:t>8</w:t>
            </w:r>
          </w:p>
        </w:tc>
      </w:tr>
      <w:tr w14:paraId="6C119B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2AFF6B84">
            <w:pPr>
              <w:numPr>
                <w:ilvl w:val="0"/>
                <w:numId w:val="23"/>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6D4EC92C">
            <w:pPr>
              <w:autoSpaceDE w:val="0"/>
              <w:autoSpaceDN w:val="0"/>
              <w:snapToGrid w:val="0"/>
              <w:spacing w:line="240" w:lineRule="auto"/>
              <w:jc w:val="center"/>
              <w:textAlignment w:val="auto"/>
              <w:rPr>
                <w:rFonts w:ascii="宋体" w:hAnsi="宋体" w:cs="宋体"/>
                <w:sz w:val="24"/>
                <w:lang w:val="en-GB"/>
              </w:rPr>
            </w:pPr>
            <w:r>
              <w:rPr>
                <w:rFonts w:hint="eastAsia" w:ascii="宋体" w:hAnsi="宋体"/>
                <w:bCs/>
                <w:kern w:val="2"/>
                <w:sz w:val="24"/>
              </w:rPr>
              <w:t>专属福利电子采购平台情况</w:t>
            </w:r>
          </w:p>
        </w:tc>
        <w:tc>
          <w:tcPr>
            <w:tcW w:w="3221" w:type="pct"/>
            <w:vAlign w:val="center"/>
          </w:tcPr>
          <w:p w14:paraId="7AE2DA64">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投标人针对本项目的采购需求拟投入本项目的专属福利电子采购平台情况，包括但不限于平台操作的便利性、平台安全性、职工签领慰问品的流程方案等等进行综合评审：</w:t>
            </w:r>
          </w:p>
          <w:p w14:paraId="3C60AC67">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1、平台操作的便利性高、平台安全性高、职工签领慰问品的流程方便、生成的记录完全满足且优于采购需求的，得8分；</w:t>
            </w:r>
          </w:p>
          <w:p w14:paraId="337E5C45">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 xml:space="preserve">2、平台操作的便利性较高、平台安全性较高、职工签领慰问品的流程方便、生成的记录完全满足采购需求的要求，得5分； </w:t>
            </w:r>
          </w:p>
          <w:p w14:paraId="55F0844A">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3、平台操作的便利性差、平台安全性低、职工签领慰问品的流程方便、生成的记录不完全满足采购需求的，得2分。</w:t>
            </w:r>
          </w:p>
          <w:p w14:paraId="303D43E8">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bCs/>
                <w:sz w:val="24"/>
              </w:rPr>
              <w:t>4、不提供不得分。</w:t>
            </w:r>
          </w:p>
        </w:tc>
        <w:tc>
          <w:tcPr>
            <w:tcW w:w="428" w:type="pct"/>
            <w:vAlign w:val="center"/>
          </w:tcPr>
          <w:p w14:paraId="112D2AB7">
            <w:pPr>
              <w:autoSpaceDE w:val="0"/>
              <w:autoSpaceDN w:val="0"/>
              <w:snapToGrid w:val="0"/>
              <w:spacing w:line="240" w:lineRule="auto"/>
              <w:jc w:val="center"/>
              <w:textAlignment w:val="auto"/>
              <w:rPr>
                <w:rFonts w:ascii="宋体" w:hAnsi="宋体"/>
                <w:bCs/>
                <w:sz w:val="24"/>
              </w:rPr>
            </w:pPr>
            <w:r>
              <w:rPr>
                <w:rFonts w:hint="eastAsia" w:ascii="宋体" w:hAnsi="宋体"/>
                <w:bCs/>
                <w:sz w:val="24"/>
              </w:rPr>
              <w:t>8</w:t>
            </w:r>
          </w:p>
        </w:tc>
        <w:tc>
          <w:tcPr>
            <w:tcW w:w="445" w:type="pct"/>
            <w:vAlign w:val="center"/>
          </w:tcPr>
          <w:p w14:paraId="18EA9540">
            <w:pPr>
              <w:autoSpaceDE w:val="0"/>
              <w:autoSpaceDN w:val="0"/>
              <w:snapToGrid w:val="0"/>
              <w:spacing w:line="240" w:lineRule="auto"/>
              <w:jc w:val="center"/>
              <w:textAlignment w:val="auto"/>
              <w:rPr>
                <w:rFonts w:ascii="宋体" w:hAnsi="宋体"/>
                <w:sz w:val="24"/>
              </w:rPr>
            </w:pPr>
            <w:r>
              <w:rPr>
                <w:rFonts w:hint="eastAsia" w:ascii="宋体" w:hAnsi="宋体"/>
                <w:sz w:val="24"/>
              </w:rPr>
              <w:t>8</w:t>
            </w:r>
          </w:p>
        </w:tc>
      </w:tr>
      <w:tr w14:paraId="7139B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04B1D7DA">
            <w:pPr>
              <w:numPr>
                <w:ilvl w:val="0"/>
                <w:numId w:val="23"/>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7171A1A5">
            <w:pPr>
              <w:autoSpaceDE w:val="0"/>
              <w:autoSpaceDN w:val="0"/>
              <w:snapToGrid w:val="0"/>
              <w:spacing w:line="240" w:lineRule="auto"/>
              <w:jc w:val="center"/>
              <w:textAlignment w:val="auto"/>
              <w:rPr>
                <w:rFonts w:ascii="宋体" w:hAnsi="宋体"/>
                <w:bCs/>
                <w:kern w:val="2"/>
                <w:sz w:val="24"/>
              </w:rPr>
            </w:pPr>
            <w:r>
              <w:rPr>
                <w:rFonts w:hint="eastAsia" w:ascii="宋体" w:hAnsi="宋体"/>
                <w:bCs/>
                <w:kern w:val="2"/>
                <w:sz w:val="24"/>
              </w:rPr>
              <w:t>供货服务保障方案</w:t>
            </w:r>
          </w:p>
        </w:tc>
        <w:tc>
          <w:tcPr>
            <w:tcW w:w="3221" w:type="pct"/>
            <w:vAlign w:val="center"/>
          </w:tcPr>
          <w:p w14:paraId="720EBA4B">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投标人针对本项目的采购需求拟提供的供货服务保障方案，包括但不限于项目服务优势、网点分布情况、服务的便利性及响应时间等进行综合评审：</w:t>
            </w:r>
          </w:p>
          <w:p w14:paraId="73426211">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1、参与本项目服务优势大，网点分布广，服务便利性好，响应时间短，完全满足且优于采购需求的，得</w:t>
            </w:r>
            <w:r>
              <w:rPr>
                <w:rFonts w:hint="eastAsia" w:ascii="宋体" w:hAnsi="宋体" w:cs="宋体"/>
                <w:bCs/>
                <w:sz w:val="24"/>
                <w:lang w:val="en-US" w:eastAsia="zh-CN"/>
              </w:rPr>
              <w:t>8</w:t>
            </w:r>
            <w:r>
              <w:rPr>
                <w:rFonts w:hint="eastAsia" w:ascii="宋体" w:hAnsi="宋体" w:cs="宋体"/>
                <w:bCs/>
                <w:sz w:val="24"/>
              </w:rPr>
              <w:t>分；</w:t>
            </w:r>
          </w:p>
          <w:p w14:paraId="2651ACB3">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2、参与本项目服务优势较大，网点分布较广，服务便利性较好，响应时间较短，完全满足采购需求的，得</w:t>
            </w:r>
            <w:r>
              <w:rPr>
                <w:rFonts w:hint="eastAsia" w:ascii="宋体" w:hAnsi="宋体" w:cs="宋体"/>
                <w:bCs/>
                <w:sz w:val="24"/>
                <w:lang w:val="en-US" w:eastAsia="zh-CN"/>
              </w:rPr>
              <w:t>5</w:t>
            </w:r>
            <w:r>
              <w:rPr>
                <w:rFonts w:hint="eastAsia" w:ascii="宋体" w:hAnsi="宋体" w:cs="宋体"/>
                <w:bCs/>
                <w:sz w:val="24"/>
              </w:rPr>
              <w:t xml:space="preserve">分； </w:t>
            </w:r>
          </w:p>
          <w:p w14:paraId="2C36E1B7">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3、参与本项目服务优势差，网点分布少，服务便利性差，响应时间长，不完全满足采购需求，得</w:t>
            </w:r>
            <w:r>
              <w:rPr>
                <w:rFonts w:hint="eastAsia" w:ascii="宋体" w:hAnsi="宋体" w:cs="宋体"/>
                <w:bCs/>
                <w:sz w:val="24"/>
                <w:lang w:val="en-US" w:eastAsia="zh-CN"/>
              </w:rPr>
              <w:t>2</w:t>
            </w:r>
            <w:r>
              <w:rPr>
                <w:rFonts w:hint="eastAsia" w:ascii="宋体" w:hAnsi="宋体" w:cs="宋体"/>
                <w:bCs/>
                <w:sz w:val="24"/>
              </w:rPr>
              <w:t>分。</w:t>
            </w:r>
          </w:p>
          <w:p w14:paraId="7D211009">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4、不提供不得分。</w:t>
            </w:r>
          </w:p>
        </w:tc>
        <w:tc>
          <w:tcPr>
            <w:tcW w:w="428" w:type="pct"/>
            <w:vAlign w:val="center"/>
          </w:tcPr>
          <w:p w14:paraId="2BE6C618">
            <w:pPr>
              <w:autoSpaceDE w:val="0"/>
              <w:autoSpaceDN w:val="0"/>
              <w:snapToGrid w:val="0"/>
              <w:spacing w:line="240" w:lineRule="auto"/>
              <w:jc w:val="center"/>
              <w:textAlignment w:val="auto"/>
              <w:rPr>
                <w:rFonts w:hint="eastAsia" w:ascii="宋体" w:hAnsi="宋体" w:eastAsia="宋体"/>
                <w:bCs/>
                <w:sz w:val="24"/>
                <w:lang w:eastAsia="zh-CN"/>
              </w:rPr>
            </w:pPr>
            <w:r>
              <w:rPr>
                <w:rFonts w:hint="eastAsia" w:ascii="宋体" w:hAnsi="宋体"/>
                <w:bCs/>
                <w:sz w:val="24"/>
                <w:lang w:val="en-US" w:eastAsia="zh-CN"/>
              </w:rPr>
              <w:t>8</w:t>
            </w:r>
          </w:p>
        </w:tc>
        <w:tc>
          <w:tcPr>
            <w:tcW w:w="445" w:type="pct"/>
            <w:vAlign w:val="center"/>
          </w:tcPr>
          <w:p w14:paraId="6B696279">
            <w:pPr>
              <w:autoSpaceDE w:val="0"/>
              <w:autoSpaceDN w:val="0"/>
              <w:snapToGrid w:val="0"/>
              <w:spacing w:line="240" w:lineRule="auto"/>
              <w:jc w:val="center"/>
              <w:textAlignment w:val="auto"/>
              <w:rPr>
                <w:rFonts w:hint="eastAsia" w:ascii="宋体" w:hAnsi="宋体" w:eastAsia="宋体"/>
                <w:sz w:val="24"/>
                <w:lang w:eastAsia="zh-CN"/>
              </w:rPr>
            </w:pPr>
            <w:r>
              <w:rPr>
                <w:rFonts w:hint="eastAsia" w:ascii="宋体" w:hAnsi="宋体"/>
                <w:sz w:val="24"/>
                <w:lang w:val="en-US" w:eastAsia="zh-CN"/>
              </w:rPr>
              <w:t>8</w:t>
            </w:r>
          </w:p>
        </w:tc>
      </w:tr>
      <w:tr w14:paraId="385E91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5" w:hRule="atLeast"/>
        </w:trPr>
        <w:tc>
          <w:tcPr>
            <w:tcW w:w="371" w:type="pct"/>
            <w:vAlign w:val="center"/>
          </w:tcPr>
          <w:p w14:paraId="172DF9A0">
            <w:pPr>
              <w:autoSpaceDE w:val="0"/>
              <w:autoSpaceDN w:val="0"/>
              <w:snapToGrid w:val="0"/>
              <w:spacing w:line="240" w:lineRule="auto"/>
              <w:jc w:val="center"/>
              <w:textAlignment w:val="auto"/>
              <w:rPr>
                <w:rFonts w:ascii="宋体" w:hAnsi="宋体"/>
                <w:b/>
                <w:sz w:val="24"/>
              </w:rPr>
            </w:pPr>
            <w:r>
              <w:rPr>
                <w:rFonts w:hint="eastAsia" w:ascii="宋体" w:hAnsi="宋体"/>
                <w:b/>
                <w:sz w:val="24"/>
              </w:rPr>
              <w:t>二</w:t>
            </w:r>
          </w:p>
        </w:tc>
        <w:tc>
          <w:tcPr>
            <w:tcW w:w="4628" w:type="pct"/>
            <w:gridSpan w:val="4"/>
            <w:vAlign w:val="center"/>
          </w:tcPr>
          <w:p w14:paraId="14405E28">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b/>
                <w:sz w:val="24"/>
              </w:rPr>
              <w:t>商务部分（</w:t>
            </w:r>
            <w:r>
              <w:rPr>
                <w:rFonts w:ascii="宋体" w:hAnsi="宋体"/>
                <w:b/>
                <w:sz w:val="24"/>
              </w:rPr>
              <w:t>2</w:t>
            </w:r>
            <w:r>
              <w:rPr>
                <w:rFonts w:hint="eastAsia" w:ascii="宋体" w:hAnsi="宋体"/>
                <w:b/>
                <w:sz w:val="24"/>
                <w:lang w:val="en-US" w:eastAsia="zh-CN"/>
              </w:rPr>
              <w:t>2</w:t>
            </w:r>
            <w:r>
              <w:rPr>
                <w:rFonts w:hint="eastAsia" w:ascii="宋体" w:hAnsi="宋体"/>
                <w:b/>
                <w:sz w:val="24"/>
              </w:rPr>
              <w:t>分）</w:t>
            </w:r>
            <w:r>
              <w:rPr>
                <w:rFonts w:ascii="宋体" w:hAnsi="宋体"/>
                <w:b/>
                <w:sz w:val="24"/>
              </w:rPr>
              <w:t xml:space="preserve"> </w:t>
            </w:r>
          </w:p>
        </w:tc>
      </w:tr>
      <w:tr w14:paraId="0997CB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023B684E">
            <w:pPr>
              <w:numPr>
                <w:ilvl w:val="0"/>
                <w:numId w:val="24"/>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3D88B368">
            <w:pPr>
              <w:autoSpaceDE w:val="0"/>
              <w:autoSpaceDN w:val="0"/>
              <w:snapToGrid w:val="0"/>
              <w:spacing w:line="240" w:lineRule="auto"/>
              <w:ind w:left="-60" w:leftChars="-30" w:right="-84" w:rightChars="-42"/>
              <w:jc w:val="center"/>
              <w:textAlignment w:val="auto"/>
              <w:rPr>
                <w:rFonts w:ascii="宋体" w:hAnsi="宋体" w:cs="宋体"/>
                <w:sz w:val="24"/>
              </w:rPr>
            </w:pPr>
            <w:r>
              <w:rPr>
                <w:rFonts w:hint="eastAsia" w:ascii="宋体" w:hAnsi="宋体" w:cs="宋体"/>
                <w:sz w:val="24"/>
                <w:lang w:bidi="ar"/>
              </w:rPr>
              <w:t>同类项目业绩</w:t>
            </w:r>
          </w:p>
        </w:tc>
        <w:tc>
          <w:tcPr>
            <w:tcW w:w="3221" w:type="pct"/>
            <w:vAlign w:val="center"/>
          </w:tcPr>
          <w:p w14:paraId="4D6FDC2B">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投标人提供自202</w:t>
            </w:r>
            <w:r>
              <w:rPr>
                <w:rFonts w:hint="eastAsia" w:ascii="宋体" w:hAnsi="宋体" w:cs="宋体"/>
                <w:sz w:val="24"/>
                <w:lang w:val="en-US" w:eastAsia="zh-CN" w:bidi="ar"/>
              </w:rPr>
              <w:t>2</w:t>
            </w:r>
            <w:r>
              <w:rPr>
                <w:rFonts w:hint="eastAsia" w:ascii="宋体" w:hAnsi="宋体" w:cs="宋体"/>
                <w:sz w:val="24"/>
                <w:lang w:bidi="ar"/>
              </w:rPr>
              <w:t>年1月1日至今独立完成的同类业绩的，每提供一项得2分，最高得10分。</w:t>
            </w:r>
          </w:p>
          <w:p w14:paraId="6C108E4E">
            <w:pPr>
              <w:autoSpaceDE w:val="0"/>
              <w:autoSpaceDN w:val="0"/>
              <w:snapToGrid w:val="0"/>
              <w:spacing w:line="240" w:lineRule="auto"/>
              <w:ind w:left="-60" w:leftChars="-30" w:right="-84" w:rightChars="-42"/>
              <w:jc w:val="left"/>
              <w:textAlignment w:val="auto"/>
              <w:rPr>
                <w:rFonts w:ascii="宋体" w:hAnsi="宋体" w:cs="宋体"/>
                <w:sz w:val="24"/>
              </w:rPr>
            </w:pPr>
            <w:r>
              <w:rPr>
                <w:rFonts w:hint="eastAsia" w:ascii="宋体" w:hAnsi="宋体" w:cs="宋体"/>
                <w:sz w:val="24"/>
                <w:lang w:bidi="ar"/>
              </w:rPr>
              <w:t>注：须提供合同复印件（加盖公章）或中标（成交）通知书复印件（加盖公章）证明。</w:t>
            </w:r>
          </w:p>
        </w:tc>
        <w:tc>
          <w:tcPr>
            <w:tcW w:w="428" w:type="pct"/>
            <w:vAlign w:val="center"/>
          </w:tcPr>
          <w:p w14:paraId="71002089">
            <w:pPr>
              <w:autoSpaceDE w:val="0"/>
              <w:autoSpaceDN w:val="0"/>
              <w:snapToGrid w:val="0"/>
              <w:spacing w:line="240" w:lineRule="auto"/>
              <w:ind w:left="-60" w:leftChars="-30" w:right="-84" w:rightChars="-42"/>
              <w:jc w:val="center"/>
              <w:textAlignment w:val="auto"/>
              <w:rPr>
                <w:rFonts w:ascii="宋体" w:hAnsi="宋体"/>
                <w:sz w:val="24"/>
              </w:rPr>
            </w:pPr>
            <w:r>
              <w:rPr>
                <w:rFonts w:hint="eastAsia" w:ascii="宋体" w:hAnsi="宋体"/>
                <w:sz w:val="24"/>
              </w:rPr>
              <w:t>1</w:t>
            </w:r>
            <w:r>
              <w:rPr>
                <w:rFonts w:ascii="宋体" w:hAnsi="宋体"/>
                <w:sz w:val="24"/>
              </w:rPr>
              <w:t>0</w:t>
            </w:r>
          </w:p>
        </w:tc>
        <w:tc>
          <w:tcPr>
            <w:tcW w:w="445" w:type="pct"/>
            <w:vAlign w:val="center"/>
          </w:tcPr>
          <w:p w14:paraId="1E056A96">
            <w:pPr>
              <w:autoSpaceDE w:val="0"/>
              <w:autoSpaceDN w:val="0"/>
              <w:snapToGrid w:val="0"/>
              <w:spacing w:line="240" w:lineRule="auto"/>
              <w:ind w:left="-74" w:leftChars="-37" w:right="-70" w:rightChars="-35"/>
              <w:jc w:val="center"/>
              <w:textAlignment w:val="auto"/>
              <w:rPr>
                <w:rFonts w:ascii="宋体" w:hAnsi="宋体" w:cs="宋体"/>
                <w:sz w:val="24"/>
              </w:rPr>
            </w:pPr>
            <w:r>
              <w:rPr>
                <w:rFonts w:hint="eastAsia" w:ascii="宋体" w:hAnsi="宋体" w:cs="宋体"/>
                <w:sz w:val="24"/>
              </w:rPr>
              <w:t>1</w:t>
            </w:r>
            <w:r>
              <w:rPr>
                <w:rFonts w:ascii="宋体" w:hAnsi="宋体" w:cs="宋体"/>
                <w:sz w:val="24"/>
              </w:rPr>
              <w:t>0</w:t>
            </w:r>
          </w:p>
        </w:tc>
      </w:tr>
      <w:tr w14:paraId="0ED80C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05B239F0">
            <w:pPr>
              <w:numPr>
                <w:ilvl w:val="0"/>
                <w:numId w:val="24"/>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5F68B6FE">
            <w:pPr>
              <w:autoSpaceDE w:val="0"/>
              <w:autoSpaceDN w:val="0"/>
              <w:snapToGrid w:val="0"/>
              <w:spacing w:line="240" w:lineRule="auto"/>
              <w:ind w:left="-60" w:leftChars="-30" w:right="-84" w:rightChars="-42"/>
              <w:jc w:val="center"/>
              <w:textAlignment w:val="auto"/>
              <w:rPr>
                <w:rFonts w:ascii="宋体" w:hAnsi="宋体" w:cs="宋体"/>
                <w:sz w:val="24"/>
                <w:lang w:bidi="ar"/>
              </w:rPr>
            </w:pPr>
            <w:r>
              <w:rPr>
                <w:rFonts w:hint="eastAsia" w:ascii="宋体" w:hAnsi="宋体"/>
                <w:bCs/>
                <w:spacing w:val="10"/>
                <w:sz w:val="24"/>
              </w:rPr>
              <w:t>用户满意度评价</w:t>
            </w:r>
          </w:p>
        </w:tc>
        <w:tc>
          <w:tcPr>
            <w:tcW w:w="3221" w:type="pct"/>
            <w:vAlign w:val="center"/>
          </w:tcPr>
          <w:p w14:paraId="46BC5323">
            <w:pPr>
              <w:widowControl/>
              <w:snapToGrid w:val="0"/>
              <w:spacing w:line="240" w:lineRule="auto"/>
              <w:jc w:val="left"/>
              <w:textAlignment w:val="auto"/>
              <w:rPr>
                <w:rFonts w:ascii="宋体" w:hAnsi="宋体"/>
                <w:bCs/>
                <w:sz w:val="24"/>
              </w:rPr>
            </w:pPr>
            <w:r>
              <w:rPr>
                <w:rFonts w:hint="eastAsia" w:ascii="宋体" w:hAnsi="宋体"/>
                <w:bCs/>
                <w:sz w:val="24"/>
              </w:rPr>
              <w:t>提供投标人获得上述同类业绩的用户“满意”</w:t>
            </w:r>
            <w:r>
              <w:rPr>
                <w:rFonts w:hint="eastAsia" w:ascii="宋体" w:hAnsi="宋体"/>
                <w:sz w:val="24"/>
              </w:rPr>
              <w:t>或“好评”或“优秀”等相关正面评价字眼。</w:t>
            </w:r>
            <w:r>
              <w:rPr>
                <w:rFonts w:hint="eastAsia" w:ascii="宋体" w:hAnsi="宋体"/>
                <w:bCs/>
                <w:sz w:val="24"/>
              </w:rPr>
              <w:t>”的评价，每提供一个得1分。最高得5分。</w:t>
            </w:r>
          </w:p>
          <w:p w14:paraId="01C244EC">
            <w:pPr>
              <w:autoSpaceDE w:val="0"/>
              <w:autoSpaceDN w:val="0"/>
              <w:snapToGrid w:val="0"/>
              <w:spacing w:line="240" w:lineRule="auto"/>
              <w:jc w:val="left"/>
              <w:textAlignment w:val="auto"/>
              <w:rPr>
                <w:rFonts w:ascii="宋体" w:hAnsi="宋体" w:cs="宋体"/>
                <w:sz w:val="24"/>
                <w:lang w:bidi="ar"/>
              </w:rPr>
            </w:pPr>
            <w:r>
              <w:rPr>
                <w:rFonts w:hint="eastAsia" w:ascii="宋体" w:hAnsi="宋体"/>
                <w:bCs/>
                <w:sz w:val="24"/>
              </w:rPr>
              <w:t>注：提供用户评价加盖用户盖章的复印件，或采购人盖章的相关证明材料，其他情况不得分。</w:t>
            </w:r>
          </w:p>
        </w:tc>
        <w:tc>
          <w:tcPr>
            <w:tcW w:w="428" w:type="pct"/>
            <w:vAlign w:val="center"/>
          </w:tcPr>
          <w:p w14:paraId="45147BB3">
            <w:pPr>
              <w:autoSpaceDE w:val="0"/>
              <w:autoSpaceDN w:val="0"/>
              <w:snapToGrid w:val="0"/>
              <w:spacing w:line="240" w:lineRule="auto"/>
              <w:ind w:left="-60" w:leftChars="-30" w:right="-84" w:rightChars="-42"/>
              <w:jc w:val="center"/>
              <w:textAlignment w:val="auto"/>
              <w:rPr>
                <w:rFonts w:ascii="宋体" w:hAnsi="宋体"/>
                <w:sz w:val="24"/>
              </w:rPr>
            </w:pPr>
            <w:r>
              <w:rPr>
                <w:rFonts w:hint="eastAsia" w:ascii="宋体" w:hAnsi="宋体"/>
                <w:sz w:val="24"/>
              </w:rPr>
              <w:t>5</w:t>
            </w:r>
          </w:p>
        </w:tc>
        <w:tc>
          <w:tcPr>
            <w:tcW w:w="445" w:type="pct"/>
            <w:vAlign w:val="center"/>
          </w:tcPr>
          <w:p w14:paraId="2262CB8F">
            <w:pPr>
              <w:autoSpaceDE w:val="0"/>
              <w:autoSpaceDN w:val="0"/>
              <w:snapToGrid w:val="0"/>
              <w:spacing w:line="240" w:lineRule="auto"/>
              <w:ind w:left="-74" w:leftChars="-37" w:right="-70" w:rightChars="-35"/>
              <w:jc w:val="center"/>
              <w:textAlignment w:val="auto"/>
              <w:rPr>
                <w:rFonts w:ascii="宋体" w:hAnsi="宋体" w:cs="宋体"/>
                <w:sz w:val="24"/>
              </w:rPr>
            </w:pPr>
            <w:r>
              <w:rPr>
                <w:rFonts w:hint="eastAsia" w:ascii="宋体" w:hAnsi="宋体" w:cs="宋体"/>
                <w:sz w:val="24"/>
              </w:rPr>
              <w:t>5</w:t>
            </w:r>
          </w:p>
        </w:tc>
      </w:tr>
      <w:tr w14:paraId="15835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371" w:type="pct"/>
            <w:vAlign w:val="center"/>
          </w:tcPr>
          <w:p w14:paraId="6212F3C3">
            <w:pPr>
              <w:numPr>
                <w:ilvl w:val="0"/>
                <w:numId w:val="24"/>
              </w:numPr>
              <w:autoSpaceDE w:val="0"/>
              <w:autoSpaceDN w:val="0"/>
              <w:snapToGrid w:val="0"/>
              <w:spacing w:line="240" w:lineRule="auto"/>
              <w:jc w:val="center"/>
              <w:textAlignment w:val="auto"/>
              <w:rPr>
                <w:rFonts w:ascii="宋体" w:hAnsi="宋体"/>
                <w:bCs/>
                <w:kern w:val="2"/>
                <w:sz w:val="24"/>
              </w:rPr>
            </w:pPr>
          </w:p>
        </w:tc>
        <w:tc>
          <w:tcPr>
            <w:tcW w:w="533" w:type="pct"/>
            <w:vAlign w:val="center"/>
          </w:tcPr>
          <w:p w14:paraId="7C18CE29">
            <w:pPr>
              <w:autoSpaceDE w:val="0"/>
              <w:autoSpaceDN w:val="0"/>
              <w:snapToGrid w:val="0"/>
              <w:spacing w:line="240" w:lineRule="auto"/>
              <w:ind w:left="-60" w:leftChars="-30" w:right="-84" w:rightChars="-42"/>
              <w:jc w:val="center"/>
              <w:textAlignment w:val="auto"/>
              <w:rPr>
                <w:rFonts w:ascii="宋体" w:hAnsi="宋体"/>
                <w:bCs/>
                <w:spacing w:val="10"/>
                <w:sz w:val="24"/>
              </w:rPr>
            </w:pPr>
            <w:r>
              <w:rPr>
                <w:rFonts w:hint="eastAsia" w:ascii="宋体" w:hAnsi="宋体"/>
                <w:sz w:val="24"/>
              </w:rPr>
              <w:t>食品安全责任</w:t>
            </w:r>
          </w:p>
        </w:tc>
        <w:tc>
          <w:tcPr>
            <w:tcW w:w="3221" w:type="pct"/>
            <w:vAlign w:val="center"/>
          </w:tcPr>
          <w:p w14:paraId="7B11A12F">
            <w:pPr>
              <w:snapToGrid w:val="0"/>
              <w:spacing w:line="240" w:lineRule="auto"/>
              <w:textAlignment w:val="auto"/>
              <w:rPr>
                <w:rFonts w:ascii="宋体" w:hAnsi="宋体" w:cs="宋体"/>
                <w:snapToGrid w:val="0"/>
                <w:sz w:val="24"/>
              </w:rPr>
            </w:pPr>
            <w:r>
              <w:rPr>
                <w:rFonts w:hint="eastAsia" w:ascii="宋体" w:hAnsi="宋体" w:cs="宋体"/>
                <w:snapToGrid w:val="0"/>
                <w:sz w:val="24"/>
              </w:rPr>
              <w:t>根据投标人提供的食品质量安全要求承诺及食品安全保险进行评审，食品安全保险满足以下情况：已购买食品安全保险（累计赔偿额度）或承诺中标后购买（提供承诺函，格式自拟）均可得分。</w:t>
            </w:r>
          </w:p>
          <w:p w14:paraId="452AE38E">
            <w:pPr>
              <w:snapToGrid w:val="0"/>
              <w:spacing w:line="240" w:lineRule="auto"/>
              <w:textAlignment w:val="auto"/>
              <w:rPr>
                <w:rFonts w:ascii="宋体" w:hAnsi="宋体" w:cs="宋体"/>
                <w:snapToGrid w:val="0"/>
                <w:sz w:val="24"/>
              </w:rPr>
            </w:pPr>
            <w:r>
              <w:rPr>
                <w:rFonts w:hint="eastAsia" w:ascii="宋体" w:hAnsi="宋体" w:cs="宋体"/>
                <w:snapToGrid w:val="0"/>
                <w:sz w:val="24"/>
              </w:rPr>
              <w:t>1、投标人购买或承诺食品安全责任保险年保额≥1000万元的，且每次食品安全事故赔偿限额≥100万元，每人责任限额≥50万元的，得</w:t>
            </w:r>
            <w:r>
              <w:rPr>
                <w:rFonts w:ascii="宋体" w:hAnsi="宋体" w:cs="宋体"/>
                <w:snapToGrid w:val="0"/>
                <w:sz w:val="24"/>
              </w:rPr>
              <w:t>7</w:t>
            </w:r>
            <w:r>
              <w:rPr>
                <w:rFonts w:hint="eastAsia" w:ascii="宋体" w:hAnsi="宋体" w:cs="宋体"/>
                <w:snapToGrid w:val="0"/>
                <w:sz w:val="24"/>
              </w:rPr>
              <w:t>分；</w:t>
            </w:r>
          </w:p>
          <w:p w14:paraId="6B53D0DA">
            <w:pPr>
              <w:snapToGrid w:val="0"/>
              <w:spacing w:line="240" w:lineRule="auto"/>
              <w:textAlignment w:val="auto"/>
              <w:rPr>
                <w:rFonts w:ascii="宋体" w:hAnsi="宋体" w:cs="宋体"/>
                <w:snapToGrid w:val="0"/>
                <w:sz w:val="24"/>
              </w:rPr>
            </w:pPr>
            <w:r>
              <w:rPr>
                <w:rFonts w:hint="eastAsia" w:ascii="宋体" w:hAnsi="宋体" w:cs="宋体"/>
                <w:snapToGrid w:val="0"/>
                <w:sz w:val="24"/>
              </w:rPr>
              <w:t>2、1000万元＞投标人购买或承诺食品安全责任保险年保额≥500万元的，且每次食品安全事故赔偿限额≥50万元，每人责任限额≥30万元的，得</w:t>
            </w:r>
            <w:r>
              <w:rPr>
                <w:rFonts w:ascii="宋体" w:hAnsi="宋体" w:cs="宋体"/>
                <w:snapToGrid w:val="0"/>
                <w:sz w:val="24"/>
              </w:rPr>
              <w:t>4</w:t>
            </w:r>
            <w:r>
              <w:rPr>
                <w:rFonts w:hint="eastAsia" w:ascii="宋体" w:hAnsi="宋体" w:cs="宋体"/>
                <w:snapToGrid w:val="0"/>
                <w:sz w:val="24"/>
              </w:rPr>
              <w:t>分；</w:t>
            </w:r>
          </w:p>
          <w:p w14:paraId="7B473732">
            <w:pPr>
              <w:snapToGrid w:val="0"/>
              <w:spacing w:line="240" w:lineRule="auto"/>
              <w:textAlignment w:val="auto"/>
              <w:rPr>
                <w:rFonts w:ascii="宋体" w:hAnsi="宋体" w:cs="宋体"/>
                <w:snapToGrid w:val="0"/>
                <w:sz w:val="24"/>
              </w:rPr>
            </w:pPr>
            <w:r>
              <w:rPr>
                <w:rFonts w:hint="eastAsia" w:ascii="宋体" w:hAnsi="宋体" w:cs="宋体"/>
                <w:snapToGrid w:val="0"/>
                <w:sz w:val="24"/>
              </w:rPr>
              <w:t>3、500万元＞投标人购买或承诺食品安全责任保险年保额≥100万元的，且每次食品安全事故赔偿限额≥10万元，每人责任限额≥10万元的，得</w:t>
            </w:r>
            <w:r>
              <w:rPr>
                <w:rFonts w:ascii="宋体" w:hAnsi="宋体" w:cs="宋体"/>
                <w:snapToGrid w:val="0"/>
                <w:sz w:val="24"/>
              </w:rPr>
              <w:t>1</w:t>
            </w:r>
            <w:r>
              <w:rPr>
                <w:rFonts w:hint="eastAsia" w:ascii="宋体" w:hAnsi="宋体" w:cs="宋体"/>
                <w:snapToGrid w:val="0"/>
                <w:sz w:val="24"/>
              </w:rPr>
              <w:t>分；</w:t>
            </w:r>
          </w:p>
          <w:p w14:paraId="41F2EF02">
            <w:pPr>
              <w:snapToGrid w:val="0"/>
              <w:spacing w:line="240" w:lineRule="auto"/>
              <w:textAlignment w:val="auto"/>
              <w:rPr>
                <w:rFonts w:ascii="宋体" w:hAnsi="宋体" w:cs="宋体"/>
                <w:snapToGrid w:val="0"/>
                <w:sz w:val="24"/>
              </w:rPr>
            </w:pPr>
            <w:r>
              <w:rPr>
                <w:rFonts w:hint="eastAsia" w:ascii="宋体" w:hAnsi="宋体" w:cs="宋体"/>
                <w:snapToGrid w:val="0"/>
                <w:sz w:val="24"/>
              </w:rPr>
              <w:t>4、其他情况不得分。</w:t>
            </w:r>
          </w:p>
          <w:p w14:paraId="5732F4F2">
            <w:pPr>
              <w:widowControl/>
              <w:snapToGrid w:val="0"/>
              <w:spacing w:line="240" w:lineRule="auto"/>
              <w:jc w:val="left"/>
              <w:textAlignment w:val="auto"/>
              <w:rPr>
                <w:rFonts w:ascii="宋体" w:hAnsi="宋体"/>
                <w:bCs/>
                <w:sz w:val="24"/>
              </w:rPr>
            </w:pPr>
            <w:r>
              <w:rPr>
                <w:rFonts w:hint="eastAsia" w:ascii="宋体" w:hAnsi="宋体" w:cs="宋体"/>
                <w:snapToGrid w:val="0"/>
                <w:sz w:val="24"/>
              </w:rPr>
              <w:t>【注：（1）若投标人已购买食品安全保险，须提供有效期内食品安全责任保险保单扫描件、发票扫描件，如保险单无法涵盖本项目合同履行期限的，还需提供续期至本项目合同履行期限结束的承诺函，且续期的保额不得低于原标准，格式自拟。如保单无法显示每人赔偿限额，还需提供保险公司加盖公章的每人赔偿限额证明材料，未提供或提供不全不得分。（2）若投标人承诺中标后购买，提供承诺函，格式自拟，不提供不得分。未按评审要求及提供证明材料的不得分。】</w:t>
            </w:r>
          </w:p>
        </w:tc>
        <w:tc>
          <w:tcPr>
            <w:tcW w:w="428" w:type="pct"/>
            <w:vAlign w:val="center"/>
          </w:tcPr>
          <w:p w14:paraId="41BC812F">
            <w:pPr>
              <w:autoSpaceDE w:val="0"/>
              <w:autoSpaceDN w:val="0"/>
              <w:snapToGrid w:val="0"/>
              <w:spacing w:line="240" w:lineRule="auto"/>
              <w:ind w:left="-60" w:leftChars="-30" w:right="-84" w:rightChars="-42"/>
              <w:jc w:val="center"/>
              <w:textAlignment w:val="auto"/>
              <w:rPr>
                <w:rFonts w:ascii="宋体" w:hAnsi="宋体"/>
                <w:sz w:val="24"/>
              </w:rPr>
            </w:pPr>
            <w:r>
              <w:rPr>
                <w:rFonts w:ascii="宋体" w:hAnsi="宋体"/>
                <w:sz w:val="24"/>
              </w:rPr>
              <w:t>7</w:t>
            </w:r>
          </w:p>
        </w:tc>
        <w:tc>
          <w:tcPr>
            <w:tcW w:w="445" w:type="pct"/>
            <w:vAlign w:val="center"/>
          </w:tcPr>
          <w:p w14:paraId="21A37580">
            <w:pPr>
              <w:autoSpaceDE w:val="0"/>
              <w:autoSpaceDN w:val="0"/>
              <w:snapToGrid w:val="0"/>
              <w:spacing w:line="240" w:lineRule="auto"/>
              <w:ind w:left="-74" w:leftChars="-37" w:right="-70" w:rightChars="-35"/>
              <w:jc w:val="center"/>
              <w:textAlignment w:val="auto"/>
              <w:rPr>
                <w:rFonts w:ascii="宋体" w:hAnsi="宋体" w:cs="宋体"/>
                <w:sz w:val="24"/>
              </w:rPr>
            </w:pPr>
            <w:r>
              <w:rPr>
                <w:rFonts w:ascii="宋体" w:hAnsi="宋体" w:cs="宋体"/>
                <w:sz w:val="24"/>
              </w:rPr>
              <w:t>7</w:t>
            </w:r>
          </w:p>
        </w:tc>
      </w:tr>
      <w:tr w14:paraId="185C4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371" w:type="pct"/>
            <w:vAlign w:val="center"/>
          </w:tcPr>
          <w:p w14:paraId="29EB993E">
            <w:pPr>
              <w:autoSpaceDE w:val="0"/>
              <w:autoSpaceDN w:val="0"/>
              <w:snapToGrid w:val="0"/>
              <w:spacing w:line="240" w:lineRule="auto"/>
              <w:jc w:val="center"/>
              <w:textAlignment w:val="auto"/>
              <w:rPr>
                <w:rFonts w:ascii="宋体" w:hAnsi="宋体"/>
                <w:b/>
                <w:sz w:val="24"/>
              </w:rPr>
            </w:pPr>
            <w:r>
              <w:rPr>
                <w:rFonts w:hint="eastAsia" w:ascii="宋体" w:hAnsi="宋体"/>
                <w:b/>
                <w:sz w:val="24"/>
              </w:rPr>
              <w:t>三</w:t>
            </w:r>
          </w:p>
        </w:tc>
        <w:tc>
          <w:tcPr>
            <w:tcW w:w="4628" w:type="pct"/>
            <w:gridSpan w:val="4"/>
            <w:vAlign w:val="center"/>
          </w:tcPr>
          <w:p w14:paraId="37E9C584">
            <w:pPr>
              <w:autoSpaceDE w:val="0"/>
              <w:autoSpaceDN w:val="0"/>
              <w:snapToGrid w:val="0"/>
              <w:spacing w:line="240" w:lineRule="auto"/>
              <w:ind w:left="-74" w:leftChars="-37" w:right="-70" w:rightChars="-35"/>
              <w:jc w:val="center"/>
              <w:textAlignment w:val="auto"/>
              <w:rPr>
                <w:rFonts w:ascii="宋体" w:hAnsi="宋体" w:cs="宋体"/>
                <w:b/>
                <w:bCs/>
                <w:sz w:val="24"/>
                <w:shd w:val="pct10" w:color="auto" w:fill="FFFFFF"/>
              </w:rPr>
            </w:pPr>
            <w:r>
              <w:rPr>
                <w:rFonts w:hint="eastAsia" w:ascii="宋体" w:hAnsi="宋体"/>
                <w:b/>
                <w:sz w:val="24"/>
              </w:rPr>
              <w:t>价格部分（3</w:t>
            </w:r>
            <w:r>
              <w:rPr>
                <w:rFonts w:ascii="宋体" w:hAnsi="宋体"/>
                <w:b/>
                <w:sz w:val="24"/>
              </w:rPr>
              <w:t>0</w:t>
            </w:r>
            <w:r>
              <w:rPr>
                <w:rFonts w:hint="eastAsia" w:ascii="宋体" w:hAnsi="宋体"/>
                <w:b/>
                <w:sz w:val="24"/>
              </w:rPr>
              <w:t>分）</w:t>
            </w:r>
          </w:p>
        </w:tc>
      </w:tr>
      <w:tr w14:paraId="33D459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4" w:hRule="atLeast"/>
        </w:trPr>
        <w:tc>
          <w:tcPr>
            <w:tcW w:w="371" w:type="pct"/>
            <w:vAlign w:val="center"/>
          </w:tcPr>
          <w:p w14:paraId="4E3B09EA">
            <w:pPr>
              <w:numPr>
                <w:ilvl w:val="0"/>
                <w:numId w:val="25"/>
              </w:numPr>
              <w:autoSpaceDE w:val="0"/>
              <w:autoSpaceDN w:val="0"/>
              <w:snapToGrid w:val="0"/>
              <w:spacing w:line="240" w:lineRule="auto"/>
              <w:jc w:val="center"/>
              <w:textAlignment w:val="auto"/>
              <w:rPr>
                <w:rFonts w:ascii="宋体" w:hAnsi="宋体"/>
                <w:sz w:val="24"/>
              </w:rPr>
            </w:pPr>
          </w:p>
        </w:tc>
        <w:tc>
          <w:tcPr>
            <w:tcW w:w="533" w:type="pct"/>
            <w:vAlign w:val="center"/>
          </w:tcPr>
          <w:p w14:paraId="67D3D7C1">
            <w:pPr>
              <w:autoSpaceDE w:val="0"/>
              <w:autoSpaceDN w:val="0"/>
              <w:snapToGrid w:val="0"/>
              <w:spacing w:line="240" w:lineRule="auto"/>
              <w:jc w:val="center"/>
              <w:textAlignment w:val="auto"/>
              <w:rPr>
                <w:rFonts w:ascii="宋体" w:hAnsi="宋体"/>
                <w:sz w:val="24"/>
              </w:rPr>
            </w:pPr>
            <w:r>
              <w:rPr>
                <w:rFonts w:ascii="宋体" w:hAnsi="宋体" w:cs="宋体"/>
                <w:spacing w:val="7"/>
                <w:kern w:val="2"/>
                <w:sz w:val="24"/>
              </w:rPr>
              <w:t>投标报价</w:t>
            </w:r>
          </w:p>
        </w:tc>
        <w:tc>
          <w:tcPr>
            <w:tcW w:w="3221" w:type="pct"/>
          </w:tcPr>
          <w:p w14:paraId="5DB40C71">
            <w:pPr>
              <w:snapToGrid w:val="0"/>
              <w:spacing w:line="240" w:lineRule="auto"/>
              <w:ind w:hanging="13"/>
              <w:textAlignment w:val="auto"/>
              <w:rPr>
                <w:rFonts w:ascii="宋体" w:hAnsi="宋体" w:cs="宋体"/>
                <w:kern w:val="2"/>
                <w:sz w:val="24"/>
              </w:rPr>
            </w:pPr>
            <w:r>
              <w:rPr>
                <w:rFonts w:ascii="宋体" w:hAnsi="宋体" w:cs="宋体"/>
                <w:kern w:val="2"/>
                <w:sz w:val="24"/>
              </w:rPr>
              <w:t>价格分应当采用低价优先法计算，即满足招标文件要求且投标价格最低的投标报价为评标基准价，其价格分为满分。其他投标人的价格分统一按照下列公式计算：</w:t>
            </w:r>
          </w:p>
          <w:p w14:paraId="7160F347">
            <w:pPr>
              <w:snapToGrid w:val="0"/>
              <w:spacing w:line="240" w:lineRule="auto"/>
              <w:textAlignment w:val="auto"/>
              <w:rPr>
                <w:rFonts w:ascii="宋体" w:hAnsi="宋体" w:cs="宋体"/>
                <w:kern w:val="2"/>
                <w:sz w:val="24"/>
              </w:rPr>
            </w:pPr>
            <w:r>
              <w:rPr>
                <w:rFonts w:ascii="宋体" w:hAnsi="宋体" w:cs="宋体"/>
                <w:kern w:val="2"/>
                <w:sz w:val="24"/>
              </w:rPr>
              <w:t>投标报价得分=(评标基准价/投标报价)×100×权重</w:t>
            </w:r>
          </w:p>
          <w:p w14:paraId="121D489D">
            <w:pPr>
              <w:snapToGrid w:val="0"/>
              <w:spacing w:line="240" w:lineRule="auto"/>
              <w:textAlignment w:val="auto"/>
              <w:rPr>
                <w:rFonts w:ascii="宋体" w:hAnsi="宋体" w:cs="宋体"/>
                <w:kern w:val="2"/>
                <w:sz w:val="24"/>
              </w:rPr>
            </w:pPr>
            <w:r>
              <w:rPr>
                <w:rFonts w:ascii="宋体" w:hAnsi="宋体" w:cs="宋体"/>
                <w:kern w:val="2"/>
                <w:sz w:val="24"/>
              </w:rPr>
              <w:t>备注：</w:t>
            </w:r>
          </w:p>
          <w:p w14:paraId="05F16822">
            <w:pPr>
              <w:snapToGrid w:val="0"/>
              <w:spacing w:line="240" w:lineRule="auto"/>
              <w:textAlignment w:val="auto"/>
              <w:rPr>
                <w:rFonts w:ascii="宋体" w:hAnsi="宋体" w:cs="宋体"/>
                <w:kern w:val="2"/>
                <w:sz w:val="24"/>
              </w:rPr>
            </w:pPr>
            <w:r>
              <w:rPr>
                <w:rFonts w:ascii="宋体" w:hAnsi="宋体" w:cs="宋体"/>
                <w:kern w:val="2"/>
                <w:sz w:val="24"/>
              </w:rPr>
              <w:t>1、因落实政府采购政策进行价格调整的，以调整后的价格计算评标基准价和投标报价，详见《价格扣除》。</w:t>
            </w:r>
          </w:p>
          <w:p w14:paraId="50EC9C2F">
            <w:pPr>
              <w:snapToGrid w:val="0"/>
              <w:spacing w:line="240" w:lineRule="auto"/>
              <w:textAlignment w:val="auto"/>
              <w:rPr>
                <w:rFonts w:ascii="宋体" w:hAnsi="宋体" w:cs="宋体"/>
                <w:kern w:val="2"/>
                <w:sz w:val="24"/>
              </w:rPr>
            </w:pPr>
            <w:r>
              <w:rPr>
                <w:rFonts w:ascii="宋体" w:hAnsi="宋体" w:cs="宋体"/>
                <w:kern w:val="2"/>
                <w:sz w:val="24"/>
              </w:rPr>
              <w:t>2、投标报价得分四舍五入后，小数点后保留两位有效数；</w:t>
            </w:r>
          </w:p>
          <w:p w14:paraId="45935D9D">
            <w:pPr>
              <w:autoSpaceDE w:val="0"/>
              <w:autoSpaceDN w:val="0"/>
              <w:snapToGrid w:val="0"/>
              <w:spacing w:line="240" w:lineRule="auto"/>
              <w:jc w:val="left"/>
              <w:textAlignment w:val="auto"/>
              <w:rPr>
                <w:rFonts w:ascii="宋体" w:hAnsi="宋体"/>
                <w:bCs/>
                <w:sz w:val="24"/>
              </w:rPr>
            </w:pPr>
            <w:r>
              <w:rPr>
                <w:rFonts w:ascii="宋体" w:hAnsi="宋体" w:cs="宋体"/>
                <w:kern w:val="2"/>
                <w:sz w:val="24"/>
              </w:rPr>
              <w:t>3、投标报价以</w:t>
            </w:r>
            <w:r>
              <w:rPr>
                <w:rFonts w:ascii="宋体" w:hAnsi="宋体" w:cs="宋体"/>
                <w:b/>
                <w:bCs/>
                <w:kern w:val="2"/>
                <w:sz w:val="24"/>
              </w:rPr>
              <w:t>“</w:t>
            </w:r>
            <w:r>
              <w:rPr>
                <w:rFonts w:hint="eastAsia" w:ascii="宋体" w:hAnsi="宋体" w:cs="宋体"/>
                <w:b/>
                <w:bCs/>
                <w:kern w:val="2"/>
                <w:sz w:val="24"/>
              </w:rPr>
              <w:t>综合折扣率</w:t>
            </w:r>
            <w:r>
              <w:rPr>
                <w:rFonts w:ascii="宋体" w:hAnsi="宋体" w:cs="宋体"/>
                <w:b/>
                <w:bCs/>
                <w:kern w:val="2"/>
                <w:sz w:val="24"/>
              </w:rPr>
              <w:t>”</w:t>
            </w:r>
            <w:r>
              <w:rPr>
                <w:rFonts w:ascii="宋体" w:hAnsi="宋体" w:cs="宋体"/>
                <w:kern w:val="2"/>
                <w:sz w:val="24"/>
              </w:rPr>
              <w:t>进行价格评分的计算</w:t>
            </w:r>
            <w:r>
              <w:rPr>
                <w:rFonts w:hint="eastAsia" w:ascii="宋体" w:hAnsi="宋体" w:cs="宋体"/>
                <w:kern w:val="2"/>
                <w:sz w:val="24"/>
              </w:rPr>
              <w:t>。</w:t>
            </w:r>
          </w:p>
        </w:tc>
        <w:tc>
          <w:tcPr>
            <w:tcW w:w="428" w:type="pct"/>
            <w:vAlign w:val="center"/>
          </w:tcPr>
          <w:p w14:paraId="385BE04E">
            <w:pPr>
              <w:autoSpaceDE w:val="0"/>
              <w:autoSpaceDN w:val="0"/>
              <w:snapToGrid w:val="0"/>
              <w:spacing w:line="240" w:lineRule="auto"/>
              <w:ind w:left="-74" w:leftChars="-37" w:right="-70" w:rightChars="-35"/>
              <w:jc w:val="center"/>
              <w:textAlignment w:val="auto"/>
              <w:rPr>
                <w:rFonts w:ascii="宋体" w:hAnsi="宋体" w:cs="宋体"/>
                <w:sz w:val="24"/>
              </w:rPr>
            </w:pPr>
            <w:r>
              <w:rPr>
                <w:rFonts w:ascii="宋体" w:hAnsi="宋体" w:cs="宋体"/>
                <w:spacing w:val="-13"/>
                <w:kern w:val="2"/>
                <w:sz w:val="24"/>
              </w:rPr>
              <w:t>30</w:t>
            </w:r>
          </w:p>
        </w:tc>
        <w:tc>
          <w:tcPr>
            <w:tcW w:w="445" w:type="pct"/>
            <w:vAlign w:val="center"/>
          </w:tcPr>
          <w:p w14:paraId="03249534">
            <w:pPr>
              <w:autoSpaceDE w:val="0"/>
              <w:autoSpaceDN w:val="0"/>
              <w:snapToGrid w:val="0"/>
              <w:spacing w:line="240" w:lineRule="auto"/>
              <w:ind w:left="-74" w:leftChars="-37" w:right="-70" w:rightChars="-35"/>
              <w:jc w:val="center"/>
              <w:textAlignment w:val="auto"/>
              <w:rPr>
                <w:rFonts w:ascii="宋体" w:hAnsi="宋体" w:cs="宋体"/>
                <w:sz w:val="24"/>
              </w:rPr>
            </w:pPr>
            <w:r>
              <w:rPr>
                <w:rFonts w:ascii="宋体" w:hAnsi="宋体" w:cs="宋体"/>
                <w:spacing w:val="-13"/>
                <w:kern w:val="2"/>
                <w:sz w:val="24"/>
              </w:rPr>
              <w:t>30</w:t>
            </w:r>
          </w:p>
        </w:tc>
      </w:tr>
      <w:tr w14:paraId="2ED54F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6" w:hRule="atLeast"/>
        </w:trPr>
        <w:tc>
          <w:tcPr>
            <w:tcW w:w="4125" w:type="pct"/>
            <w:gridSpan w:val="3"/>
            <w:vAlign w:val="center"/>
          </w:tcPr>
          <w:p w14:paraId="38B52EB6">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b/>
                <w:sz w:val="24"/>
              </w:rPr>
              <w:t>合计</w:t>
            </w:r>
          </w:p>
        </w:tc>
        <w:tc>
          <w:tcPr>
            <w:tcW w:w="428" w:type="pct"/>
            <w:vAlign w:val="center"/>
          </w:tcPr>
          <w:p w14:paraId="519D4402">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cs="宋体"/>
                <w:b/>
                <w:sz w:val="24"/>
              </w:rPr>
              <w:t>100</w:t>
            </w:r>
            <w:r>
              <w:rPr>
                <w:rFonts w:ascii="宋体" w:hAnsi="宋体" w:cs="宋体"/>
                <w:b/>
                <w:sz w:val="24"/>
              </w:rPr>
              <w:t xml:space="preserve"> </w:t>
            </w:r>
          </w:p>
        </w:tc>
        <w:tc>
          <w:tcPr>
            <w:tcW w:w="445" w:type="pct"/>
            <w:vAlign w:val="center"/>
          </w:tcPr>
          <w:p w14:paraId="5AFE6494">
            <w:pPr>
              <w:autoSpaceDE w:val="0"/>
              <w:autoSpaceDN w:val="0"/>
              <w:snapToGrid w:val="0"/>
              <w:spacing w:line="240" w:lineRule="auto"/>
              <w:ind w:left="-74" w:leftChars="-37" w:right="-70" w:rightChars="-35"/>
              <w:jc w:val="center"/>
              <w:textAlignment w:val="auto"/>
              <w:rPr>
                <w:rFonts w:ascii="宋体" w:hAnsi="宋体" w:cs="宋体"/>
                <w:b/>
                <w:sz w:val="24"/>
              </w:rPr>
            </w:pPr>
            <w:r>
              <w:rPr>
                <w:rFonts w:hint="eastAsia" w:ascii="宋体" w:hAnsi="宋体" w:cs="宋体"/>
                <w:b/>
                <w:sz w:val="24"/>
              </w:rPr>
              <w:t>100</w:t>
            </w:r>
            <w:r>
              <w:rPr>
                <w:rFonts w:ascii="宋体" w:hAnsi="宋体" w:cs="宋体"/>
                <w:b/>
                <w:sz w:val="24"/>
              </w:rPr>
              <w:t xml:space="preserve"> </w:t>
            </w:r>
          </w:p>
        </w:tc>
      </w:tr>
      <w:bookmarkEnd w:id="41"/>
    </w:tbl>
    <w:p w14:paraId="7D06BB8E">
      <w:pPr>
        <w:widowControl/>
        <w:adjustRightInd/>
        <w:spacing w:line="240" w:lineRule="auto"/>
        <w:jc w:val="left"/>
        <w:textAlignment w:val="auto"/>
        <w:rPr>
          <w:rFonts w:ascii="宋体" w:cs="宋体"/>
          <w:snapToGrid w:val="0"/>
          <w:sz w:val="24"/>
          <w:szCs w:val="21"/>
        </w:rPr>
      </w:pPr>
      <w:bookmarkStart w:id="42" w:name="_Toc435514848"/>
      <w:r>
        <w:rPr>
          <w:rFonts w:ascii="黑体" w:hAnsi="宋体" w:eastAsia="黑体" w:cs="宋体"/>
          <w:sz w:val="28"/>
          <w:szCs w:val="28"/>
        </w:rPr>
        <w:br w:type="page"/>
      </w:r>
    </w:p>
    <w:p w14:paraId="4EB51DFE">
      <w:pPr>
        <w:widowControl/>
        <w:jc w:val="center"/>
        <w:outlineLvl w:val="3"/>
        <w:rPr>
          <w:rFonts w:ascii="黑体" w:hAnsi="宋体" w:eastAsia="黑体" w:cs="宋体"/>
          <w:sz w:val="28"/>
          <w:szCs w:val="28"/>
        </w:rPr>
      </w:pPr>
      <w:r>
        <w:rPr>
          <w:rFonts w:hint="eastAsia" w:ascii="黑体" w:hAnsi="宋体" w:eastAsia="黑体" w:cs="宋体"/>
          <w:sz w:val="28"/>
          <w:szCs w:val="28"/>
        </w:rPr>
        <w:t>政策功能</w:t>
      </w:r>
    </w:p>
    <w:p w14:paraId="729BCC01">
      <w:pPr>
        <w:widowControl/>
        <w:jc w:val="center"/>
        <w:outlineLvl w:val="4"/>
        <w:rPr>
          <w:rFonts w:ascii="黑体" w:hAnsi="宋体" w:eastAsia="黑体" w:cs="宋体"/>
          <w:sz w:val="28"/>
          <w:szCs w:val="28"/>
        </w:rPr>
      </w:pPr>
      <w:r>
        <w:rPr>
          <w:rFonts w:hint="eastAsia" w:ascii="黑体" w:hAnsi="宋体" w:eastAsia="黑体" w:cs="宋体"/>
          <w:sz w:val="28"/>
          <w:szCs w:val="28"/>
        </w:rPr>
        <w:t>第一部分 价格扣</w:t>
      </w:r>
      <w:bookmarkEnd w:id="42"/>
      <w:r>
        <w:rPr>
          <w:rFonts w:hint="eastAsia" w:ascii="黑体" w:hAnsi="宋体" w:eastAsia="黑体" w:cs="宋体"/>
          <w:sz w:val="28"/>
          <w:szCs w:val="28"/>
        </w:rPr>
        <w:t>除</w:t>
      </w:r>
    </w:p>
    <w:p w14:paraId="3B2DA822">
      <w:pPr>
        <w:adjustRightInd/>
        <w:snapToGrid w:val="0"/>
        <w:spacing w:line="360" w:lineRule="auto"/>
        <w:textAlignment w:val="auto"/>
        <w:rPr>
          <w:rFonts w:ascii="宋体" w:hAnsi="宋体"/>
          <w:kern w:val="2"/>
          <w:sz w:val="24"/>
        </w:rPr>
      </w:pPr>
    </w:p>
    <w:p w14:paraId="38881C67">
      <w:pPr>
        <w:pStyle w:val="84"/>
        <w:numPr>
          <w:ilvl w:val="0"/>
          <w:numId w:val="26"/>
        </w:numPr>
        <w:adjustRightInd/>
        <w:snapToGrid w:val="0"/>
        <w:spacing w:line="360" w:lineRule="auto"/>
        <w:ind w:firstLineChars="0"/>
        <w:jc w:val="center"/>
        <w:textAlignment w:val="auto"/>
        <w:rPr>
          <w:rFonts w:ascii="宋体" w:hAnsi="宋体"/>
          <w:b/>
          <w:bCs/>
          <w:kern w:val="2"/>
          <w:sz w:val="24"/>
          <w:szCs w:val="22"/>
        </w:rPr>
      </w:pPr>
      <w:r>
        <w:rPr>
          <w:rFonts w:hint="eastAsia" w:ascii="宋体" w:hAnsi="宋体"/>
          <w:b/>
          <w:bCs/>
          <w:kern w:val="2"/>
          <w:sz w:val="24"/>
          <w:szCs w:val="22"/>
        </w:rPr>
        <w:t xml:space="preserve"> </w:t>
      </w:r>
      <w:r>
        <w:rPr>
          <w:rFonts w:hint="eastAsia" w:ascii="宋体" w:hAnsi="宋体"/>
          <w:b/>
          <w:bCs/>
          <w:color w:val="000000" w:themeColor="text1"/>
          <w:sz w:val="24"/>
          <w14:textFill>
            <w14:solidFill>
              <w14:schemeClr w14:val="tx1"/>
            </w14:solidFill>
          </w14:textFill>
        </w:rPr>
        <w:t>小微企业产品价格扣除</w:t>
      </w:r>
    </w:p>
    <w:p w14:paraId="007784FA">
      <w:pPr>
        <w:numPr>
          <w:ilvl w:val="1"/>
          <w:numId w:val="27"/>
        </w:numPr>
        <w:adjustRightInd/>
        <w:spacing w:line="360" w:lineRule="auto"/>
        <w:textAlignment w:val="auto"/>
        <w:rPr>
          <w:rFonts w:ascii="宋体" w:hAnsi="宋体"/>
          <w:bCs/>
          <w:strike/>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根据财政部、工业和信息化部印发的《政府采购促进中小企业发展管理办法》（财库〔</w:t>
      </w:r>
      <w:r>
        <w:rPr>
          <w:rFonts w:ascii="宋体" w:hAnsi="宋体"/>
          <w:bCs/>
          <w:color w:val="000000" w:themeColor="text1"/>
          <w:sz w:val="24"/>
          <w14:textFill>
            <w14:solidFill>
              <w14:schemeClr w14:val="tx1"/>
            </w14:solidFill>
          </w14:textFill>
        </w:rPr>
        <w:t>2020〕46号</w:t>
      </w:r>
      <w:r>
        <w:rPr>
          <w:rFonts w:hint="eastAsia" w:ascii="宋体" w:hAnsi="宋体"/>
          <w:bCs/>
          <w:color w:val="000000" w:themeColor="text1"/>
          <w:sz w:val="24"/>
          <w14:textFill>
            <w14:solidFill>
              <w14:schemeClr w14:val="tx1"/>
            </w14:solidFill>
          </w14:textFill>
        </w:rPr>
        <w:t>）的规定，对小型和微型企业产品的价格给予C</w:t>
      </w:r>
      <w:r>
        <w:rPr>
          <w:rFonts w:ascii="宋体" w:hAnsi="宋体"/>
          <w:bCs/>
          <w:color w:val="000000" w:themeColor="text1"/>
          <w:sz w:val="24"/>
          <w14:textFill>
            <w14:solidFill>
              <w14:schemeClr w14:val="tx1"/>
            </w14:solidFill>
          </w14:textFill>
        </w:rPr>
        <w:t>1</w:t>
      </w:r>
      <w:r>
        <w:rPr>
          <w:rFonts w:hint="eastAsia" w:ascii="宋体" w:hAnsi="宋体"/>
          <w:bCs/>
          <w:color w:val="000000" w:themeColor="text1"/>
          <w:sz w:val="24"/>
          <w14:textFill>
            <w14:solidFill>
              <w14:schemeClr w14:val="tx1"/>
            </w14:solidFill>
          </w14:textFill>
        </w:rPr>
        <w:t>的扣除（</w:t>
      </w:r>
      <w:r>
        <w:rPr>
          <w:rFonts w:ascii="宋体" w:hAnsi="宋体"/>
          <w:bCs/>
          <w:color w:val="000000" w:themeColor="text1"/>
          <w:sz w:val="24"/>
          <w14:textFill>
            <w14:solidFill>
              <w14:schemeClr w14:val="tx1"/>
            </w14:solidFill>
          </w14:textFill>
        </w:rPr>
        <w:t>C1</w:t>
      </w:r>
      <w:r>
        <w:rPr>
          <w:rFonts w:hint="eastAsia" w:ascii="宋体" w:hAnsi="宋体"/>
          <w:bCs/>
          <w:color w:val="000000" w:themeColor="text1"/>
          <w:sz w:val="24"/>
          <w14:textFill>
            <w14:solidFill>
              <w14:schemeClr w14:val="tx1"/>
            </w14:solidFill>
          </w14:textFill>
        </w:rPr>
        <w:t>的取值为</w:t>
      </w:r>
      <w:r>
        <w:rPr>
          <w:rFonts w:hint="eastAsia" w:ascii="宋体" w:hAnsi="宋体"/>
          <w:bCs/>
          <w:sz w:val="24"/>
          <w:u w:val="single"/>
        </w:rPr>
        <w:t>1</w:t>
      </w:r>
      <w:r>
        <w:rPr>
          <w:rFonts w:ascii="宋体" w:hAnsi="宋体"/>
          <w:bCs/>
          <w:sz w:val="24"/>
          <w:u w:val="single"/>
        </w:rPr>
        <w:t>0%</w:t>
      </w:r>
      <w:r>
        <w:rPr>
          <w:rFonts w:hint="eastAsia" w:ascii="宋体" w:hAnsi="宋体"/>
          <w:bCs/>
          <w:sz w:val="24"/>
        </w:rPr>
        <w:t>）</w:t>
      </w:r>
      <w:r>
        <w:rPr>
          <w:rFonts w:hint="eastAsia" w:ascii="宋体" w:hAnsi="宋体"/>
          <w:bCs/>
          <w:color w:val="000000" w:themeColor="text1"/>
          <w:sz w:val="24"/>
          <w14:textFill>
            <w14:solidFill>
              <w14:schemeClr w14:val="tx1"/>
            </w14:solidFill>
          </w14:textFill>
        </w:rPr>
        <w:t>，用扣除后的价格参与评审。</w:t>
      </w:r>
    </w:p>
    <w:p w14:paraId="433043CE">
      <w:pPr>
        <w:numPr>
          <w:ilvl w:val="1"/>
          <w:numId w:val="27"/>
        </w:numPr>
        <w:adjustRightInd/>
        <w:spacing w:line="360" w:lineRule="auto"/>
        <w:textAlignment w:val="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组成联合体（如允许）或者接受分包的小微企业与联合体内其他企业、分包企业之间存在直接控股、管理关系的，不享受价格扣除优惠政策。</w:t>
      </w:r>
    </w:p>
    <w:p w14:paraId="71A0EFC9">
      <w:pPr>
        <w:numPr>
          <w:ilvl w:val="1"/>
          <w:numId w:val="27"/>
        </w:numPr>
        <w:adjustRightInd/>
        <w:spacing w:line="360" w:lineRule="auto"/>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监狱企业产品价格扣除</w:t>
      </w:r>
    </w:p>
    <w:p w14:paraId="194702E4">
      <w:pPr>
        <w:numPr>
          <w:ilvl w:val="2"/>
          <w:numId w:val="28"/>
        </w:numPr>
        <w:adjustRightInd/>
        <w:spacing w:line="360" w:lineRule="auto"/>
        <w:ind w:left="567" w:hanging="567"/>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监狱企业视同小微企业，按上述第（一）、（二）条款享受评审中价格扣除。</w:t>
      </w:r>
    </w:p>
    <w:p w14:paraId="7859184E">
      <w:pPr>
        <w:numPr>
          <w:ilvl w:val="1"/>
          <w:numId w:val="27"/>
        </w:numPr>
        <w:adjustRightInd/>
        <w:spacing w:line="360" w:lineRule="auto"/>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残疾人福利性单位产品价格扣除</w:t>
      </w:r>
    </w:p>
    <w:p w14:paraId="2A172D0C">
      <w:pPr>
        <w:numPr>
          <w:ilvl w:val="2"/>
          <w:numId w:val="29"/>
        </w:numPr>
        <w:adjustRightInd/>
        <w:spacing w:line="360" w:lineRule="auto"/>
        <w:ind w:left="567" w:hanging="567"/>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残疾人福利性单位视同小微企业，按上述第（一）、（二）条款享受评审中价格扣除。</w:t>
      </w:r>
    </w:p>
    <w:p w14:paraId="5E75CB32">
      <w:pPr>
        <w:pStyle w:val="84"/>
        <w:adjustRightInd/>
        <w:snapToGrid w:val="0"/>
        <w:spacing w:line="360" w:lineRule="auto"/>
        <w:ind w:left="420" w:firstLine="0" w:firstLineChars="0"/>
        <w:jc w:val="left"/>
        <w:textAlignment w:val="auto"/>
        <w:rPr>
          <w:rFonts w:ascii="宋体" w:hAnsi="宋体"/>
          <w:b/>
          <w:bCs/>
          <w:kern w:val="2"/>
          <w:sz w:val="24"/>
          <w:szCs w:val="22"/>
        </w:rPr>
      </w:pPr>
    </w:p>
    <w:p w14:paraId="0EA644DD">
      <w:pPr>
        <w:pStyle w:val="84"/>
        <w:numPr>
          <w:ilvl w:val="0"/>
          <w:numId w:val="26"/>
        </w:numPr>
        <w:adjustRightInd/>
        <w:snapToGrid w:val="0"/>
        <w:spacing w:line="360" w:lineRule="auto"/>
        <w:ind w:firstLineChars="0"/>
        <w:jc w:val="center"/>
        <w:textAlignment w:val="auto"/>
        <w:rPr>
          <w:rFonts w:ascii="宋体" w:hAnsi="宋体"/>
          <w:b/>
          <w:bCs/>
          <w:kern w:val="2"/>
          <w:sz w:val="24"/>
          <w:szCs w:val="22"/>
        </w:rPr>
      </w:pPr>
      <w:r>
        <w:rPr>
          <w:rFonts w:hint="eastAsia" w:ascii="宋体" w:hAnsi="宋体"/>
          <w:b/>
          <w:bCs/>
          <w:kern w:val="2"/>
          <w:sz w:val="24"/>
          <w:szCs w:val="22"/>
        </w:rPr>
        <w:t>节能产品、环境标志产品价格扣除</w:t>
      </w:r>
    </w:p>
    <w:p w14:paraId="7C030ACA">
      <w:pPr>
        <w:numPr>
          <w:ilvl w:val="1"/>
          <w:numId w:val="30"/>
        </w:numPr>
        <w:adjustRightInd/>
        <w:snapToGrid w:val="0"/>
        <w:spacing w:line="360" w:lineRule="auto"/>
        <w:textAlignment w:val="auto"/>
        <w:rPr>
          <w:rFonts w:ascii="宋体" w:hAnsi="宋体"/>
          <w:sz w:val="24"/>
        </w:rPr>
      </w:pPr>
      <w:r>
        <w:rPr>
          <w:rFonts w:hint="eastAsia" w:ascii="宋体" w:hAnsi="宋体"/>
          <w:sz w:val="24"/>
        </w:rPr>
        <w:t>拟采购产品属于节能产品政府采购品目清单规定必须强制采购的，实行强制采购。</w:t>
      </w:r>
    </w:p>
    <w:p w14:paraId="50BB61D5">
      <w:pPr>
        <w:numPr>
          <w:ilvl w:val="1"/>
          <w:numId w:val="30"/>
        </w:numPr>
        <w:adjustRightInd/>
        <w:snapToGrid w:val="0"/>
        <w:spacing w:line="360" w:lineRule="auto"/>
        <w:textAlignment w:val="auto"/>
        <w:rPr>
          <w:rFonts w:ascii="宋体" w:hAnsi="宋体"/>
          <w:sz w:val="24"/>
        </w:rPr>
      </w:pPr>
      <w:r>
        <w:rPr>
          <w:rFonts w:hint="eastAsia" w:ascii="宋体" w:hAnsi="宋体"/>
          <w:sz w:val="24"/>
        </w:rPr>
        <w:t>本次采购产品在财政部、发展改革委、生态环境部等部门最新发布的《节能产品政府采购品目清单》或《</w:t>
      </w:r>
      <w:r>
        <w:rPr>
          <w:rFonts w:ascii="宋体" w:hAnsi="宋体"/>
          <w:sz w:val="24"/>
        </w:rPr>
        <w:t>环境标志产品</w:t>
      </w:r>
      <w:r>
        <w:rPr>
          <w:rFonts w:hint="eastAsia" w:ascii="宋体" w:hAnsi="宋体"/>
          <w:sz w:val="24"/>
        </w:rPr>
        <w:t>政府采购</w:t>
      </w:r>
      <w:r>
        <w:rPr>
          <w:rFonts w:ascii="宋体" w:hAnsi="宋体"/>
          <w:sz w:val="24"/>
        </w:rPr>
        <w:t>品目清单</w:t>
      </w:r>
      <w:r>
        <w:rPr>
          <w:rFonts w:hint="eastAsia" w:ascii="宋体" w:hAnsi="宋体"/>
          <w:sz w:val="24"/>
        </w:rPr>
        <w:t>》的清单范围内优先采购的节能产品、</w:t>
      </w:r>
      <w:r>
        <w:rPr>
          <w:rFonts w:ascii="宋体" w:hAnsi="宋体"/>
          <w:sz w:val="24"/>
        </w:rPr>
        <w:t>环境标志产品类别</w:t>
      </w:r>
      <w:r>
        <w:rPr>
          <w:rFonts w:hint="eastAsia" w:ascii="宋体" w:hAnsi="宋体"/>
          <w:sz w:val="24"/>
        </w:rPr>
        <w:t>，对于具有国家确定的认证机构出具的、处于有效期之内的节能产品或环境标志产品认证证书的，对节能产品或环境标志产品的价格分别给予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1</w:t>
      </w:r>
      <w:r>
        <w:rPr>
          <w:rFonts w:ascii="宋体" w:hAnsi="宋体"/>
          <w:sz w:val="24"/>
          <w:u w:val="single"/>
        </w:rPr>
        <w:t xml:space="preserve">   </w:t>
      </w:r>
      <w:r>
        <w:rPr>
          <w:rFonts w:ascii="宋体" w:hAnsi="宋体"/>
          <w:sz w:val="24"/>
        </w:rPr>
        <w:t>%</w:t>
      </w:r>
      <w:r>
        <w:rPr>
          <w:rFonts w:hint="eastAsia" w:ascii="宋体" w:hAnsi="宋体"/>
          <w:sz w:val="24"/>
        </w:rPr>
        <w:t>的价格扣除。</w:t>
      </w:r>
    </w:p>
    <w:p w14:paraId="1357B783">
      <w:pPr>
        <w:numPr>
          <w:ilvl w:val="1"/>
          <w:numId w:val="30"/>
        </w:numPr>
        <w:adjustRightInd/>
        <w:snapToGrid w:val="0"/>
        <w:spacing w:line="360" w:lineRule="auto"/>
        <w:textAlignment w:val="auto"/>
        <w:rPr>
          <w:rFonts w:ascii="宋体" w:hAnsi="宋体"/>
          <w:sz w:val="24"/>
        </w:rPr>
      </w:pPr>
      <w:r>
        <w:rPr>
          <w:rFonts w:hint="eastAsia" w:ascii="宋体" w:hAnsi="宋体"/>
          <w:sz w:val="24"/>
        </w:rPr>
        <w:t>属于品目清单范围内的节能或环境标志产品，应当提供国家确定的认证机构出具的、处于有效期之内的节能产品或环境标志产品认证证书复印件，并加盖投标人单位的公章。</w:t>
      </w:r>
    </w:p>
    <w:p w14:paraId="61275707">
      <w:pPr>
        <w:adjustRightInd/>
        <w:snapToGrid w:val="0"/>
        <w:spacing w:line="360" w:lineRule="auto"/>
        <w:textAlignment w:val="auto"/>
        <w:rPr>
          <w:rFonts w:ascii="宋体" w:hAnsi="宋体"/>
          <w:kern w:val="2"/>
          <w:sz w:val="24"/>
        </w:rPr>
      </w:pPr>
    </w:p>
    <w:p w14:paraId="42382320">
      <w:pPr>
        <w:widowControl/>
        <w:jc w:val="center"/>
        <w:outlineLvl w:val="4"/>
        <w:rPr>
          <w:rFonts w:ascii="黑体" w:hAnsi="宋体" w:eastAsia="黑体" w:cs="宋体"/>
          <w:sz w:val="28"/>
          <w:szCs w:val="28"/>
        </w:rPr>
      </w:pPr>
      <w:r>
        <w:rPr>
          <w:rFonts w:hint="eastAsia" w:ascii="黑体" w:hAnsi="宋体" w:eastAsia="黑体" w:cs="宋体"/>
          <w:sz w:val="28"/>
          <w:szCs w:val="28"/>
        </w:rPr>
        <w:t>第二部分 政策功能说明</w:t>
      </w:r>
    </w:p>
    <w:p w14:paraId="5B27204E">
      <w:pPr>
        <w:pStyle w:val="84"/>
        <w:numPr>
          <w:ilvl w:val="0"/>
          <w:numId w:val="31"/>
        </w:numPr>
        <w:adjustRightInd/>
        <w:snapToGrid w:val="0"/>
        <w:spacing w:line="360" w:lineRule="auto"/>
        <w:ind w:firstLineChars="0"/>
        <w:textAlignment w:val="auto"/>
        <w:rPr>
          <w:rFonts w:ascii="宋体" w:hAnsi="宋体"/>
          <w:b/>
          <w:bCs/>
          <w:kern w:val="2"/>
          <w:sz w:val="24"/>
        </w:rPr>
      </w:pPr>
      <w:r>
        <w:rPr>
          <w:rFonts w:hint="eastAsia" w:ascii="宋体" w:hAnsi="宋体"/>
          <w:b/>
          <w:bCs/>
          <w:kern w:val="2"/>
          <w:sz w:val="24"/>
        </w:rPr>
        <w:t>中小企业扶持政策</w:t>
      </w:r>
    </w:p>
    <w:p w14:paraId="1C2E060A">
      <w:pPr>
        <w:numPr>
          <w:ilvl w:val="1"/>
          <w:numId w:val="32"/>
        </w:numPr>
        <w:adjustRightInd/>
        <w:snapToGrid w:val="0"/>
        <w:spacing w:line="360" w:lineRule="auto"/>
        <w:textAlignment w:val="auto"/>
        <w:rPr>
          <w:rFonts w:ascii="宋体" w:hAnsi="宋体"/>
          <w:kern w:val="2"/>
          <w:sz w:val="24"/>
        </w:rPr>
      </w:pPr>
      <w:r>
        <w:rPr>
          <w:rFonts w:hint="eastAsia" w:ascii="宋体" w:hAnsi="宋体"/>
          <w:kern w:val="2"/>
          <w:sz w:val="24"/>
        </w:rPr>
        <w:t>在采购活动中，供应商提供的货物、工程或者服务符合下列情形的，享受</w:t>
      </w:r>
      <w:r>
        <w:rPr>
          <w:rFonts w:hint="eastAsia" w:ascii="宋体" w:hAnsi="宋体"/>
          <w:bCs/>
          <w:sz w:val="24"/>
        </w:rPr>
        <w:t>《政府采购促进中小企业发展管理办法》</w:t>
      </w:r>
      <w:r>
        <w:rPr>
          <w:rFonts w:hint="eastAsia" w:ascii="宋体" w:hAnsi="宋体"/>
          <w:kern w:val="2"/>
          <w:sz w:val="24"/>
        </w:rPr>
        <w:t>规定的中小企业扶持政策：</w:t>
      </w:r>
    </w:p>
    <w:p w14:paraId="60C237B6">
      <w:pPr>
        <w:numPr>
          <w:ilvl w:val="0"/>
          <w:numId w:val="33"/>
        </w:numPr>
        <w:adjustRightInd/>
        <w:snapToGrid w:val="0"/>
        <w:spacing w:line="360" w:lineRule="auto"/>
        <w:ind w:left="567"/>
        <w:textAlignment w:val="auto"/>
        <w:rPr>
          <w:rFonts w:ascii="宋体" w:hAnsi="宋体"/>
          <w:b/>
          <w:bCs/>
          <w:kern w:val="2"/>
          <w:sz w:val="24"/>
          <w:u w:val="double"/>
        </w:rPr>
      </w:pPr>
      <w:r>
        <w:rPr>
          <w:rFonts w:hint="eastAsia" w:ascii="宋体" w:hAnsi="宋体"/>
          <w:b/>
          <w:bCs/>
          <w:kern w:val="2"/>
          <w:sz w:val="24"/>
          <w:u w:val="double"/>
        </w:rPr>
        <w:t>在货物采购项目中，货物由中小企业制造，即货物由中小企业生产且使用该中小企业商号或者注册商标；</w:t>
      </w:r>
    </w:p>
    <w:p w14:paraId="0B666A5D">
      <w:pPr>
        <w:numPr>
          <w:ilvl w:val="0"/>
          <w:numId w:val="33"/>
        </w:numPr>
        <w:adjustRightInd/>
        <w:snapToGrid w:val="0"/>
        <w:spacing w:line="360" w:lineRule="auto"/>
        <w:ind w:left="567"/>
        <w:textAlignment w:val="auto"/>
        <w:rPr>
          <w:rFonts w:ascii="宋体" w:hAnsi="宋体"/>
          <w:kern w:val="2"/>
          <w:sz w:val="24"/>
        </w:rPr>
      </w:pPr>
      <w:r>
        <w:rPr>
          <w:rFonts w:hint="eastAsia" w:ascii="宋体" w:hAnsi="宋体"/>
          <w:kern w:val="2"/>
          <w:sz w:val="24"/>
        </w:rPr>
        <w:t>在工程采购项目中，工程由中小企业承建，即工程施工单位为中小企业；</w:t>
      </w:r>
    </w:p>
    <w:p w14:paraId="59C6BC79">
      <w:pPr>
        <w:numPr>
          <w:ilvl w:val="0"/>
          <w:numId w:val="33"/>
        </w:numPr>
        <w:adjustRightInd/>
        <w:snapToGrid w:val="0"/>
        <w:spacing w:line="360" w:lineRule="auto"/>
        <w:ind w:left="567"/>
        <w:textAlignment w:val="auto"/>
        <w:rPr>
          <w:rFonts w:ascii="宋体" w:hAnsi="宋体"/>
          <w:kern w:val="2"/>
          <w:sz w:val="24"/>
        </w:rPr>
      </w:pPr>
      <w:r>
        <w:rPr>
          <w:rFonts w:hint="eastAsia" w:ascii="宋体" w:hAnsi="宋体"/>
          <w:kern w:val="2"/>
          <w:sz w:val="24"/>
        </w:rPr>
        <w:t>在服务采购项目中，服务由中小企业承接，即提供服务的人员为中小企业依照《中华人民共和国劳动合同法》订立劳动合同的从业人员。</w:t>
      </w:r>
    </w:p>
    <w:p w14:paraId="6E025FEC">
      <w:pPr>
        <w:adjustRightInd/>
        <w:snapToGrid w:val="0"/>
        <w:spacing w:line="360" w:lineRule="auto"/>
        <w:ind w:firstLine="424" w:firstLineChars="177"/>
        <w:textAlignment w:val="auto"/>
        <w:rPr>
          <w:rFonts w:ascii="宋体" w:hAnsi="宋体"/>
          <w:kern w:val="2"/>
          <w:sz w:val="24"/>
        </w:rPr>
      </w:pPr>
      <w:r>
        <w:rPr>
          <w:rFonts w:hint="eastAsia" w:ascii="宋体" w:hAnsi="宋体"/>
          <w:kern w:val="2"/>
          <w:sz w:val="24"/>
        </w:rPr>
        <w:t>在货物采购项目中，供应商提供的货物既有中小企业制造货物，也有大型企业制造货物的，不享受本办法规定的中小企业扶持政策。</w:t>
      </w:r>
    </w:p>
    <w:p w14:paraId="59D8A71C">
      <w:pPr>
        <w:adjustRightInd/>
        <w:snapToGrid w:val="0"/>
        <w:spacing w:line="360" w:lineRule="auto"/>
        <w:ind w:firstLine="424" w:firstLineChars="177"/>
        <w:textAlignment w:val="auto"/>
        <w:rPr>
          <w:rFonts w:ascii="宋体" w:hAnsi="宋体"/>
          <w:bCs/>
          <w:sz w:val="24"/>
        </w:rPr>
      </w:pPr>
      <w:r>
        <w:rPr>
          <w:rFonts w:hint="eastAsia" w:ascii="宋体" w:hAnsi="宋体"/>
          <w:kern w:val="2"/>
          <w:sz w:val="24"/>
        </w:rPr>
        <w:t>以联合体形式参加采购活动，联合体各方均为中小企业的，联合体视同中小企业。其中，联合体各方均为小微企业的，联合体视同小微企业。</w:t>
      </w:r>
    </w:p>
    <w:p w14:paraId="3DF3E817">
      <w:pPr>
        <w:numPr>
          <w:ilvl w:val="1"/>
          <w:numId w:val="32"/>
        </w:numPr>
        <w:adjustRightInd/>
        <w:snapToGrid w:val="0"/>
        <w:spacing w:line="360" w:lineRule="auto"/>
        <w:textAlignment w:val="auto"/>
        <w:rPr>
          <w:rFonts w:ascii="宋体" w:hAnsi="宋体"/>
          <w:b/>
          <w:bCs/>
          <w:kern w:val="2"/>
          <w:sz w:val="24"/>
        </w:rPr>
      </w:pPr>
      <w:r>
        <w:rPr>
          <w:rFonts w:hint="eastAsia" w:ascii="宋体" w:hAnsi="宋体"/>
          <w:kern w:val="2"/>
          <w:sz w:val="24"/>
        </w:rPr>
        <w:t>参加</w:t>
      </w:r>
      <w:r>
        <w:rPr>
          <w:rFonts w:hint="eastAsia" w:ascii="宋体" w:hAnsi="宋体"/>
          <w:bCs/>
          <w:sz w:val="24"/>
        </w:rPr>
        <w:t>采购活动的中小企业应当提供《中小企业声明函》（格式见第六章投标文件格式）</w:t>
      </w:r>
      <w:r>
        <w:rPr>
          <w:rFonts w:hint="eastAsia" w:ascii="宋体" w:hAnsi="宋体"/>
          <w:sz w:val="24"/>
        </w:rPr>
        <w:t>。</w:t>
      </w:r>
    </w:p>
    <w:p w14:paraId="68BB0A59">
      <w:pPr>
        <w:numPr>
          <w:ilvl w:val="1"/>
          <w:numId w:val="32"/>
        </w:numPr>
        <w:adjustRightInd/>
        <w:snapToGrid w:val="0"/>
        <w:spacing w:line="360" w:lineRule="auto"/>
        <w:textAlignment w:val="auto"/>
        <w:rPr>
          <w:rFonts w:ascii="宋体" w:hAnsi="宋体"/>
          <w:kern w:val="2"/>
          <w:sz w:val="24"/>
        </w:rPr>
      </w:pPr>
      <w:r>
        <w:rPr>
          <w:rFonts w:hint="eastAsia" w:ascii="宋体" w:hAnsi="宋体"/>
          <w:kern w:val="2"/>
          <w:sz w:val="24"/>
        </w:rPr>
        <w:t>享受扶持政策获得采购合同的，小微企业不得将合同分包给大中型企业，中型企业不得将合同分包给大型企业；</w:t>
      </w:r>
    </w:p>
    <w:p w14:paraId="70EAC2DF">
      <w:pPr>
        <w:numPr>
          <w:ilvl w:val="1"/>
          <w:numId w:val="32"/>
        </w:numPr>
        <w:adjustRightInd/>
        <w:snapToGrid w:val="0"/>
        <w:spacing w:line="360" w:lineRule="auto"/>
        <w:textAlignment w:val="auto"/>
        <w:rPr>
          <w:rFonts w:ascii="宋体" w:hAnsi="宋体"/>
          <w:sz w:val="24"/>
        </w:rPr>
      </w:pPr>
      <w:r>
        <w:rPr>
          <w:rFonts w:hint="eastAsia" w:ascii="宋体" w:hAnsi="宋体"/>
          <w:sz w:val="24"/>
        </w:rPr>
        <w:t>监狱企业</w:t>
      </w:r>
    </w:p>
    <w:p w14:paraId="1F9DF655">
      <w:pPr>
        <w:numPr>
          <w:ilvl w:val="2"/>
          <w:numId w:val="32"/>
        </w:numPr>
        <w:adjustRightInd/>
        <w:snapToGrid w:val="0"/>
        <w:spacing w:line="360" w:lineRule="auto"/>
        <w:ind w:left="567" w:hanging="567"/>
        <w:textAlignment w:val="auto"/>
        <w:rPr>
          <w:rFonts w:ascii="宋体" w:hAnsi="宋体"/>
          <w:sz w:val="24"/>
        </w:rPr>
      </w:pPr>
      <w:r>
        <w:rPr>
          <w:rFonts w:hint="eastAsia" w:ascii="宋体" w:hAnsi="宋体"/>
          <w:sz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FAD6D4">
      <w:pPr>
        <w:numPr>
          <w:ilvl w:val="2"/>
          <w:numId w:val="32"/>
        </w:numPr>
        <w:adjustRightInd/>
        <w:snapToGrid w:val="0"/>
        <w:spacing w:line="360" w:lineRule="auto"/>
        <w:ind w:left="567" w:hanging="567"/>
        <w:textAlignment w:val="auto"/>
        <w:rPr>
          <w:rFonts w:ascii="宋体" w:hAnsi="宋体"/>
          <w:b/>
          <w:bCs/>
          <w:kern w:val="2"/>
          <w:sz w:val="24"/>
        </w:rPr>
      </w:pPr>
      <w:r>
        <w:rPr>
          <w:rFonts w:hint="eastAsia" w:ascii="宋体" w:hAnsi="宋体"/>
          <w:sz w:val="24"/>
        </w:rPr>
        <w:t>监狱企业参加采购活动时，应当提供由省级以上监狱管理局、戒毒管理局（含新疆生产建设兵团）出具的属于监狱企业的证明文件，</w:t>
      </w:r>
      <w:r>
        <w:rPr>
          <w:rFonts w:hint="eastAsia" w:ascii="宋体" w:hAnsi="宋体" w:cs="宋体"/>
          <w:sz w:val="24"/>
        </w:rPr>
        <w:t>否则不予认可</w:t>
      </w:r>
      <w:r>
        <w:rPr>
          <w:rFonts w:hint="eastAsia" w:ascii="宋体" w:hAnsi="宋体"/>
          <w:sz w:val="24"/>
        </w:rPr>
        <w:t>。</w:t>
      </w:r>
    </w:p>
    <w:p w14:paraId="5A255C5D">
      <w:pPr>
        <w:numPr>
          <w:ilvl w:val="2"/>
          <w:numId w:val="32"/>
        </w:numPr>
        <w:adjustRightInd/>
        <w:snapToGrid w:val="0"/>
        <w:spacing w:line="360" w:lineRule="auto"/>
        <w:ind w:left="567" w:hanging="567"/>
        <w:textAlignment w:val="auto"/>
        <w:rPr>
          <w:rFonts w:ascii="宋体" w:hAnsi="宋体"/>
          <w:kern w:val="2"/>
          <w:sz w:val="24"/>
        </w:rPr>
      </w:pPr>
      <w:r>
        <w:rPr>
          <w:rFonts w:hint="eastAsia" w:ascii="宋体" w:hAnsi="宋体"/>
          <w:kern w:val="2"/>
          <w:sz w:val="24"/>
        </w:rPr>
        <w:t>在采购活动中，监狱企业视同小型、微型企业，享受预留份额、评审中价格扣除等政府采购促进中小企业发展的政府采购政策。</w:t>
      </w:r>
    </w:p>
    <w:p w14:paraId="7625EC00">
      <w:pPr>
        <w:numPr>
          <w:ilvl w:val="1"/>
          <w:numId w:val="32"/>
        </w:numPr>
        <w:adjustRightInd/>
        <w:snapToGrid w:val="0"/>
        <w:spacing w:line="360" w:lineRule="auto"/>
        <w:textAlignment w:val="auto"/>
        <w:rPr>
          <w:rFonts w:ascii="宋体" w:hAnsi="宋体"/>
          <w:kern w:val="2"/>
          <w:sz w:val="24"/>
        </w:rPr>
      </w:pPr>
      <w:r>
        <w:rPr>
          <w:rFonts w:hint="eastAsia" w:ascii="宋体" w:hAnsi="宋体"/>
          <w:sz w:val="24"/>
        </w:rPr>
        <w:t>残疾人福利性单位</w:t>
      </w:r>
    </w:p>
    <w:p w14:paraId="4AD6ECFE">
      <w:pPr>
        <w:numPr>
          <w:ilvl w:val="2"/>
          <w:numId w:val="32"/>
        </w:numPr>
        <w:adjustRightInd/>
        <w:snapToGrid w:val="0"/>
        <w:spacing w:line="360" w:lineRule="auto"/>
        <w:ind w:left="567" w:hanging="567"/>
        <w:textAlignment w:val="auto"/>
        <w:rPr>
          <w:rFonts w:ascii="宋体" w:hAnsi="宋体"/>
          <w:sz w:val="24"/>
        </w:rPr>
      </w:pPr>
      <w:r>
        <w:rPr>
          <w:rFonts w:hint="eastAsia" w:ascii="宋体" w:hAnsi="宋体"/>
          <w:bCs/>
          <w:sz w:val="24"/>
        </w:rPr>
        <w:t>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w:t>
      </w:r>
      <w:r>
        <w:rPr>
          <w:rFonts w:hint="eastAsia" w:ascii="宋体" w:hAnsi="宋体"/>
          <w:sz w:val="24"/>
        </w:rPr>
        <w:t>声明的真实性负责。一旦中标将在中标公告中公告其声明函，接受社会监督。投标人提供的《残疾人福利性单位声明函》与事实不符的，依照《</w:t>
      </w:r>
      <w:r>
        <w:rPr>
          <w:rFonts w:hint="eastAsia" w:ascii="宋体" w:hAnsi="宋体"/>
          <w:bCs/>
          <w:sz w:val="24"/>
        </w:rPr>
        <w:t>中华人民共和国政府采购法</w:t>
      </w:r>
      <w:r>
        <w:rPr>
          <w:rFonts w:hint="eastAsia" w:ascii="宋体" w:hAnsi="宋体"/>
          <w:sz w:val="24"/>
        </w:rPr>
        <w:t>》第七十七条第一款的规定追究法律责任。</w:t>
      </w:r>
    </w:p>
    <w:p w14:paraId="388D167D">
      <w:pPr>
        <w:numPr>
          <w:ilvl w:val="2"/>
          <w:numId w:val="32"/>
        </w:numPr>
        <w:adjustRightInd/>
        <w:snapToGrid w:val="0"/>
        <w:spacing w:line="360" w:lineRule="auto"/>
        <w:ind w:left="567" w:hanging="567"/>
        <w:textAlignment w:val="auto"/>
        <w:rPr>
          <w:rFonts w:ascii="宋体" w:hAnsi="宋体"/>
          <w:bCs/>
          <w:sz w:val="24"/>
        </w:rPr>
      </w:pPr>
      <w:r>
        <w:rPr>
          <w:rFonts w:hint="eastAsia" w:ascii="宋体" w:hAnsi="宋体"/>
          <w:bCs/>
          <w:sz w:val="24"/>
        </w:rPr>
        <w:t>在采购活动中，残疾人福利性单位视同小型、微型企业，享受预留份额、评审中价格扣除等促进中小企业发展的政府采购政策。</w:t>
      </w:r>
    </w:p>
    <w:p w14:paraId="4D718EE5">
      <w:pPr>
        <w:pStyle w:val="84"/>
        <w:widowControl/>
        <w:ind w:left="425" w:firstLine="0" w:firstLineChars="0"/>
        <w:jc w:val="center"/>
        <w:rPr>
          <w:rFonts w:ascii="黑体" w:hAnsi="宋体" w:eastAsia="黑体" w:cs="宋体"/>
          <w:sz w:val="28"/>
          <w:szCs w:val="28"/>
        </w:rPr>
      </w:pPr>
    </w:p>
    <w:p w14:paraId="4BFEEA31">
      <w:pPr>
        <w:pStyle w:val="84"/>
        <w:numPr>
          <w:ilvl w:val="0"/>
          <w:numId w:val="31"/>
        </w:numPr>
        <w:adjustRightInd/>
        <w:snapToGrid w:val="0"/>
        <w:spacing w:line="360" w:lineRule="auto"/>
        <w:ind w:firstLineChars="0"/>
        <w:textAlignment w:val="auto"/>
        <w:rPr>
          <w:rFonts w:ascii="宋体" w:hAnsi="宋体"/>
          <w:b/>
          <w:bCs/>
          <w:kern w:val="2"/>
          <w:sz w:val="24"/>
        </w:rPr>
      </w:pPr>
      <w:r>
        <w:rPr>
          <w:rFonts w:hint="eastAsia" w:ascii="宋体" w:hAnsi="宋体"/>
          <w:b/>
          <w:bCs/>
          <w:kern w:val="2"/>
          <w:sz w:val="24"/>
        </w:rPr>
        <w:t>商品包装和快递包装</w:t>
      </w:r>
    </w:p>
    <w:p w14:paraId="75AF3F58">
      <w:pPr>
        <w:adjustRightInd/>
        <w:snapToGrid w:val="0"/>
        <w:spacing w:line="360" w:lineRule="auto"/>
        <w:textAlignment w:val="auto"/>
        <w:rPr>
          <w:rFonts w:asciiTheme="minorEastAsia" w:hAnsiTheme="minorEastAsia" w:eastAsiaTheme="minorEastAsia" w:cstheme="minorBidi"/>
          <w:kern w:val="2"/>
          <w:sz w:val="24"/>
        </w:rPr>
      </w:pPr>
      <w:r>
        <w:rPr>
          <w:rFonts w:hint="eastAsia" w:asciiTheme="minorEastAsia" w:hAnsiTheme="minorEastAsia" w:eastAsiaTheme="minorEastAsia" w:cstheme="minorBidi"/>
          <w:kern w:val="2"/>
          <w:sz w:val="24"/>
        </w:rPr>
        <w:t>本项目如涉及商品包装、快递包装，应当满足以下要求：</w:t>
      </w:r>
    </w:p>
    <w:p w14:paraId="65DD2335">
      <w:pPr>
        <w:numPr>
          <w:ilvl w:val="0"/>
          <w:numId w:val="34"/>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商品包装环保要求</w:t>
      </w:r>
    </w:p>
    <w:p w14:paraId="578078A1">
      <w:pPr>
        <w:numPr>
          <w:ilvl w:val="1"/>
          <w:numId w:val="35"/>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商品包装层数不得超过3层，空隙率不大于40%；</w:t>
      </w:r>
    </w:p>
    <w:p w14:paraId="35A4C0F4">
      <w:pPr>
        <w:numPr>
          <w:ilvl w:val="1"/>
          <w:numId w:val="35"/>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商品包装尽可能使用单一材质的包装材料，如因功能需求必需使用不同材质，不同材质间应便于分离；</w:t>
      </w:r>
    </w:p>
    <w:p w14:paraId="6A079E0E">
      <w:pPr>
        <w:numPr>
          <w:ilvl w:val="1"/>
          <w:numId w:val="35"/>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商品包装中铅、汞、镉、六价铬的总含量应不大于100mg/kg；</w:t>
      </w:r>
      <w:r>
        <w:rPr>
          <w:rFonts w:hint="eastAsia" w:asciiTheme="minorEastAsia" w:hAnsiTheme="minorEastAsia" w:eastAsiaTheme="minorEastAsia" w:cstheme="minorBidi"/>
          <w:kern w:val="2"/>
          <w:sz w:val="24"/>
        </w:rPr>
        <w:t>（必要时，采购人可要求履约验收时提供第三方检测机构出具的检测报告复印件）</w:t>
      </w:r>
    </w:p>
    <w:p w14:paraId="6B0E2731">
      <w:pPr>
        <w:numPr>
          <w:ilvl w:val="1"/>
          <w:numId w:val="35"/>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商品包装印刷使用的油墨中挥发性有机化合物(VOCs)含量应不大于5%（以重量计）；</w:t>
      </w:r>
      <w:r>
        <w:rPr>
          <w:rFonts w:hint="eastAsia" w:asciiTheme="minorEastAsia" w:hAnsiTheme="minorEastAsia" w:eastAsiaTheme="minorEastAsia" w:cstheme="minorBidi"/>
          <w:kern w:val="2"/>
          <w:sz w:val="24"/>
        </w:rPr>
        <w:t>（必要时，采购人可要求履约验收时提供第三方检测机构出具的检测报告复印件）</w:t>
      </w:r>
    </w:p>
    <w:p w14:paraId="1CC41A7C">
      <w:pPr>
        <w:numPr>
          <w:ilvl w:val="1"/>
          <w:numId w:val="35"/>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塑料材质商品包装上呈现的印刷颜色不得超过6色；</w:t>
      </w:r>
    </w:p>
    <w:p w14:paraId="4477C8FC">
      <w:pPr>
        <w:numPr>
          <w:ilvl w:val="1"/>
          <w:numId w:val="35"/>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纸质商品包装应使用75%以上的可再生纤维原料生产；</w:t>
      </w:r>
    </w:p>
    <w:p w14:paraId="5A4B7825">
      <w:pPr>
        <w:numPr>
          <w:ilvl w:val="1"/>
          <w:numId w:val="35"/>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木质商品包装的原料应来源于可持续性森林。</w:t>
      </w:r>
    </w:p>
    <w:p w14:paraId="699DB6A5">
      <w:pPr>
        <w:numPr>
          <w:ilvl w:val="0"/>
          <w:numId w:val="34"/>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商品包装检测方法</w:t>
      </w:r>
    </w:p>
    <w:p w14:paraId="3DEFAC38">
      <w:pPr>
        <w:numPr>
          <w:ilvl w:val="1"/>
          <w:numId w:val="36"/>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商品包装中重金属（铅、汞、镉、六价铬）总量的检测按照GB/T10004-2008《包装用塑料复合膜、袋干法复合、挤出复合》规定的方法进行。</w:t>
      </w:r>
    </w:p>
    <w:p w14:paraId="37E26C58">
      <w:pPr>
        <w:numPr>
          <w:ilvl w:val="1"/>
          <w:numId w:val="36"/>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商品包装印刷使用的油墨中挥发性有机化合物(VOCs)的检测按照GB/T23986-2009《色漆和清漆挥发性有机化合物(VOC)含量的测定气相色谱法》规定的方法进行。</w:t>
      </w:r>
    </w:p>
    <w:p w14:paraId="7039EF48">
      <w:pPr>
        <w:numPr>
          <w:ilvl w:val="0"/>
          <w:numId w:val="34"/>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快递包装环保要求</w:t>
      </w:r>
    </w:p>
    <w:p w14:paraId="18B16D9A">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快递包装中重金属（铅、汞、镉、六价铬）总量应不大于100mg/kg；</w:t>
      </w:r>
      <w:r>
        <w:rPr>
          <w:rFonts w:hint="eastAsia" w:asciiTheme="minorEastAsia" w:hAnsiTheme="minorEastAsia" w:eastAsiaTheme="minorEastAsia" w:cstheme="minorBidi"/>
          <w:kern w:val="2"/>
          <w:sz w:val="24"/>
        </w:rPr>
        <w:t>（必要时，采购人可要求履约验收时提供第三方检测机构出具的检测报告复印件）</w:t>
      </w:r>
    </w:p>
    <w:p w14:paraId="0F40F3B1">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快递包装印刷使用的油墨中不应添加邻苯二甲酸酯，其挥发性有机化合物(VOCs)含量应不大于5%（以重量计）；</w:t>
      </w:r>
      <w:r>
        <w:rPr>
          <w:rFonts w:hint="eastAsia" w:asciiTheme="minorEastAsia" w:hAnsiTheme="minorEastAsia" w:eastAsiaTheme="minorEastAsia" w:cstheme="minorBidi"/>
          <w:kern w:val="2"/>
          <w:sz w:val="24"/>
        </w:rPr>
        <w:t>（必要时，采购人可要求履约验收时提供第三方检测机构出具的检测报告复印件）</w:t>
      </w:r>
    </w:p>
    <w:p w14:paraId="40CBEC51">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快递包装中使用纸基材的包装材料，纸基材中的有机氯的含量应不大于150mg/kg；</w:t>
      </w:r>
      <w:r>
        <w:rPr>
          <w:rFonts w:hint="eastAsia" w:asciiTheme="minorEastAsia" w:hAnsiTheme="minorEastAsia" w:eastAsiaTheme="minorEastAsia" w:cstheme="minorBidi"/>
          <w:kern w:val="2"/>
          <w:sz w:val="24"/>
        </w:rPr>
        <w:t>（必要时，采购人可要求履约验收时提供第三方检测机构出具的检测报告复印件）</w:t>
      </w:r>
    </w:p>
    <w:p w14:paraId="613C5AC7">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快递包装中使用塑料基材的包装材料不得使用邻苯二甲酸二异壬酯、邻苯二甲酸二正辛酯、邻苯二甲酸二(2-乙基)己酯、邻苯二甲酸二异癸酯、邻苯二甲酸丁基苄基酯、邻苯二甲酸二丁酯等作为增塑剂；</w:t>
      </w:r>
    </w:p>
    <w:p w14:paraId="6E262D75">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快递中使用的塑料包装袋不得使用聚氯乙烯作为原料，且原料应为单一材质制成，生物分解率大于60%；</w:t>
      </w:r>
      <w:r>
        <w:rPr>
          <w:rFonts w:hint="eastAsia" w:asciiTheme="minorEastAsia" w:hAnsiTheme="minorEastAsia" w:eastAsiaTheme="minorEastAsia" w:cstheme="minorBidi"/>
          <w:kern w:val="2"/>
          <w:sz w:val="24"/>
        </w:rPr>
        <w:t>（必要时，采购人可要求履约验收时提供第三方检测机构出具的检测报告复印件）</w:t>
      </w:r>
    </w:p>
    <w:p w14:paraId="4D66A1F8">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快递中使用的充气类填充物不得使用聚氯乙烯作为原料，且原料为单一材质制成，生物分解率大于60%；</w:t>
      </w:r>
    </w:p>
    <w:p w14:paraId="4542F184">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快递中使用的集装袋应为单一材质制成，其重复使用次数应不小于80次；</w:t>
      </w:r>
    </w:p>
    <w:p w14:paraId="0CD70968">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快递中应使用幅宽不大于45mm的生物降解胶带；</w:t>
      </w:r>
      <w:r>
        <w:rPr>
          <w:rFonts w:hint="eastAsia" w:asciiTheme="minorEastAsia" w:hAnsiTheme="minorEastAsia" w:eastAsiaTheme="minorEastAsia" w:cstheme="minorBidi"/>
          <w:kern w:val="2"/>
          <w:sz w:val="24"/>
        </w:rPr>
        <w:t>（必要时，采购人可要求履约验收时提供第三方检测机构出具的检测报告复印件）</w:t>
      </w:r>
    </w:p>
    <w:p w14:paraId="12A18E2C">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快递包装中不得使用溶剂型胶粘剂；</w:t>
      </w:r>
    </w:p>
    <w:p w14:paraId="32DA9CDE">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快递应使用电子面单；</w:t>
      </w:r>
    </w:p>
    <w:p w14:paraId="06567943">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直接使用商品包装作为快递包装的商品，其商品包装满足《商品包装政府采购需求标准（试行）》即可；</w:t>
      </w:r>
    </w:p>
    <w:p w14:paraId="5B48B7FC">
      <w:pPr>
        <w:numPr>
          <w:ilvl w:val="1"/>
          <w:numId w:val="37"/>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快递包装产品质量和封装方式应符合相关国家或行业标准技术指标要求。</w:t>
      </w:r>
    </w:p>
    <w:p w14:paraId="216F5052">
      <w:pPr>
        <w:numPr>
          <w:ilvl w:val="0"/>
          <w:numId w:val="34"/>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 xml:space="preserve">快递包装检测方法 </w:t>
      </w:r>
    </w:p>
    <w:p w14:paraId="5D8FABBE">
      <w:pPr>
        <w:numPr>
          <w:ilvl w:val="1"/>
          <w:numId w:val="38"/>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快递包装中重金属（铅、汞、镉、六价铬）总量的检测按照GB/T10004-2008《包装用塑料复合膜、袋干法复合、挤出复合》规定的方法进行。</w:t>
      </w:r>
    </w:p>
    <w:p w14:paraId="4A33E96F">
      <w:pPr>
        <w:numPr>
          <w:ilvl w:val="1"/>
          <w:numId w:val="38"/>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快递包装印刷使用的油墨中挥发性有机化合物(VOCs)的检测按照GB/T23986-2009《色漆和清漆挥发性有机化合物(VOC)含量的测定气相色谱法》规定的方法进行。</w:t>
      </w:r>
    </w:p>
    <w:p w14:paraId="17864BFF">
      <w:pPr>
        <w:numPr>
          <w:ilvl w:val="1"/>
          <w:numId w:val="38"/>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快递包装所使用的塑料包装的生物降解率的检测按照GB/T20197-2006《降解塑料的定义、分类、标识和降解性能要求》规定的方法进行。</w:t>
      </w:r>
    </w:p>
    <w:p w14:paraId="53B2EE34">
      <w:pPr>
        <w:numPr>
          <w:ilvl w:val="1"/>
          <w:numId w:val="38"/>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快递包装使用纸基材的包装材料中有机氯的检测按照GB/T22904-2008《纸浆、纸和纸板总氯和有机氯的检定》规定的方法进行。</w:t>
      </w:r>
    </w:p>
    <w:p w14:paraId="57C8C0E6">
      <w:pPr>
        <w:numPr>
          <w:ilvl w:val="1"/>
          <w:numId w:val="38"/>
        </w:numPr>
        <w:adjustRightInd/>
        <w:snapToGrid w:val="0"/>
        <w:spacing w:line="360" w:lineRule="auto"/>
        <w:textAlignment w:val="auto"/>
        <w:rPr>
          <w:rFonts w:asciiTheme="minorEastAsia" w:hAnsiTheme="minorEastAsia" w:eastAsiaTheme="minorEastAsia" w:cstheme="minorBidi"/>
          <w:kern w:val="2"/>
          <w:sz w:val="24"/>
        </w:rPr>
      </w:pPr>
      <w:r>
        <w:rPr>
          <w:rFonts w:asciiTheme="minorEastAsia" w:hAnsiTheme="minorEastAsia" w:eastAsiaTheme="minorEastAsia" w:cstheme="minorBidi"/>
          <w:kern w:val="2"/>
          <w:sz w:val="24"/>
        </w:rPr>
        <w:t>快递包装中使用的生物降解胶带的生物降解率的检测按照GB/T19277.1《受控堆肥条件下材料最终需氧生物分解能力的测定采用测定释放的二氧化碳的方法 第1部分：通用方法》规定的方法进行。</w:t>
      </w:r>
    </w:p>
    <w:p w14:paraId="6C793BC5">
      <w:pPr>
        <w:widowControl/>
        <w:jc w:val="left"/>
        <w:rPr>
          <w:b/>
          <w:bCs/>
          <w:sz w:val="28"/>
          <w:szCs w:val="28"/>
        </w:rPr>
      </w:pPr>
      <w:r>
        <w:rPr>
          <w:rFonts w:hint="eastAsia" w:asciiTheme="minorEastAsia" w:hAnsiTheme="minorEastAsia" w:eastAsiaTheme="minorEastAsia" w:cstheme="minorBidi"/>
          <w:kern w:val="2"/>
          <w:sz w:val="24"/>
        </w:rPr>
        <w:t>（五）项目验收时，采购人将根据上述要求对商品包装和快递包装组织验收工作。</w:t>
      </w:r>
    </w:p>
    <w:p w14:paraId="29E0DE52">
      <w:pPr>
        <w:widowControl/>
        <w:jc w:val="left"/>
        <w:rPr>
          <w:b/>
          <w:bCs/>
          <w:sz w:val="28"/>
          <w:szCs w:val="28"/>
        </w:rPr>
      </w:pPr>
    </w:p>
    <w:p w14:paraId="2209DAD1">
      <w:pPr>
        <w:widowControl/>
        <w:jc w:val="left"/>
        <w:rPr>
          <w:b/>
          <w:bCs/>
          <w:sz w:val="28"/>
          <w:szCs w:val="28"/>
        </w:rPr>
      </w:pPr>
      <w:r>
        <w:rPr>
          <w:b/>
          <w:bCs/>
          <w:sz w:val="28"/>
          <w:szCs w:val="28"/>
        </w:rPr>
        <w:br w:type="page"/>
      </w:r>
    </w:p>
    <w:p w14:paraId="7663D3AB">
      <w:pPr>
        <w:snapToGrid w:val="0"/>
        <w:spacing w:before="156" w:beforeLines="50" w:after="156" w:afterLines="50" w:line="360" w:lineRule="auto"/>
        <w:jc w:val="center"/>
        <w:outlineLvl w:val="0"/>
        <w:rPr>
          <w:b/>
          <w:bCs/>
          <w:sz w:val="28"/>
          <w:szCs w:val="28"/>
        </w:rPr>
      </w:pPr>
      <w:bookmarkStart w:id="43" w:name="_Toc4775"/>
      <w:r>
        <w:rPr>
          <w:b/>
          <w:bCs/>
          <w:sz w:val="28"/>
          <w:szCs w:val="28"/>
        </w:rPr>
        <w:t>第</w:t>
      </w:r>
      <w:r>
        <w:rPr>
          <w:rFonts w:hint="eastAsia"/>
          <w:b/>
          <w:bCs/>
          <w:sz w:val="28"/>
          <w:szCs w:val="28"/>
        </w:rPr>
        <w:t>四</w:t>
      </w:r>
      <w:r>
        <w:rPr>
          <w:b/>
          <w:bCs/>
          <w:sz w:val="28"/>
          <w:szCs w:val="28"/>
        </w:rPr>
        <w:t>章</w:t>
      </w:r>
      <w:r>
        <w:rPr>
          <w:rFonts w:hint="eastAsia"/>
          <w:b/>
          <w:bCs/>
          <w:sz w:val="28"/>
          <w:szCs w:val="28"/>
        </w:rPr>
        <w:t xml:space="preserve"> </w:t>
      </w:r>
      <w:r>
        <w:rPr>
          <w:b/>
          <w:bCs/>
          <w:sz w:val="28"/>
          <w:szCs w:val="28"/>
        </w:rPr>
        <w:t>投标人须知</w:t>
      </w:r>
      <w:bookmarkEnd w:id="35"/>
      <w:bookmarkEnd w:id="43"/>
    </w:p>
    <w:p w14:paraId="1EA491C3">
      <w:pPr>
        <w:snapToGrid w:val="0"/>
        <w:spacing w:before="156" w:beforeLines="50" w:after="156" w:afterLines="50" w:line="360" w:lineRule="auto"/>
        <w:ind w:left="420"/>
        <w:jc w:val="center"/>
        <w:outlineLvl w:val="1"/>
        <w:rPr>
          <w:b/>
          <w:bCs/>
          <w:sz w:val="28"/>
          <w:szCs w:val="28"/>
        </w:rPr>
      </w:pPr>
      <w:bookmarkStart w:id="44" w:name="_Toc11970"/>
      <w:r>
        <w:rPr>
          <w:rFonts w:hint="eastAsia"/>
          <w:b/>
          <w:bCs/>
          <w:sz w:val="28"/>
          <w:szCs w:val="28"/>
        </w:rPr>
        <w:t>第一部分 投标人须知前附表</w:t>
      </w:r>
      <w:bookmarkEnd w:id="44"/>
    </w:p>
    <w:p w14:paraId="494D3980">
      <w:pPr>
        <w:spacing w:line="360" w:lineRule="auto"/>
        <w:ind w:right="-1" w:firstLine="480" w:firstLineChars="200"/>
        <w:rPr>
          <w:rFonts w:asciiTheme="minorEastAsia" w:hAnsiTheme="minorEastAsia" w:eastAsiaTheme="minorEastAsia"/>
          <w:sz w:val="24"/>
        </w:rPr>
      </w:pPr>
      <w:r>
        <w:rPr>
          <w:rFonts w:hint="eastAsia" w:asciiTheme="minorEastAsia" w:hAnsiTheme="minorEastAsia" w:eastAsiaTheme="minorEastAsia"/>
          <w:sz w:val="24"/>
        </w:rPr>
        <w:t>说明：本投标人须知前附表的条款项号与《投标人须知通用条款》的条款项号一一对应，是对《投标人须知通用条款》补充、修改和完善，如果有矛盾之处，应以本投标人须知前附表为准。</w:t>
      </w:r>
    </w:p>
    <w:tbl>
      <w:tblPr>
        <w:tblStyle w:val="38"/>
        <w:tblW w:w="102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939"/>
        <w:gridCol w:w="1418"/>
        <w:gridCol w:w="6548"/>
      </w:tblGrid>
      <w:tr w14:paraId="3FA3A4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2253" w:type="dxa"/>
            <w:gridSpan w:val="2"/>
            <w:vAlign w:val="center"/>
          </w:tcPr>
          <w:p w14:paraId="2100776A">
            <w:pPr>
              <w:jc w:val="center"/>
              <w:rPr>
                <w:rFonts w:asciiTheme="minorEastAsia" w:hAnsiTheme="minorEastAsia" w:eastAsiaTheme="minorEastAsia"/>
                <w:b/>
                <w:sz w:val="24"/>
              </w:rPr>
            </w:pPr>
            <w:r>
              <w:rPr>
                <w:rFonts w:asciiTheme="minorEastAsia" w:hAnsiTheme="minorEastAsia" w:eastAsiaTheme="minorEastAsia"/>
                <w:b/>
                <w:sz w:val="24"/>
              </w:rPr>
              <w:t>条款</w:t>
            </w:r>
            <w:r>
              <w:rPr>
                <w:rFonts w:hint="eastAsia" w:asciiTheme="minorEastAsia" w:hAnsiTheme="minorEastAsia" w:eastAsiaTheme="minorEastAsia"/>
                <w:b/>
                <w:sz w:val="24"/>
              </w:rPr>
              <w:t>项</w:t>
            </w:r>
            <w:r>
              <w:rPr>
                <w:rFonts w:asciiTheme="minorEastAsia" w:hAnsiTheme="minorEastAsia" w:eastAsiaTheme="minorEastAsia"/>
                <w:b/>
                <w:sz w:val="24"/>
              </w:rPr>
              <w:t>号</w:t>
            </w:r>
          </w:p>
        </w:tc>
        <w:tc>
          <w:tcPr>
            <w:tcW w:w="1418" w:type="dxa"/>
            <w:vAlign w:val="center"/>
          </w:tcPr>
          <w:p w14:paraId="0E04ABD4">
            <w:pPr>
              <w:jc w:val="center"/>
              <w:rPr>
                <w:rFonts w:asciiTheme="minorEastAsia" w:hAnsiTheme="minorEastAsia" w:eastAsiaTheme="minorEastAsia"/>
                <w:b/>
                <w:sz w:val="24"/>
              </w:rPr>
            </w:pPr>
            <w:r>
              <w:rPr>
                <w:rFonts w:hint="eastAsia" w:asciiTheme="minorEastAsia" w:hAnsiTheme="minorEastAsia" w:eastAsiaTheme="minorEastAsia"/>
                <w:b/>
                <w:sz w:val="24"/>
              </w:rPr>
              <w:t>内容</w:t>
            </w:r>
          </w:p>
        </w:tc>
        <w:tc>
          <w:tcPr>
            <w:tcW w:w="6548" w:type="dxa"/>
            <w:vAlign w:val="center"/>
          </w:tcPr>
          <w:p w14:paraId="3EE7EB0D">
            <w:pPr>
              <w:jc w:val="center"/>
              <w:rPr>
                <w:rFonts w:asciiTheme="minorEastAsia" w:hAnsiTheme="minorEastAsia" w:eastAsiaTheme="minorEastAsia"/>
                <w:b/>
                <w:sz w:val="24"/>
              </w:rPr>
            </w:pPr>
            <w:r>
              <w:rPr>
                <w:rFonts w:hint="eastAsia" w:asciiTheme="minorEastAsia" w:hAnsiTheme="minorEastAsia" w:eastAsiaTheme="minorEastAsia"/>
                <w:b/>
                <w:sz w:val="24"/>
              </w:rPr>
              <w:t>说明与要求</w:t>
            </w:r>
          </w:p>
        </w:tc>
      </w:tr>
      <w:tr w14:paraId="3B44A4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10219" w:type="dxa"/>
            <w:gridSpan w:val="4"/>
            <w:vAlign w:val="center"/>
          </w:tcPr>
          <w:p w14:paraId="217447C6">
            <w:pPr>
              <w:jc w:val="center"/>
              <w:rPr>
                <w:rFonts w:asciiTheme="minorEastAsia" w:hAnsiTheme="minorEastAsia" w:eastAsiaTheme="minorEastAsia"/>
                <w:sz w:val="24"/>
              </w:rPr>
            </w:pPr>
            <w:r>
              <w:rPr>
                <w:rFonts w:hint="eastAsia" w:asciiTheme="minorEastAsia" w:hAnsiTheme="minorEastAsia" w:eastAsiaTheme="minorEastAsia"/>
                <w:b/>
                <w:sz w:val="24"/>
              </w:rPr>
              <w:t>二、招标文件</w:t>
            </w:r>
          </w:p>
        </w:tc>
      </w:tr>
      <w:tr w14:paraId="16E2F8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8" w:hRule="atLeast"/>
          <w:jc w:val="center"/>
        </w:trPr>
        <w:tc>
          <w:tcPr>
            <w:tcW w:w="1314" w:type="dxa"/>
            <w:vAlign w:val="center"/>
          </w:tcPr>
          <w:p w14:paraId="5C1DF7A4">
            <w:pPr>
              <w:jc w:val="center"/>
              <w:rPr>
                <w:rFonts w:asciiTheme="minorEastAsia" w:hAnsiTheme="minorEastAsia" w:eastAsiaTheme="minorEastAsia"/>
                <w:sz w:val="24"/>
              </w:rPr>
            </w:pPr>
            <w:r>
              <w:rPr>
                <w:rFonts w:hint="eastAsia" w:asciiTheme="minorEastAsia" w:hAnsiTheme="minorEastAsia" w:eastAsiaTheme="minorEastAsia"/>
                <w:sz w:val="24"/>
              </w:rPr>
              <w:t>（三）</w:t>
            </w:r>
          </w:p>
        </w:tc>
        <w:tc>
          <w:tcPr>
            <w:tcW w:w="939" w:type="dxa"/>
            <w:vAlign w:val="center"/>
          </w:tcPr>
          <w:p w14:paraId="05B01F1F">
            <w:pPr>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418" w:type="dxa"/>
            <w:vAlign w:val="center"/>
          </w:tcPr>
          <w:p w14:paraId="7E49D14C">
            <w:pPr>
              <w:jc w:val="center"/>
              <w:rPr>
                <w:rFonts w:asciiTheme="minorEastAsia" w:hAnsiTheme="minorEastAsia" w:eastAsiaTheme="minorEastAsia"/>
                <w:sz w:val="24"/>
              </w:rPr>
            </w:pPr>
            <w:r>
              <w:rPr>
                <w:rFonts w:hint="eastAsia" w:asciiTheme="minorEastAsia" w:hAnsiTheme="minorEastAsia" w:eastAsiaTheme="minorEastAsia"/>
                <w:sz w:val="24"/>
              </w:rPr>
              <w:t>现场考察或答疑会</w:t>
            </w:r>
          </w:p>
        </w:tc>
        <w:tc>
          <w:tcPr>
            <w:tcW w:w="6548" w:type="dxa"/>
            <w:vAlign w:val="center"/>
          </w:tcPr>
          <w:p w14:paraId="415C36AA">
            <w:pPr>
              <w:tabs>
                <w:tab w:val="left" w:pos="459"/>
                <w:tab w:val="left" w:pos="601"/>
              </w:tabs>
              <w:snapToGrid w:val="0"/>
              <w:rPr>
                <w:rFonts w:asciiTheme="minorEastAsia" w:hAnsiTheme="minorEastAsia" w:eastAsiaTheme="minorEastAsia"/>
                <w:sz w:val="24"/>
              </w:rPr>
            </w:pPr>
            <w:r>
              <w:rPr>
                <w:rFonts w:hint="eastAsia" w:asciiTheme="minorEastAsia" w:hAnsiTheme="minorEastAsia" w:eastAsiaTheme="minorEastAsia"/>
                <w:sz w:val="24"/>
              </w:rPr>
              <w:t>不举行；</w:t>
            </w:r>
          </w:p>
        </w:tc>
      </w:tr>
      <w:tr w14:paraId="2E10D8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33" w:hRule="atLeast"/>
          <w:jc w:val="center"/>
        </w:trPr>
        <w:tc>
          <w:tcPr>
            <w:tcW w:w="10219" w:type="dxa"/>
            <w:gridSpan w:val="4"/>
            <w:vAlign w:val="center"/>
          </w:tcPr>
          <w:p w14:paraId="645083B8">
            <w:pPr>
              <w:jc w:val="center"/>
              <w:rPr>
                <w:rFonts w:asciiTheme="minorEastAsia" w:hAnsiTheme="minorEastAsia" w:eastAsiaTheme="minorEastAsia"/>
                <w:b/>
                <w:sz w:val="24"/>
              </w:rPr>
            </w:pPr>
            <w:r>
              <w:rPr>
                <w:rFonts w:asciiTheme="minorEastAsia" w:hAnsiTheme="minorEastAsia" w:eastAsiaTheme="minorEastAsia"/>
                <w:b/>
                <w:sz w:val="24"/>
              </w:rPr>
              <w:t>三、投标文件的编制</w:t>
            </w:r>
          </w:p>
        </w:tc>
      </w:tr>
      <w:tr w14:paraId="1679DA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1314" w:type="dxa"/>
            <w:vMerge w:val="restart"/>
            <w:vAlign w:val="center"/>
          </w:tcPr>
          <w:p w14:paraId="2E7E4C8E">
            <w:pPr>
              <w:jc w:val="center"/>
              <w:rPr>
                <w:rFonts w:asciiTheme="minorEastAsia" w:hAnsiTheme="minorEastAsia" w:eastAsiaTheme="minorEastAsia"/>
                <w:sz w:val="24"/>
              </w:rPr>
            </w:pPr>
            <w:r>
              <w:rPr>
                <w:rFonts w:hint="eastAsia" w:asciiTheme="minorEastAsia" w:hAnsiTheme="minorEastAsia" w:eastAsiaTheme="minorEastAsia"/>
                <w:sz w:val="24"/>
              </w:rPr>
              <w:t>（四）</w:t>
            </w:r>
          </w:p>
        </w:tc>
        <w:tc>
          <w:tcPr>
            <w:tcW w:w="939" w:type="dxa"/>
            <w:vAlign w:val="center"/>
          </w:tcPr>
          <w:p w14:paraId="211888B1">
            <w:pPr>
              <w:jc w:val="center"/>
              <w:rPr>
                <w:rFonts w:asciiTheme="minorEastAsia" w:hAnsiTheme="minorEastAsia" w:eastAsiaTheme="minorEastAsia"/>
                <w:sz w:val="24"/>
              </w:rPr>
            </w:pPr>
            <w:r>
              <w:rPr>
                <w:rFonts w:asciiTheme="minorEastAsia" w:hAnsiTheme="minorEastAsia" w:eastAsiaTheme="minorEastAsia"/>
                <w:sz w:val="24"/>
              </w:rPr>
              <w:t>1</w:t>
            </w:r>
          </w:p>
        </w:tc>
        <w:tc>
          <w:tcPr>
            <w:tcW w:w="1418" w:type="dxa"/>
            <w:vAlign w:val="center"/>
          </w:tcPr>
          <w:p w14:paraId="0CC64861">
            <w:pPr>
              <w:jc w:val="center"/>
              <w:rPr>
                <w:rFonts w:asciiTheme="minorEastAsia" w:hAnsiTheme="minorEastAsia" w:eastAsiaTheme="minorEastAsia"/>
                <w:sz w:val="24"/>
              </w:rPr>
            </w:pPr>
            <w:r>
              <w:rPr>
                <w:rFonts w:asciiTheme="minorEastAsia" w:hAnsiTheme="minorEastAsia" w:eastAsiaTheme="minorEastAsia"/>
                <w:sz w:val="24"/>
              </w:rPr>
              <w:t>投标文件</w:t>
            </w:r>
            <w:r>
              <w:rPr>
                <w:rFonts w:hint="eastAsia" w:asciiTheme="minorEastAsia" w:hAnsiTheme="minorEastAsia" w:eastAsiaTheme="minorEastAsia"/>
                <w:sz w:val="24"/>
              </w:rPr>
              <w:t>式样与</w:t>
            </w:r>
            <w:r>
              <w:rPr>
                <w:rFonts w:asciiTheme="minorEastAsia" w:hAnsiTheme="minorEastAsia" w:eastAsiaTheme="minorEastAsia"/>
                <w:sz w:val="24"/>
              </w:rPr>
              <w:t>份数</w:t>
            </w:r>
          </w:p>
        </w:tc>
        <w:tc>
          <w:tcPr>
            <w:tcW w:w="6548" w:type="dxa"/>
            <w:vAlign w:val="center"/>
          </w:tcPr>
          <w:p w14:paraId="3C3EC2F6">
            <w:pPr>
              <w:pStyle w:val="84"/>
              <w:numPr>
                <w:ilvl w:val="0"/>
                <w:numId w:val="39"/>
              </w:numPr>
              <w:tabs>
                <w:tab w:val="left" w:pos="459"/>
                <w:tab w:val="left" w:pos="601"/>
              </w:tabs>
              <w:snapToGrid w:val="0"/>
              <w:ind w:firstLineChars="0"/>
              <w:rPr>
                <w:rFonts w:asciiTheme="minorEastAsia" w:hAnsiTheme="minorEastAsia" w:eastAsiaTheme="minorEastAsia"/>
                <w:sz w:val="24"/>
              </w:rPr>
            </w:pPr>
            <w:r>
              <w:rPr>
                <w:rFonts w:asciiTheme="minorEastAsia" w:hAnsiTheme="minorEastAsia" w:eastAsiaTheme="minorEastAsia"/>
                <w:sz w:val="24"/>
              </w:rPr>
              <w:t>正本一份，副本</w:t>
            </w:r>
            <w:r>
              <w:rPr>
                <w:rFonts w:hint="eastAsia" w:asciiTheme="minorEastAsia" w:hAnsiTheme="minorEastAsia" w:eastAsiaTheme="minorEastAsia"/>
                <w:sz w:val="24"/>
                <w:u w:val="single"/>
              </w:rPr>
              <w:t>五</w:t>
            </w:r>
            <w:r>
              <w:rPr>
                <w:rFonts w:asciiTheme="minorEastAsia" w:hAnsiTheme="minorEastAsia" w:eastAsiaTheme="minorEastAsia"/>
                <w:sz w:val="24"/>
              </w:rPr>
              <w:t>份，电子介质</w:t>
            </w:r>
            <w:r>
              <w:rPr>
                <w:rFonts w:hint="eastAsia" w:asciiTheme="minorEastAsia" w:hAnsiTheme="minorEastAsia" w:eastAsiaTheme="minorEastAsia"/>
                <w:sz w:val="24"/>
              </w:rPr>
              <w:t>一</w:t>
            </w:r>
            <w:r>
              <w:rPr>
                <w:rFonts w:asciiTheme="minorEastAsia" w:hAnsiTheme="minorEastAsia" w:eastAsiaTheme="minorEastAsia"/>
                <w:sz w:val="24"/>
              </w:rPr>
              <w:t>份。</w:t>
            </w:r>
          </w:p>
          <w:p w14:paraId="5201B88D">
            <w:pPr>
              <w:pStyle w:val="84"/>
              <w:numPr>
                <w:ilvl w:val="0"/>
                <w:numId w:val="39"/>
              </w:numPr>
              <w:tabs>
                <w:tab w:val="left" w:pos="459"/>
                <w:tab w:val="left" w:pos="601"/>
              </w:tabs>
              <w:snapToGrid w:val="0"/>
              <w:ind w:left="601" w:hanging="601" w:firstLineChars="0"/>
              <w:rPr>
                <w:rFonts w:ascii="宋体" w:hAnsi="宋体" w:cs="宋体"/>
                <w:sz w:val="24"/>
              </w:rPr>
            </w:pPr>
            <w:r>
              <w:rPr>
                <w:rFonts w:hint="eastAsia" w:ascii="宋体" w:hAnsi="宋体" w:cs="宋体"/>
                <w:sz w:val="24"/>
                <w:lang w:eastAsia="zh-TW"/>
              </w:rPr>
              <w:t>投标文件的副本</w:t>
            </w:r>
            <w:r>
              <w:rPr>
                <w:rFonts w:hint="eastAsia" w:ascii="宋体" w:hAnsi="宋体" w:cs="宋体"/>
                <w:sz w:val="24"/>
              </w:rPr>
              <w:t>可采用</w:t>
            </w:r>
            <w:r>
              <w:rPr>
                <w:rFonts w:hint="eastAsia" w:ascii="宋体" w:hAnsi="宋体" w:cs="宋体"/>
                <w:sz w:val="24"/>
                <w:lang w:eastAsia="zh-TW"/>
              </w:rPr>
              <w:t>正本的复印件。每套投标文件须清楚地标明“正本”或</w:t>
            </w:r>
            <w:r>
              <w:rPr>
                <w:rFonts w:hint="eastAsia" w:ascii="宋体" w:hAnsi="宋体" w:cs="宋体"/>
                <w:sz w:val="24"/>
              </w:rPr>
              <w:t>“副</w:t>
            </w:r>
            <w:r>
              <w:rPr>
                <w:rFonts w:hint="eastAsia" w:ascii="宋体" w:hAnsi="宋体" w:cs="宋体"/>
                <w:sz w:val="24"/>
                <w:lang w:eastAsia="zh-TW"/>
              </w:rPr>
              <w:t>本</w:t>
            </w:r>
            <w:r>
              <w:rPr>
                <w:rFonts w:hint="eastAsia" w:ascii="宋体" w:hAnsi="宋体" w:cs="宋体"/>
                <w:sz w:val="24"/>
              </w:rPr>
              <w:t>”</w:t>
            </w:r>
            <w:r>
              <w:rPr>
                <w:rFonts w:hint="eastAsia" w:ascii="宋体" w:hAnsi="宋体" w:cs="宋体"/>
                <w:sz w:val="24"/>
                <w:lang w:eastAsia="zh-TW"/>
              </w:rPr>
              <w:t>。</w:t>
            </w:r>
            <w:r>
              <w:rPr>
                <w:rFonts w:hint="eastAsia" w:ascii="宋体" w:hAnsi="宋体" w:cs="宋体"/>
                <w:sz w:val="24"/>
              </w:rPr>
              <w:t>若副本与正本不符，以正本为准。</w:t>
            </w:r>
          </w:p>
          <w:p w14:paraId="2D850E29">
            <w:pPr>
              <w:pStyle w:val="84"/>
              <w:numPr>
                <w:ilvl w:val="0"/>
                <w:numId w:val="39"/>
              </w:numPr>
              <w:tabs>
                <w:tab w:val="left" w:pos="459"/>
                <w:tab w:val="left" w:pos="601"/>
              </w:tabs>
              <w:snapToGrid w:val="0"/>
              <w:ind w:left="601" w:hanging="601" w:firstLineChars="0"/>
              <w:rPr>
                <w:rFonts w:cs="宋体" w:asciiTheme="minorEastAsia" w:hAnsiTheme="minorEastAsia" w:eastAsiaTheme="minorEastAsia"/>
                <w:sz w:val="24"/>
              </w:rPr>
            </w:pPr>
            <w:r>
              <w:rPr>
                <w:rFonts w:hint="eastAsia" w:cs="宋体" w:asciiTheme="minorEastAsia" w:hAnsiTheme="minorEastAsia" w:eastAsiaTheme="minorEastAsia"/>
                <w:sz w:val="24"/>
              </w:rPr>
              <w:t>电子介质是指将定稿后可编辑的word版投标文件及按招标文件要求签署、盖章后的正本投标文件扫描成PDF格式后拷贝至无病毒无密码的U盘或光盘。</w:t>
            </w:r>
          </w:p>
          <w:p w14:paraId="0328E1E1">
            <w:pPr>
              <w:pStyle w:val="84"/>
              <w:numPr>
                <w:ilvl w:val="0"/>
                <w:numId w:val="39"/>
              </w:numPr>
              <w:tabs>
                <w:tab w:val="left" w:pos="459"/>
                <w:tab w:val="left" w:pos="601"/>
              </w:tabs>
              <w:snapToGrid w:val="0"/>
              <w:ind w:left="601" w:hanging="601" w:firstLineChars="0"/>
              <w:rPr>
                <w:rFonts w:asciiTheme="minorEastAsia" w:hAnsiTheme="minorEastAsia" w:eastAsiaTheme="minorEastAsia"/>
                <w:sz w:val="24"/>
              </w:rPr>
            </w:pPr>
            <w:r>
              <w:rPr>
                <w:rFonts w:hint="eastAsia" w:ascii="宋体" w:hAnsi="宋体" w:cs="宋体"/>
                <w:sz w:val="24"/>
                <w:lang w:eastAsia="zh-TW"/>
              </w:rPr>
              <w:t>若</w:t>
            </w:r>
            <w:r>
              <w:rPr>
                <w:rFonts w:hint="eastAsia" w:ascii="宋体" w:hAnsi="宋体" w:cs="宋体"/>
                <w:sz w:val="24"/>
              </w:rPr>
              <w:t>电子介质的投标文件</w:t>
            </w:r>
            <w:r>
              <w:rPr>
                <w:rFonts w:hint="eastAsia" w:ascii="宋体" w:hAnsi="宋体" w:cs="宋体"/>
                <w:sz w:val="24"/>
                <w:lang w:eastAsia="zh-TW"/>
              </w:rPr>
              <w:t>与</w:t>
            </w:r>
            <w:r>
              <w:rPr>
                <w:rFonts w:hint="eastAsia" w:ascii="宋体" w:hAnsi="宋体" w:cs="宋体"/>
                <w:sz w:val="24"/>
              </w:rPr>
              <w:t>纸质投标文件</w:t>
            </w:r>
            <w:r>
              <w:rPr>
                <w:rFonts w:hint="eastAsia" w:ascii="宋体" w:hAnsi="宋体" w:cs="宋体"/>
                <w:sz w:val="24"/>
                <w:lang w:eastAsia="zh-TW"/>
              </w:rPr>
              <w:t>不符</w:t>
            </w:r>
            <w:r>
              <w:rPr>
                <w:rFonts w:hint="eastAsia" w:ascii="宋体" w:hAnsi="宋体" w:cs="宋体"/>
                <w:sz w:val="24"/>
              </w:rPr>
              <w:t>，</w:t>
            </w:r>
            <w:r>
              <w:rPr>
                <w:rFonts w:hint="eastAsia" w:ascii="宋体" w:hAnsi="宋体" w:cs="宋体"/>
                <w:sz w:val="24"/>
                <w:lang w:eastAsia="zh-TW"/>
              </w:rPr>
              <w:t>以</w:t>
            </w:r>
            <w:r>
              <w:rPr>
                <w:rFonts w:hint="eastAsia" w:ascii="宋体" w:hAnsi="宋体" w:cs="宋体"/>
                <w:sz w:val="24"/>
              </w:rPr>
              <w:t>纸质投标文件</w:t>
            </w:r>
            <w:r>
              <w:rPr>
                <w:rFonts w:hint="eastAsia" w:ascii="宋体" w:hAnsi="宋体" w:cs="宋体"/>
                <w:sz w:val="24"/>
                <w:lang w:eastAsia="zh-TW"/>
              </w:rPr>
              <w:t>为准</w:t>
            </w:r>
            <w:r>
              <w:rPr>
                <w:rFonts w:hint="eastAsia" w:asciiTheme="minorEastAsia" w:hAnsiTheme="minorEastAsia" w:eastAsiaTheme="minorEastAsia"/>
                <w:sz w:val="24"/>
              </w:rPr>
              <w:t>。</w:t>
            </w:r>
          </w:p>
        </w:tc>
      </w:tr>
      <w:tr w14:paraId="3CC398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1314" w:type="dxa"/>
            <w:vMerge w:val="continue"/>
            <w:vAlign w:val="center"/>
          </w:tcPr>
          <w:p w14:paraId="2973779B">
            <w:pPr>
              <w:jc w:val="center"/>
              <w:rPr>
                <w:rFonts w:asciiTheme="minorEastAsia" w:hAnsiTheme="minorEastAsia" w:eastAsiaTheme="minorEastAsia"/>
                <w:sz w:val="24"/>
              </w:rPr>
            </w:pPr>
          </w:p>
        </w:tc>
        <w:tc>
          <w:tcPr>
            <w:tcW w:w="939" w:type="dxa"/>
            <w:vAlign w:val="center"/>
          </w:tcPr>
          <w:p w14:paraId="3B7DDB72">
            <w:pPr>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1418" w:type="dxa"/>
            <w:vAlign w:val="center"/>
          </w:tcPr>
          <w:p w14:paraId="4445242C">
            <w:pPr>
              <w:jc w:val="center"/>
              <w:rPr>
                <w:rFonts w:asciiTheme="minorEastAsia" w:hAnsiTheme="minorEastAsia" w:eastAsiaTheme="minorEastAsia"/>
                <w:sz w:val="24"/>
              </w:rPr>
            </w:pPr>
            <w:r>
              <w:rPr>
                <w:rFonts w:hint="eastAsia" w:asciiTheme="minorEastAsia" w:hAnsiTheme="minorEastAsia" w:eastAsiaTheme="minorEastAsia"/>
                <w:sz w:val="24"/>
              </w:rPr>
              <w:t>单独密封资料</w:t>
            </w:r>
          </w:p>
        </w:tc>
        <w:tc>
          <w:tcPr>
            <w:tcW w:w="6548" w:type="dxa"/>
            <w:vAlign w:val="center"/>
          </w:tcPr>
          <w:p w14:paraId="0B19D247">
            <w:pPr>
              <w:tabs>
                <w:tab w:val="left" w:pos="459"/>
                <w:tab w:val="left" w:pos="601"/>
              </w:tabs>
              <w:snapToGrid w:val="0"/>
              <w:rPr>
                <w:rFonts w:asciiTheme="minorEastAsia" w:hAnsiTheme="minorEastAsia" w:eastAsiaTheme="minorEastAsia"/>
                <w:bCs/>
                <w:sz w:val="24"/>
              </w:rPr>
            </w:pPr>
            <w:r>
              <w:rPr>
                <w:rFonts w:hint="eastAsia" w:asciiTheme="minorEastAsia" w:hAnsiTheme="minorEastAsia" w:eastAsiaTheme="minorEastAsia"/>
                <w:bCs/>
                <w:sz w:val="24"/>
              </w:rPr>
              <w:t>投标人还应将下述资料一并单独密封提交，并在信封上标明“单独密封资料”字样，为了方便后续相关事宜的办理。</w:t>
            </w:r>
          </w:p>
          <w:p w14:paraId="756CCBEF">
            <w:pPr>
              <w:numPr>
                <w:ilvl w:val="0"/>
                <w:numId w:val="40"/>
              </w:numPr>
              <w:tabs>
                <w:tab w:val="left" w:pos="459"/>
                <w:tab w:val="left" w:pos="601"/>
              </w:tabs>
              <w:snapToGrid w:val="0"/>
              <w:rPr>
                <w:rFonts w:asciiTheme="minorEastAsia" w:hAnsiTheme="minorEastAsia" w:eastAsiaTheme="minorEastAsia"/>
                <w:sz w:val="24"/>
              </w:rPr>
            </w:pPr>
            <w:r>
              <w:rPr>
                <w:rFonts w:hint="eastAsia" w:asciiTheme="minorEastAsia" w:hAnsiTheme="minorEastAsia" w:eastAsiaTheme="minorEastAsia"/>
                <w:sz w:val="24"/>
              </w:rPr>
              <w:t>电子介质；</w:t>
            </w:r>
          </w:p>
          <w:p w14:paraId="5E28958A">
            <w:pPr>
              <w:numPr>
                <w:ilvl w:val="0"/>
                <w:numId w:val="40"/>
              </w:numPr>
              <w:tabs>
                <w:tab w:val="left" w:pos="459"/>
                <w:tab w:val="left" w:pos="601"/>
              </w:tabs>
              <w:snapToGrid w:val="0"/>
              <w:rPr>
                <w:rFonts w:asciiTheme="minorEastAsia" w:hAnsiTheme="minorEastAsia" w:eastAsiaTheme="minorEastAsia"/>
                <w:sz w:val="24"/>
              </w:rPr>
            </w:pPr>
            <w:r>
              <w:rPr>
                <w:rFonts w:hint="eastAsia" w:asciiTheme="minorEastAsia" w:hAnsiTheme="minorEastAsia" w:eastAsiaTheme="minorEastAsia"/>
                <w:sz w:val="24"/>
              </w:rPr>
              <w:t>开票资料说明函；</w:t>
            </w:r>
          </w:p>
          <w:p w14:paraId="49D8C226">
            <w:pPr>
              <w:numPr>
                <w:ilvl w:val="0"/>
                <w:numId w:val="40"/>
              </w:numPr>
              <w:tabs>
                <w:tab w:val="left" w:pos="459"/>
                <w:tab w:val="left" w:pos="601"/>
              </w:tabs>
              <w:snapToGrid w:val="0"/>
              <w:rPr>
                <w:rFonts w:asciiTheme="minorEastAsia" w:hAnsiTheme="minorEastAsia" w:eastAsiaTheme="minorEastAsia"/>
                <w:sz w:val="24"/>
              </w:rPr>
            </w:pPr>
            <w:r>
              <w:rPr>
                <w:rFonts w:hint="eastAsia" w:asciiTheme="minorEastAsia" w:hAnsiTheme="minorEastAsia" w:eastAsiaTheme="minorEastAsia"/>
                <w:sz w:val="24"/>
              </w:rPr>
              <w:t>营业执照</w:t>
            </w:r>
            <w:r>
              <w:rPr>
                <w:rFonts w:hint="eastAsia" w:asciiTheme="minorEastAsia" w:hAnsiTheme="minorEastAsia" w:eastAsiaTheme="minorEastAsia"/>
                <w:bCs/>
                <w:sz w:val="24"/>
              </w:rPr>
              <w:t>（或事业单位法人证书或社会团体法人登记证书）。</w:t>
            </w:r>
          </w:p>
        </w:tc>
      </w:tr>
      <w:tr w14:paraId="42CA35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29" w:hRule="atLeast"/>
          <w:jc w:val="center"/>
        </w:trPr>
        <w:tc>
          <w:tcPr>
            <w:tcW w:w="1314" w:type="dxa"/>
            <w:vMerge w:val="restart"/>
            <w:vAlign w:val="center"/>
          </w:tcPr>
          <w:p w14:paraId="4174D976">
            <w:pPr>
              <w:jc w:val="center"/>
              <w:rPr>
                <w:rFonts w:asciiTheme="minorEastAsia" w:hAnsiTheme="minorEastAsia" w:eastAsiaTheme="minorEastAsia"/>
                <w:sz w:val="24"/>
              </w:rPr>
            </w:pPr>
            <w:r>
              <w:rPr>
                <w:rFonts w:hint="eastAsia" w:asciiTheme="minorEastAsia" w:hAnsiTheme="minorEastAsia" w:eastAsiaTheme="minorEastAsia"/>
                <w:sz w:val="24"/>
              </w:rPr>
              <w:t>（五）</w:t>
            </w:r>
          </w:p>
        </w:tc>
        <w:tc>
          <w:tcPr>
            <w:tcW w:w="939" w:type="dxa"/>
            <w:vAlign w:val="center"/>
          </w:tcPr>
          <w:p w14:paraId="5F36AF5D">
            <w:pPr>
              <w:jc w:val="center"/>
              <w:rPr>
                <w:rFonts w:ascii="宋体" w:hAnsi="宋体" w:cs="宋体"/>
                <w:sz w:val="24"/>
              </w:rPr>
            </w:pPr>
            <w:r>
              <w:rPr>
                <w:rFonts w:hint="eastAsia" w:ascii="宋体" w:hAnsi="宋体" w:cs="宋体"/>
                <w:sz w:val="24"/>
              </w:rPr>
              <w:t>1</w:t>
            </w:r>
          </w:p>
        </w:tc>
        <w:tc>
          <w:tcPr>
            <w:tcW w:w="1418" w:type="dxa"/>
            <w:vAlign w:val="center"/>
          </w:tcPr>
          <w:p w14:paraId="4A8451A6">
            <w:pPr>
              <w:jc w:val="center"/>
              <w:rPr>
                <w:rFonts w:ascii="宋体" w:hAnsi="宋体" w:cs="宋体"/>
                <w:sz w:val="24"/>
              </w:rPr>
            </w:pPr>
            <w:r>
              <w:rPr>
                <w:rFonts w:hint="eastAsia" w:ascii="宋体" w:hAnsi="宋体" w:cs="宋体"/>
                <w:sz w:val="24"/>
              </w:rPr>
              <w:t>投标报价</w:t>
            </w:r>
          </w:p>
        </w:tc>
        <w:tc>
          <w:tcPr>
            <w:tcW w:w="6548" w:type="dxa"/>
            <w:vAlign w:val="center"/>
          </w:tcPr>
          <w:p w14:paraId="25898C76">
            <w:pPr>
              <w:pStyle w:val="84"/>
              <w:numPr>
                <w:ilvl w:val="0"/>
                <w:numId w:val="41"/>
              </w:numPr>
              <w:tabs>
                <w:tab w:val="left" w:pos="459"/>
                <w:tab w:val="left" w:pos="601"/>
              </w:tabs>
              <w:snapToGrid w:val="0"/>
              <w:ind w:left="524" w:hanging="524" w:firstLineChars="0"/>
              <w:rPr>
                <w:rFonts w:cs="宋体" w:asciiTheme="minorEastAsia" w:hAnsiTheme="minorEastAsia" w:eastAsiaTheme="minorEastAsia"/>
                <w:sz w:val="24"/>
              </w:rPr>
            </w:pPr>
            <w:r>
              <w:rPr>
                <w:rFonts w:hint="eastAsia" w:cs="宋体" w:asciiTheme="minorEastAsia" w:hAnsiTheme="minorEastAsia" w:eastAsiaTheme="minorEastAsia"/>
                <w:sz w:val="24"/>
              </w:rPr>
              <w:t>投标报价（总价）中不得包含招标文件要求以外的内容，否则，在评标时不予核减。</w:t>
            </w:r>
          </w:p>
          <w:p w14:paraId="31F4F1BA">
            <w:pPr>
              <w:pStyle w:val="84"/>
              <w:numPr>
                <w:ilvl w:val="0"/>
                <w:numId w:val="41"/>
              </w:numPr>
              <w:tabs>
                <w:tab w:val="left" w:pos="459"/>
                <w:tab w:val="left" w:pos="601"/>
              </w:tabs>
              <w:snapToGrid w:val="0"/>
              <w:ind w:left="524" w:hanging="524" w:firstLineChars="0"/>
              <w:rPr>
                <w:rFonts w:ascii="宋体" w:hAnsi="宋体" w:cs="宋体"/>
                <w:sz w:val="24"/>
              </w:rPr>
            </w:pPr>
            <w:r>
              <w:rPr>
                <w:rFonts w:hint="eastAsia" w:cs="宋体" w:asciiTheme="minorEastAsia" w:hAnsiTheme="minorEastAsia" w:eastAsiaTheme="minorEastAsia"/>
                <w:sz w:val="24"/>
              </w:rPr>
              <w:t>若投标报价有缺漏项的，缺漏项部分的价格视为已包含在投标报价中，中标后不作任何调整。</w:t>
            </w:r>
          </w:p>
        </w:tc>
      </w:tr>
      <w:tr w14:paraId="5B87D5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1314" w:type="dxa"/>
            <w:vMerge w:val="continue"/>
            <w:vAlign w:val="center"/>
          </w:tcPr>
          <w:p w14:paraId="7ECA23F9">
            <w:pPr>
              <w:jc w:val="center"/>
              <w:rPr>
                <w:rFonts w:asciiTheme="minorEastAsia" w:hAnsiTheme="minorEastAsia" w:eastAsiaTheme="minorEastAsia"/>
                <w:sz w:val="24"/>
              </w:rPr>
            </w:pPr>
          </w:p>
        </w:tc>
        <w:tc>
          <w:tcPr>
            <w:tcW w:w="939" w:type="dxa"/>
            <w:vAlign w:val="center"/>
          </w:tcPr>
          <w:p w14:paraId="37313C22">
            <w:pPr>
              <w:jc w:val="center"/>
              <w:rPr>
                <w:rFonts w:ascii="宋体" w:hAnsi="宋体" w:cs="宋体"/>
                <w:sz w:val="24"/>
              </w:rPr>
            </w:pPr>
            <w:r>
              <w:rPr>
                <w:rFonts w:hint="eastAsia" w:asciiTheme="minorEastAsia" w:hAnsiTheme="minorEastAsia" w:eastAsiaTheme="minorEastAsia"/>
                <w:sz w:val="24"/>
              </w:rPr>
              <w:t>2</w:t>
            </w:r>
          </w:p>
        </w:tc>
        <w:tc>
          <w:tcPr>
            <w:tcW w:w="1418" w:type="dxa"/>
            <w:vAlign w:val="center"/>
          </w:tcPr>
          <w:p w14:paraId="42B12ED4">
            <w:pPr>
              <w:jc w:val="center"/>
              <w:rPr>
                <w:rFonts w:ascii="宋体" w:hAnsi="宋体" w:cs="宋体"/>
                <w:sz w:val="24"/>
              </w:rPr>
            </w:pPr>
            <w:r>
              <w:rPr>
                <w:rFonts w:hint="eastAsia" w:ascii="宋体" w:hAnsi="宋体" w:cs="宋体"/>
                <w:sz w:val="24"/>
              </w:rPr>
              <w:t>投标分项报价</w:t>
            </w:r>
          </w:p>
        </w:tc>
        <w:tc>
          <w:tcPr>
            <w:tcW w:w="6548" w:type="dxa"/>
            <w:vAlign w:val="center"/>
          </w:tcPr>
          <w:p w14:paraId="08715A58">
            <w:pPr>
              <w:tabs>
                <w:tab w:val="left" w:pos="459"/>
                <w:tab w:val="left" w:pos="601"/>
              </w:tabs>
              <w:snapToGrid w:val="0"/>
              <w:rPr>
                <w:rFonts w:ascii="宋体" w:hAnsi="宋体" w:cs="宋体"/>
                <w:sz w:val="24"/>
              </w:rPr>
            </w:pPr>
            <w:r>
              <w:rPr>
                <w:rFonts w:hint="eastAsia" w:cs="宋体" w:asciiTheme="minorEastAsia" w:hAnsiTheme="minorEastAsia" w:eastAsiaTheme="minorEastAsia"/>
                <w:sz w:val="24"/>
                <w:lang w:val="zh-CN"/>
              </w:rPr>
              <w:t>包括但不仅仅限于：项目的服务价格、应向中华人民共和国政府缴纳的增值税和其它税等全部税费以及履行合同所需的费用、所有风险、责任等其他一切隐含及不可预见的费用。</w:t>
            </w:r>
          </w:p>
        </w:tc>
      </w:tr>
      <w:tr w14:paraId="6E1949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314" w:type="dxa"/>
            <w:vMerge w:val="continue"/>
            <w:vAlign w:val="center"/>
          </w:tcPr>
          <w:p w14:paraId="65126FB5">
            <w:pPr>
              <w:jc w:val="center"/>
              <w:rPr>
                <w:rFonts w:asciiTheme="minorEastAsia" w:hAnsiTheme="minorEastAsia" w:eastAsiaTheme="minorEastAsia"/>
                <w:sz w:val="24"/>
              </w:rPr>
            </w:pPr>
          </w:p>
        </w:tc>
        <w:tc>
          <w:tcPr>
            <w:tcW w:w="939" w:type="dxa"/>
            <w:vAlign w:val="center"/>
          </w:tcPr>
          <w:p w14:paraId="7E48CBE3">
            <w:pPr>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1418" w:type="dxa"/>
            <w:vAlign w:val="center"/>
          </w:tcPr>
          <w:p w14:paraId="5F06AC10">
            <w:pPr>
              <w:jc w:val="center"/>
              <w:rPr>
                <w:rFonts w:ascii="宋体" w:hAnsi="宋体" w:cs="宋体"/>
                <w:sz w:val="24"/>
              </w:rPr>
            </w:pPr>
            <w:r>
              <w:rPr>
                <w:rFonts w:hint="eastAsia" w:ascii="宋体" w:hAnsi="宋体" w:cs="宋体"/>
                <w:sz w:val="24"/>
              </w:rPr>
              <w:t>备选方案</w:t>
            </w:r>
          </w:p>
        </w:tc>
        <w:tc>
          <w:tcPr>
            <w:tcW w:w="6548" w:type="dxa"/>
            <w:vAlign w:val="center"/>
          </w:tcPr>
          <w:p w14:paraId="43F43AF7">
            <w:pPr>
              <w:tabs>
                <w:tab w:val="left" w:pos="459"/>
                <w:tab w:val="left" w:pos="601"/>
              </w:tabs>
              <w:snapToGrid w:val="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不允许,每项报价或每种规格货物或每项服务只允许有一个报价，否则将被视为无效投标。</w:t>
            </w:r>
          </w:p>
        </w:tc>
      </w:tr>
      <w:tr w14:paraId="523717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1314" w:type="dxa"/>
            <w:vAlign w:val="center"/>
          </w:tcPr>
          <w:p w14:paraId="07363CBC">
            <w:pPr>
              <w:jc w:val="center"/>
              <w:rPr>
                <w:rFonts w:asciiTheme="minorEastAsia" w:hAnsiTheme="minorEastAsia" w:eastAsiaTheme="minorEastAsia"/>
                <w:sz w:val="24"/>
              </w:rPr>
            </w:pPr>
            <w:r>
              <w:rPr>
                <w:rFonts w:hint="eastAsia" w:asciiTheme="minorEastAsia" w:hAnsiTheme="minorEastAsia" w:eastAsiaTheme="minorEastAsia"/>
                <w:sz w:val="24"/>
              </w:rPr>
              <w:t>（十）</w:t>
            </w:r>
          </w:p>
        </w:tc>
        <w:tc>
          <w:tcPr>
            <w:tcW w:w="939" w:type="dxa"/>
            <w:vAlign w:val="center"/>
          </w:tcPr>
          <w:p w14:paraId="48266777">
            <w:pPr>
              <w:jc w:val="center"/>
              <w:rPr>
                <w:rFonts w:asciiTheme="minorEastAsia" w:hAnsiTheme="minorEastAsia" w:eastAsiaTheme="minorEastAsia"/>
                <w:sz w:val="24"/>
              </w:rPr>
            </w:pPr>
            <w:r>
              <w:rPr>
                <w:rFonts w:asciiTheme="minorEastAsia" w:hAnsiTheme="minorEastAsia" w:eastAsiaTheme="minorEastAsia"/>
                <w:sz w:val="24"/>
              </w:rPr>
              <w:t>1</w:t>
            </w:r>
          </w:p>
        </w:tc>
        <w:tc>
          <w:tcPr>
            <w:tcW w:w="1418" w:type="dxa"/>
            <w:vAlign w:val="center"/>
          </w:tcPr>
          <w:p w14:paraId="26D34210">
            <w:pPr>
              <w:jc w:val="center"/>
              <w:rPr>
                <w:rFonts w:asciiTheme="minorEastAsia" w:hAnsiTheme="minorEastAsia" w:eastAsiaTheme="minorEastAsia"/>
                <w:sz w:val="24"/>
              </w:rPr>
            </w:pPr>
            <w:r>
              <w:rPr>
                <w:rFonts w:hint="eastAsia" w:cs="宋体" w:asciiTheme="minorEastAsia" w:hAnsiTheme="minorEastAsia" w:eastAsiaTheme="minorEastAsia"/>
                <w:sz w:val="24"/>
                <w:lang w:eastAsia="zh-TW"/>
              </w:rPr>
              <w:t>投标保证金</w:t>
            </w:r>
          </w:p>
        </w:tc>
        <w:tc>
          <w:tcPr>
            <w:tcW w:w="6548" w:type="dxa"/>
            <w:vAlign w:val="center"/>
          </w:tcPr>
          <w:p w14:paraId="547F3121">
            <w:pPr>
              <w:tabs>
                <w:tab w:val="left" w:pos="459"/>
                <w:tab w:val="left" w:pos="601"/>
              </w:tabs>
              <w:snapToGrid w:val="0"/>
              <w:rPr>
                <w:rFonts w:asciiTheme="minorEastAsia" w:hAnsiTheme="minorEastAsia" w:eastAsiaTheme="minorEastAsia"/>
                <w:b/>
                <w:sz w:val="24"/>
              </w:rPr>
            </w:pPr>
            <w:r>
              <w:rPr>
                <w:rFonts w:hint="eastAsia" w:ascii="宋体" w:hAnsi="宋体" w:cs="宋体"/>
                <w:b/>
                <w:sz w:val="24"/>
              </w:rPr>
              <w:t>本项目不要求交纳投标保证金。招标文件中关于投标保证金的事项及有关条款不适用。</w:t>
            </w:r>
          </w:p>
        </w:tc>
      </w:tr>
      <w:tr w14:paraId="2296D6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314" w:type="dxa"/>
            <w:vAlign w:val="center"/>
          </w:tcPr>
          <w:p w14:paraId="431EF470">
            <w:pPr>
              <w:jc w:val="center"/>
              <w:rPr>
                <w:rFonts w:asciiTheme="minorEastAsia" w:hAnsiTheme="minorEastAsia" w:eastAsiaTheme="minorEastAsia"/>
                <w:sz w:val="24"/>
              </w:rPr>
            </w:pPr>
            <w:r>
              <w:rPr>
                <w:rFonts w:hint="eastAsia" w:asciiTheme="minorEastAsia" w:hAnsiTheme="minorEastAsia" w:eastAsiaTheme="minorEastAsia"/>
                <w:sz w:val="24"/>
              </w:rPr>
              <w:t>（十一）</w:t>
            </w:r>
          </w:p>
        </w:tc>
        <w:tc>
          <w:tcPr>
            <w:tcW w:w="939" w:type="dxa"/>
            <w:vAlign w:val="center"/>
          </w:tcPr>
          <w:p w14:paraId="78A8A6BD">
            <w:pPr>
              <w:jc w:val="center"/>
              <w:rPr>
                <w:rFonts w:asciiTheme="minorEastAsia" w:hAnsiTheme="minorEastAsia" w:eastAsiaTheme="minorEastAsia"/>
                <w:sz w:val="24"/>
              </w:rPr>
            </w:pPr>
            <w:r>
              <w:rPr>
                <w:rFonts w:asciiTheme="minorEastAsia" w:hAnsiTheme="minorEastAsia" w:eastAsiaTheme="minorEastAsia"/>
                <w:sz w:val="24"/>
              </w:rPr>
              <w:t>1</w:t>
            </w:r>
          </w:p>
        </w:tc>
        <w:tc>
          <w:tcPr>
            <w:tcW w:w="1418" w:type="dxa"/>
            <w:vAlign w:val="center"/>
          </w:tcPr>
          <w:p w14:paraId="147B306B">
            <w:pPr>
              <w:jc w:val="center"/>
              <w:rPr>
                <w:rFonts w:asciiTheme="minorEastAsia" w:hAnsiTheme="minorEastAsia" w:eastAsiaTheme="minorEastAsia"/>
                <w:sz w:val="24"/>
              </w:rPr>
            </w:pPr>
            <w:r>
              <w:rPr>
                <w:rFonts w:asciiTheme="minorEastAsia" w:hAnsiTheme="minorEastAsia" w:eastAsiaTheme="minorEastAsia"/>
                <w:sz w:val="24"/>
              </w:rPr>
              <w:t>投标有效期</w:t>
            </w:r>
          </w:p>
        </w:tc>
        <w:tc>
          <w:tcPr>
            <w:tcW w:w="6548" w:type="dxa"/>
            <w:vAlign w:val="center"/>
          </w:tcPr>
          <w:p w14:paraId="2A0DC25F">
            <w:pPr>
              <w:rPr>
                <w:rFonts w:asciiTheme="minorEastAsia" w:hAnsiTheme="minorEastAsia" w:eastAsiaTheme="minorEastAsia"/>
                <w:sz w:val="24"/>
              </w:rPr>
            </w:pPr>
            <w:r>
              <w:rPr>
                <w:rFonts w:asciiTheme="minorEastAsia" w:hAnsiTheme="minorEastAsia" w:eastAsiaTheme="minorEastAsia"/>
                <w:sz w:val="24"/>
                <w:u w:val="single"/>
              </w:rPr>
              <w:t>90</w:t>
            </w:r>
            <w:r>
              <w:rPr>
                <w:rFonts w:hint="eastAsia" w:asciiTheme="minorEastAsia" w:hAnsiTheme="minorEastAsia" w:eastAsiaTheme="minorEastAsia"/>
                <w:sz w:val="24"/>
              </w:rPr>
              <w:t>日历日。</w:t>
            </w:r>
            <w:r>
              <w:rPr>
                <w:rFonts w:hint="eastAsia" w:ascii="宋体" w:hAnsi="宋体" w:cs="宋体"/>
                <w:sz w:val="24"/>
                <w:lang w:eastAsia="zh-TW"/>
              </w:rPr>
              <w:t>投标有效期不足的投标</w:t>
            </w:r>
            <w:r>
              <w:rPr>
                <w:rFonts w:hint="eastAsia" w:ascii="宋体" w:hAnsi="宋体" w:cs="宋体"/>
                <w:sz w:val="24"/>
              </w:rPr>
              <w:t>，</w:t>
            </w:r>
            <w:r>
              <w:rPr>
                <w:rFonts w:hint="eastAsia" w:ascii="宋体" w:hAnsi="宋体" w:cs="宋体"/>
                <w:sz w:val="24"/>
                <w:lang w:eastAsia="zh-TW"/>
              </w:rPr>
              <w:t>将被</w:t>
            </w:r>
            <w:r>
              <w:rPr>
                <w:rFonts w:hint="eastAsia" w:ascii="宋体" w:hAnsi="宋体" w:cs="宋体"/>
                <w:sz w:val="24"/>
              </w:rPr>
              <w:t>视为</w:t>
            </w:r>
            <w:r>
              <w:rPr>
                <w:rFonts w:hint="eastAsia" w:ascii="宋体" w:hAnsi="宋体" w:cs="宋体"/>
                <w:b/>
                <w:sz w:val="24"/>
              </w:rPr>
              <w:t>无效投标</w:t>
            </w:r>
            <w:r>
              <w:rPr>
                <w:rFonts w:hint="eastAsia" w:ascii="宋体" w:hAnsi="宋体" w:cs="宋体"/>
                <w:sz w:val="24"/>
              </w:rPr>
              <w:t>。</w:t>
            </w:r>
          </w:p>
        </w:tc>
      </w:tr>
      <w:tr w14:paraId="1983F8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219" w:type="dxa"/>
            <w:gridSpan w:val="4"/>
            <w:vAlign w:val="center"/>
          </w:tcPr>
          <w:p w14:paraId="15883D01">
            <w:pPr>
              <w:jc w:val="center"/>
              <w:rPr>
                <w:rFonts w:asciiTheme="minorEastAsia" w:hAnsiTheme="minorEastAsia" w:eastAsiaTheme="minorEastAsia"/>
                <w:b/>
                <w:sz w:val="24"/>
              </w:rPr>
            </w:pPr>
            <w:r>
              <w:rPr>
                <w:rFonts w:hint="eastAsia" w:asciiTheme="minorEastAsia" w:hAnsiTheme="minorEastAsia" w:eastAsiaTheme="minorEastAsia"/>
                <w:b/>
                <w:sz w:val="24"/>
              </w:rPr>
              <w:t>五、开标、评标、定标与合同签订</w:t>
            </w:r>
          </w:p>
        </w:tc>
      </w:tr>
      <w:tr w14:paraId="19F7C8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314" w:type="dxa"/>
            <w:vMerge w:val="restart"/>
            <w:vAlign w:val="center"/>
          </w:tcPr>
          <w:p w14:paraId="5F396579">
            <w:pPr>
              <w:jc w:val="center"/>
              <w:rPr>
                <w:rFonts w:asciiTheme="minorEastAsia" w:hAnsiTheme="minorEastAsia" w:eastAsiaTheme="minorEastAsia"/>
                <w:sz w:val="24"/>
              </w:rPr>
            </w:pPr>
            <w:r>
              <w:rPr>
                <w:rFonts w:hint="eastAsia" w:asciiTheme="minorEastAsia" w:hAnsiTheme="minorEastAsia" w:eastAsiaTheme="minorEastAsia"/>
                <w:sz w:val="24"/>
              </w:rPr>
              <w:t>（二）</w:t>
            </w:r>
          </w:p>
        </w:tc>
        <w:tc>
          <w:tcPr>
            <w:tcW w:w="939" w:type="dxa"/>
            <w:vAlign w:val="center"/>
          </w:tcPr>
          <w:p w14:paraId="2C7A370E">
            <w:pPr>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1</w:t>
            </w:r>
            <w:r>
              <w:rPr>
                <w:rFonts w:hint="eastAsia" w:asciiTheme="minorEastAsia" w:hAnsiTheme="minorEastAsia" w:eastAsiaTheme="minorEastAsia"/>
                <w:sz w:val="24"/>
              </w:rPr>
              <w:t>）</w:t>
            </w:r>
          </w:p>
        </w:tc>
        <w:tc>
          <w:tcPr>
            <w:tcW w:w="1418" w:type="dxa"/>
            <w:vAlign w:val="center"/>
          </w:tcPr>
          <w:p w14:paraId="54747D3D">
            <w:pPr>
              <w:jc w:val="center"/>
              <w:rPr>
                <w:rFonts w:asciiTheme="minorEastAsia" w:hAnsiTheme="minorEastAsia" w:eastAsiaTheme="minorEastAsia"/>
                <w:sz w:val="24"/>
              </w:rPr>
            </w:pPr>
            <w:r>
              <w:rPr>
                <w:rFonts w:hint="eastAsia" w:asciiTheme="minorEastAsia" w:hAnsiTheme="minorEastAsia" w:eastAsiaTheme="minorEastAsia"/>
                <w:sz w:val="24"/>
              </w:rPr>
              <w:t>评标委员会成员人数</w:t>
            </w:r>
          </w:p>
        </w:tc>
        <w:tc>
          <w:tcPr>
            <w:tcW w:w="6548" w:type="dxa"/>
            <w:vAlign w:val="center"/>
          </w:tcPr>
          <w:p w14:paraId="7DEE5DDD">
            <w:pPr>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5人</w:t>
            </w:r>
          </w:p>
        </w:tc>
      </w:tr>
      <w:tr w14:paraId="65883C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314" w:type="dxa"/>
            <w:vMerge w:val="continue"/>
            <w:vAlign w:val="center"/>
          </w:tcPr>
          <w:p w14:paraId="4A97A31C">
            <w:pPr>
              <w:jc w:val="center"/>
              <w:rPr>
                <w:rFonts w:asciiTheme="minorEastAsia" w:hAnsiTheme="minorEastAsia" w:eastAsiaTheme="minorEastAsia"/>
                <w:sz w:val="24"/>
              </w:rPr>
            </w:pPr>
          </w:p>
        </w:tc>
        <w:tc>
          <w:tcPr>
            <w:tcW w:w="939" w:type="dxa"/>
            <w:vAlign w:val="center"/>
          </w:tcPr>
          <w:p w14:paraId="3F896151">
            <w:pPr>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1</w:t>
            </w:r>
            <w:r>
              <w:rPr>
                <w:rFonts w:hint="eastAsia" w:asciiTheme="minorEastAsia" w:hAnsiTheme="minorEastAsia" w:eastAsiaTheme="minorEastAsia"/>
                <w:sz w:val="24"/>
              </w:rPr>
              <w:t>）</w:t>
            </w:r>
          </w:p>
        </w:tc>
        <w:tc>
          <w:tcPr>
            <w:tcW w:w="1418" w:type="dxa"/>
            <w:vAlign w:val="center"/>
          </w:tcPr>
          <w:p w14:paraId="60D0B10E">
            <w:pPr>
              <w:jc w:val="center"/>
              <w:rPr>
                <w:rFonts w:asciiTheme="minorEastAsia" w:hAnsiTheme="minorEastAsia" w:eastAsiaTheme="minorEastAsia"/>
                <w:sz w:val="24"/>
              </w:rPr>
            </w:pPr>
            <w:r>
              <w:rPr>
                <w:rFonts w:hint="eastAsia" w:asciiTheme="minorEastAsia" w:hAnsiTheme="minorEastAsia" w:eastAsiaTheme="minorEastAsia"/>
                <w:bCs/>
                <w:sz w:val="24"/>
              </w:rPr>
              <w:t>评标方法</w:t>
            </w:r>
          </w:p>
        </w:tc>
        <w:tc>
          <w:tcPr>
            <w:tcW w:w="6548" w:type="dxa"/>
            <w:vAlign w:val="center"/>
          </w:tcPr>
          <w:p w14:paraId="05C83994">
            <w:pPr>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采用综合评分法</w:t>
            </w:r>
          </w:p>
        </w:tc>
      </w:tr>
      <w:tr w14:paraId="200C8A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1314" w:type="dxa"/>
            <w:vMerge w:val="continue"/>
            <w:vAlign w:val="center"/>
          </w:tcPr>
          <w:p w14:paraId="451C43D7">
            <w:pPr>
              <w:jc w:val="center"/>
              <w:rPr>
                <w:rFonts w:asciiTheme="minorEastAsia" w:hAnsiTheme="minorEastAsia" w:eastAsiaTheme="minorEastAsia"/>
                <w:sz w:val="24"/>
              </w:rPr>
            </w:pPr>
          </w:p>
        </w:tc>
        <w:tc>
          <w:tcPr>
            <w:tcW w:w="939" w:type="dxa"/>
            <w:vAlign w:val="center"/>
          </w:tcPr>
          <w:p w14:paraId="0178AC46">
            <w:pPr>
              <w:jc w:val="center"/>
              <w:rPr>
                <w:rFonts w:asciiTheme="minorEastAsia" w:hAnsiTheme="minorEastAsia" w:eastAsiaTheme="minorEastAsia"/>
                <w:sz w:val="24"/>
              </w:rPr>
            </w:pPr>
            <w:r>
              <w:rPr>
                <w:rFonts w:hint="eastAsia" w:asciiTheme="minorEastAsia" w:hAnsiTheme="minorEastAsia" w:eastAsiaTheme="minorEastAsia"/>
                <w:sz w:val="24"/>
              </w:rPr>
              <w:t>2（4）</w:t>
            </w:r>
          </w:p>
        </w:tc>
        <w:tc>
          <w:tcPr>
            <w:tcW w:w="1418" w:type="dxa"/>
            <w:vAlign w:val="center"/>
          </w:tcPr>
          <w:p w14:paraId="0BA29F40">
            <w:pPr>
              <w:jc w:val="center"/>
              <w:rPr>
                <w:rFonts w:asciiTheme="minorEastAsia" w:hAnsiTheme="minorEastAsia" w:eastAsiaTheme="minorEastAsia"/>
                <w:bCs/>
                <w:sz w:val="24"/>
              </w:rPr>
            </w:pPr>
            <w:r>
              <w:rPr>
                <w:rFonts w:hint="eastAsia" w:asciiTheme="minorEastAsia" w:hAnsiTheme="minorEastAsia" w:eastAsiaTheme="minorEastAsia"/>
                <w:bCs/>
                <w:sz w:val="24"/>
              </w:rPr>
              <w:t>投标文件报价修正原则</w:t>
            </w:r>
          </w:p>
        </w:tc>
        <w:tc>
          <w:tcPr>
            <w:tcW w:w="6548" w:type="dxa"/>
            <w:vAlign w:val="center"/>
          </w:tcPr>
          <w:p w14:paraId="2CA6CE59">
            <w:pPr>
              <w:jc w:val="center"/>
              <w:rPr>
                <w:rFonts w:asciiTheme="minorEastAsia" w:hAnsiTheme="minorEastAsia" w:eastAsiaTheme="minorEastAsia"/>
                <w:bCs/>
                <w:sz w:val="24"/>
              </w:rPr>
            </w:pPr>
            <w:r>
              <w:rPr>
                <w:rFonts w:hint="eastAsia"/>
                <w:b/>
                <w:bCs/>
                <w:sz w:val="24"/>
              </w:rPr>
              <w:t>/</w:t>
            </w:r>
          </w:p>
        </w:tc>
      </w:tr>
      <w:tr w14:paraId="75B238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314" w:type="dxa"/>
            <w:vAlign w:val="center"/>
          </w:tcPr>
          <w:p w14:paraId="3AE49595">
            <w:pPr>
              <w:jc w:val="center"/>
              <w:rPr>
                <w:rFonts w:asciiTheme="minorEastAsia" w:hAnsiTheme="minorEastAsia" w:eastAsiaTheme="minorEastAsia"/>
                <w:sz w:val="24"/>
              </w:rPr>
            </w:pPr>
            <w:r>
              <w:rPr>
                <w:rFonts w:hint="eastAsia" w:asciiTheme="minorEastAsia" w:hAnsiTheme="minorEastAsia" w:eastAsiaTheme="minorEastAsia"/>
                <w:sz w:val="24"/>
              </w:rPr>
              <w:t>（三）</w:t>
            </w:r>
          </w:p>
        </w:tc>
        <w:tc>
          <w:tcPr>
            <w:tcW w:w="939" w:type="dxa"/>
            <w:vAlign w:val="center"/>
          </w:tcPr>
          <w:p w14:paraId="6D325772">
            <w:pPr>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1418" w:type="dxa"/>
            <w:vAlign w:val="center"/>
          </w:tcPr>
          <w:p w14:paraId="42B7EBF7">
            <w:pPr>
              <w:jc w:val="center"/>
              <w:rPr>
                <w:rFonts w:asciiTheme="minorEastAsia" w:hAnsiTheme="minorEastAsia" w:eastAsiaTheme="minorEastAsia"/>
                <w:bCs/>
                <w:sz w:val="24"/>
              </w:rPr>
            </w:pPr>
            <w:r>
              <w:rPr>
                <w:rFonts w:hint="eastAsia" w:asciiTheme="minorEastAsia" w:hAnsiTheme="minorEastAsia" w:eastAsiaTheme="minorEastAsia"/>
                <w:bCs/>
                <w:sz w:val="24"/>
              </w:rPr>
              <w:t>推荐中标候选人</w:t>
            </w:r>
          </w:p>
        </w:tc>
        <w:tc>
          <w:tcPr>
            <w:tcW w:w="6548" w:type="dxa"/>
            <w:vAlign w:val="center"/>
          </w:tcPr>
          <w:p w14:paraId="59D18B72">
            <w:pPr>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推荐方式：推荐综合得分排名第一的投标人为第一中标候选人，排名第二的投标人为第二中标候选人，排名第三的投标人为第三中标候选人。</w:t>
            </w:r>
          </w:p>
        </w:tc>
      </w:tr>
      <w:tr w14:paraId="1C6306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314" w:type="dxa"/>
            <w:vAlign w:val="center"/>
          </w:tcPr>
          <w:p w14:paraId="361E468E">
            <w:pPr>
              <w:jc w:val="center"/>
              <w:rPr>
                <w:rFonts w:asciiTheme="minorEastAsia" w:hAnsiTheme="minorEastAsia" w:eastAsiaTheme="minorEastAsia"/>
                <w:sz w:val="24"/>
              </w:rPr>
            </w:pPr>
            <w:r>
              <w:rPr>
                <w:rFonts w:hint="eastAsia" w:asciiTheme="minorEastAsia" w:hAnsiTheme="minorEastAsia" w:eastAsiaTheme="minorEastAsia"/>
                <w:sz w:val="24"/>
              </w:rPr>
              <w:t>（四）</w:t>
            </w:r>
          </w:p>
        </w:tc>
        <w:tc>
          <w:tcPr>
            <w:tcW w:w="939" w:type="dxa"/>
            <w:vAlign w:val="center"/>
          </w:tcPr>
          <w:p w14:paraId="7CF1D534">
            <w:pPr>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418" w:type="dxa"/>
            <w:vAlign w:val="center"/>
          </w:tcPr>
          <w:p w14:paraId="18CFFF11">
            <w:pPr>
              <w:jc w:val="center"/>
              <w:rPr>
                <w:rFonts w:asciiTheme="minorEastAsia" w:hAnsiTheme="minorEastAsia" w:eastAsiaTheme="minorEastAsia"/>
                <w:bCs/>
                <w:sz w:val="24"/>
              </w:rPr>
            </w:pPr>
            <w:r>
              <w:rPr>
                <w:rFonts w:hint="eastAsia"/>
                <w:sz w:val="24"/>
              </w:rPr>
              <w:t>中标人的确定</w:t>
            </w:r>
          </w:p>
        </w:tc>
        <w:tc>
          <w:tcPr>
            <w:tcW w:w="6548" w:type="dxa"/>
            <w:vAlign w:val="center"/>
          </w:tcPr>
          <w:p w14:paraId="5A50C2C1">
            <w:pPr>
              <w:rPr>
                <w:rFonts w:asciiTheme="minorEastAsia" w:hAnsiTheme="minorEastAsia" w:eastAsiaTheme="minorEastAsia"/>
                <w:sz w:val="24"/>
              </w:rPr>
            </w:pPr>
            <w:r>
              <w:rPr>
                <w:rFonts w:hint="eastAsia" w:asciiTheme="minorEastAsia" w:hAnsiTheme="minorEastAsia" w:eastAsiaTheme="minorEastAsia"/>
                <w:sz w:val="24"/>
              </w:rPr>
              <w:t>中标候选人并列的，由采购人采取随机抽取的方式确定中标人。</w:t>
            </w:r>
          </w:p>
        </w:tc>
      </w:tr>
      <w:tr w14:paraId="4E577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14" w:type="dxa"/>
            <w:vAlign w:val="center"/>
          </w:tcPr>
          <w:p w14:paraId="57A31068">
            <w:pPr>
              <w:jc w:val="center"/>
              <w:rPr>
                <w:rFonts w:asciiTheme="minorEastAsia" w:hAnsiTheme="minorEastAsia" w:eastAsiaTheme="minorEastAsia"/>
                <w:sz w:val="24"/>
              </w:rPr>
            </w:pPr>
            <w:r>
              <w:rPr>
                <w:rFonts w:hint="eastAsia" w:asciiTheme="minorEastAsia" w:hAnsiTheme="minorEastAsia" w:eastAsiaTheme="minorEastAsia"/>
                <w:sz w:val="24"/>
              </w:rPr>
              <w:t>（六）</w:t>
            </w:r>
          </w:p>
        </w:tc>
        <w:tc>
          <w:tcPr>
            <w:tcW w:w="939" w:type="dxa"/>
            <w:vAlign w:val="center"/>
          </w:tcPr>
          <w:p w14:paraId="0F8C09AC">
            <w:pPr>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418" w:type="dxa"/>
            <w:vAlign w:val="center"/>
          </w:tcPr>
          <w:p w14:paraId="36EAC316">
            <w:pPr>
              <w:jc w:val="center"/>
              <w:rPr>
                <w:sz w:val="24"/>
              </w:rPr>
            </w:pPr>
            <w:r>
              <w:rPr>
                <w:rFonts w:hint="eastAsia" w:ascii="宋体" w:hAnsi="宋体" w:cs="宋体"/>
                <w:sz w:val="24"/>
              </w:rPr>
              <w:t>采购代理服务费</w:t>
            </w:r>
          </w:p>
        </w:tc>
        <w:tc>
          <w:tcPr>
            <w:tcW w:w="6548" w:type="dxa"/>
          </w:tcPr>
          <w:p w14:paraId="1C694E89">
            <w:pPr>
              <w:pStyle w:val="84"/>
              <w:numPr>
                <w:ilvl w:val="0"/>
                <w:numId w:val="42"/>
              </w:numPr>
              <w:tabs>
                <w:tab w:val="left" w:pos="524"/>
                <w:tab w:val="left" w:pos="601"/>
              </w:tabs>
              <w:snapToGrid w:val="0"/>
              <w:ind w:left="99" w:hanging="99" w:firstLineChars="0"/>
              <w:rPr>
                <w:rFonts w:asciiTheme="minorEastAsia" w:hAnsiTheme="minorEastAsia" w:eastAsiaTheme="minorEastAsia"/>
                <w:sz w:val="24"/>
              </w:rPr>
            </w:pPr>
            <w:r>
              <w:rPr>
                <w:rFonts w:hint="eastAsia" w:asciiTheme="minorEastAsia" w:hAnsiTheme="minorEastAsia" w:eastAsiaTheme="minorEastAsia"/>
                <w:sz w:val="24"/>
              </w:rPr>
              <w:t>本次采购代理服务费向</w:t>
            </w:r>
            <w:r>
              <w:rPr>
                <w:rFonts w:hint="eastAsia" w:asciiTheme="minorEastAsia" w:hAnsiTheme="minorEastAsia" w:eastAsiaTheme="minorEastAsia"/>
                <w:sz w:val="24"/>
                <w:u w:val="single"/>
              </w:rPr>
              <w:t xml:space="preserve">中标人 </w:t>
            </w:r>
            <w:r>
              <w:rPr>
                <w:rFonts w:hint="eastAsia" w:asciiTheme="minorEastAsia" w:hAnsiTheme="minorEastAsia" w:eastAsiaTheme="minorEastAsia"/>
                <w:sz w:val="24"/>
              </w:rPr>
              <w:t>收取；</w:t>
            </w:r>
          </w:p>
          <w:p w14:paraId="2392A395">
            <w:pPr>
              <w:pStyle w:val="84"/>
              <w:numPr>
                <w:ilvl w:val="0"/>
                <w:numId w:val="42"/>
              </w:numPr>
              <w:tabs>
                <w:tab w:val="left" w:pos="524"/>
                <w:tab w:val="left" w:pos="601"/>
              </w:tabs>
              <w:snapToGrid w:val="0"/>
              <w:ind w:left="99" w:hanging="99" w:firstLineChars="0"/>
              <w:rPr>
                <w:rFonts w:asciiTheme="minorEastAsia" w:hAnsiTheme="minorEastAsia" w:eastAsiaTheme="minorEastAsia"/>
                <w:sz w:val="24"/>
              </w:rPr>
            </w:pPr>
            <w:r>
              <w:rPr>
                <w:rFonts w:hint="eastAsia" w:asciiTheme="minorEastAsia" w:hAnsiTheme="minorEastAsia" w:eastAsiaTheme="minorEastAsia"/>
                <w:sz w:val="24"/>
              </w:rPr>
              <w:t>按照下述方式向采购代理机构按如下标准和规定缴纳采购代理服务费；</w:t>
            </w:r>
          </w:p>
          <w:p w14:paraId="5D56310C">
            <w:pPr>
              <w:rPr>
                <w:rFonts w:asciiTheme="minorEastAsia" w:hAnsiTheme="minorEastAsia" w:eastAsiaTheme="minorEastAsia"/>
                <w:sz w:val="24"/>
              </w:rPr>
            </w:pPr>
            <w:r>
              <w:rPr>
                <w:rFonts w:hint="eastAsia" w:asciiTheme="minorEastAsia" w:hAnsiTheme="minorEastAsia" w:eastAsiaTheme="minorEastAsia"/>
                <w:sz w:val="24"/>
              </w:rPr>
              <w:t>方式：</w:t>
            </w:r>
            <w:r>
              <w:rPr>
                <w:rFonts w:hint="eastAsia" w:asciiTheme="minorEastAsia" w:hAnsiTheme="minorEastAsia"/>
                <w:sz w:val="24"/>
              </w:rPr>
              <w:t>差额定率累进法收费：</w:t>
            </w:r>
            <w:r>
              <w:rPr>
                <w:rFonts w:asciiTheme="minorEastAsia" w:hAnsiTheme="minorEastAsia"/>
                <w:sz w:val="24"/>
              </w:rPr>
              <w:t>以</w:t>
            </w:r>
            <w:r>
              <w:rPr>
                <w:rFonts w:hint="eastAsia" w:asciiTheme="minorEastAsia" w:hAnsiTheme="minorEastAsia"/>
                <w:bCs/>
                <w:sz w:val="24"/>
                <w:u w:val="single"/>
              </w:rPr>
              <w:t>采购预算</w:t>
            </w:r>
            <w:r>
              <w:rPr>
                <w:rFonts w:hint="eastAsia" w:asciiTheme="minorEastAsia" w:hAnsiTheme="minorEastAsia"/>
                <w:bCs/>
                <w:sz w:val="24"/>
              </w:rPr>
              <w:t>作为采购代理服务费的计算基数</w:t>
            </w:r>
            <w:r>
              <w:rPr>
                <w:rFonts w:hint="eastAsia" w:asciiTheme="minorEastAsia" w:hAnsiTheme="minorEastAsia"/>
                <w:sz w:val="24"/>
              </w:rPr>
              <w:t>。按照下表规定的“</w:t>
            </w:r>
            <w:r>
              <w:rPr>
                <w:rFonts w:hint="eastAsia" w:asciiTheme="minorEastAsia" w:hAnsiTheme="minorEastAsia"/>
                <w:sz w:val="24"/>
                <w:u w:val="single"/>
              </w:rPr>
              <w:t>服务类”</w:t>
            </w:r>
            <w:r>
              <w:rPr>
                <w:rFonts w:hint="eastAsia" w:asciiTheme="minorEastAsia" w:hAnsiTheme="minorEastAsia"/>
                <w:sz w:val="24"/>
              </w:rPr>
              <w:t>计费标准计算并缴纳</w:t>
            </w:r>
            <w:r>
              <w:rPr>
                <w:rFonts w:hint="eastAsia" w:asciiTheme="minorEastAsia" w:hAnsiTheme="minorEastAsia" w:eastAsiaTheme="minorEastAsia"/>
                <w:bCs/>
                <w:sz w:val="24"/>
              </w:rPr>
              <w:t>。</w:t>
            </w:r>
          </w:p>
          <w:tbl>
            <w:tblPr>
              <w:tblStyle w:val="38"/>
              <w:tblW w:w="54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38"/>
              <w:gridCol w:w="1485"/>
              <w:gridCol w:w="1573"/>
            </w:tblGrid>
            <w:tr w14:paraId="3E2128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jc w:val="center"/>
              </w:trPr>
              <w:tc>
                <w:tcPr>
                  <w:tcW w:w="2438" w:type="dxa"/>
                </w:tcPr>
                <w:p w14:paraId="10EB6BB3">
                  <w:pPr>
                    <w:snapToGrid w:val="0"/>
                    <w:ind w:firstLine="1320" w:firstLineChars="550"/>
                    <w:rPr>
                      <w:rFonts w:ascii="宋体" w:hAnsi="宋体" w:cs="宋体"/>
                      <w:sz w:val="24"/>
                    </w:rPr>
                  </w:pPr>
                  <w:r>
                    <w:rPr>
                      <w:rFonts w:ascii="宋体" w:hAnsi="宋体" w:cs="宋体"/>
                      <w:sz w:val="24"/>
                    </w:rPr>
                    <mc:AlternateContent>
                      <mc:Choice Requires="wps">
                        <w:drawing>
                          <wp:anchor distT="0" distB="0" distL="114300" distR="114300" simplePos="0" relativeHeight="251659264" behindDoc="0" locked="0" layoutInCell="1" allowOverlap="1">
                            <wp:simplePos x="0" y="0"/>
                            <wp:positionH relativeFrom="column">
                              <wp:posOffset>-34925</wp:posOffset>
                            </wp:positionH>
                            <wp:positionV relativeFrom="paragraph">
                              <wp:posOffset>32385</wp:posOffset>
                            </wp:positionV>
                            <wp:extent cx="1345565" cy="379730"/>
                            <wp:effectExtent l="0" t="0" r="6985" b="1270"/>
                            <wp:wrapNone/>
                            <wp:docPr id="4"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1345565" cy="379730"/>
                                    </a:xfrm>
                                    <a:prstGeom prst="line">
                                      <a:avLst/>
                                    </a:prstGeom>
                                    <a:noFill/>
                                    <a:ln w="9525">
                                      <a:solidFill>
                                        <a:srgbClr val="000000"/>
                                      </a:solidFill>
                                      <a:round/>
                                    </a:ln>
                                  </wps:spPr>
                                  <wps:bodyPr/>
                                </wps:wsp>
                              </a:graphicData>
                            </a:graphic>
                          </wp:anchor>
                        </w:drawing>
                      </mc:Choice>
                      <mc:Fallback>
                        <w:pict>
                          <v:line id="直接连接符 2" o:spid="_x0000_s1026" o:spt="20" style="position:absolute;left:0pt;margin-left:-2.75pt;margin-top:2.55pt;height:29.9pt;width:105.95pt;z-index:251659264;mso-width-relative:page;mso-height-relative:page;" filled="f" stroked="t" coordsize="21600,21600" o:gfxdata="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1G3K&#10;VdYAAAAHAQAADwAAAAAAAAABACAAAAAiAAAAZHJzL2Rvd25yZXYueG1sUEsBAhQAFAAAAAgAh07i&#10;QOn4jobrAQAArwMAAA4AAAAAAAAAAQAgAAAAJQEAAGRycy9lMm9Eb2MueG1sUEsFBgAAAAAGAAYA&#10;WQEAAIIFAAAAAA==&#10;">
                            <v:fill on="f" focussize="0,0"/>
                            <v:stroke color="#000000" joinstyle="round"/>
                            <v:imagedata o:title=""/>
                            <o:lock v:ext="edit" aspectratio="f"/>
                          </v:line>
                        </w:pict>
                      </mc:Fallback>
                    </mc:AlternateContent>
                  </w:r>
                  <w:r>
                    <w:rPr>
                      <w:rFonts w:hint="eastAsia" w:ascii="宋体" w:hAnsi="宋体"/>
                      <w:bCs/>
                      <w:sz w:val="24"/>
                    </w:rPr>
                    <w:t>费率</w:t>
                  </w:r>
                </w:p>
                <w:p w14:paraId="29BF1C74">
                  <w:pPr>
                    <w:snapToGrid w:val="0"/>
                    <w:rPr>
                      <w:rFonts w:ascii="宋体" w:hAnsi="宋体" w:cs="宋体"/>
                      <w:sz w:val="24"/>
                    </w:rPr>
                  </w:pPr>
                  <w:r>
                    <w:rPr>
                      <w:rFonts w:hint="eastAsia" w:ascii="宋体" w:hAnsi="宋体"/>
                      <w:bCs/>
                      <w:sz w:val="24"/>
                    </w:rPr>
                    <w:t>中标金额</w:t>
                  </w:r>
                </w:p>
              </w:tc>
              <w:tc>
                <w:tcPr>
                  <w:tcW w:w="1485" w:type="dxa"/>
                  <w:vAlign w:val="center"/>
                </w:tcPr>
                <w:p w14:paraId="1BABE34B">
                  <w:pPr>
                    <w:snapToGrid w:val="0"/>
                    <w:jc w:val="center"/>
                    <w:rPr>
                      <w:rFonts w:ascii="宋体" w:hAnsi="宋体" w:cs="宋体"/>
                      <w:sz w:val="24"/>
                    </w:rPr>
                  </w:pPr>
                  <w:r>
                    <w:rPr>
                      <w:rFonts w:hint="eastAsia" w:ascii="宋体" w:hAnsi="宋体"/>
                      <w:bCs/>
                      <w:sz w:val="24"/>
                    </w:rPr>
                    <w:t>货物招标</w:t>
                  </w:r>
                </w:p>
              </w:tc>
              <w:tc>
                <w:tcPr>
                  <w:tcW w:w="1573" w:type="dxa"/>
                  <w:vAlign w:val="center"/>
                </w:tcPr>
                <w:p w14:paraId="4BF873CF">
                  <w:pPr>
                    <w:snapToGrid w:val="0"/>
                    <w:jc w:val="center"/>
                    <w:rPr>
                      <w:rFonts w:ascii="宋体" w:hAnsi="宋体" w:cs="宋体"/>
                      <w:sz w:val="24"/>
                    </w:rPr>
                  </w:pPr>
                  <w:r>
                    <w:rPr>
                      <w:rFonts w:hint="eastAsia" w:ascii="宋体" w:hAnsi="宋体"/>
                      <w:bCs/>
                      <w:sz w:val="24"/>
                    </w:rPr>
                    <w:t>服务招标</w:t>
                  </w:r>
                </w:p>
              </w:tc>
            </w:tr>
            <w:tr w14:paraId="55CF78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25498282">
                  <w:pPr>
                    <w:jc w:val="center"/>
                    <w:rPr>
                      <w:rFonts w:ascii="宋体" w:hAnsi="宋体"/>
                      <w:bCs/>
                      <w:sz w:val="24"/>
                    </w:rPr>
                  </w:pPr>
                  <w:r>
                    <w:rPr>
                      <w:rFonts w:hint="eastAsia" w:ascii="宋体" w:hAnsi="宋体"/>
                      <w:sz w:val="24"/>
                    </w:rPr>
                    <w:t>100万元以下</w:t>
                  </w:r>
                </w:p>
              </w:tc>
              <w:tc>
                <w:tcPr>
                  <w:tcW w:w="1485" w:type="dxa"/>
                  <w:vAlign w:val="center"/>
                </w:tcPr>
                <w:p w14:paraId="151C7412">
                  <w:pPr>
                    <w:jc w:val="center"/>
                    <w:rPr>
                      <w:rFonts w:ascii="宋体" w:hAnsi="宋体"/>
                      <w:sz w:val="24"/>
                    </w:rPr>
                  </w:pPr>
                  <w:r>
                    <w:rPr>
                      <w:rFonts w:ascii="宋体" w:hAnsi="宋体"/>
                      <w:sz w:val="24"/>
                    </w:rPr>
                    <w:t>1.5%</w:t>
                  </w:r>
                </w:p>
              </w:tc>
              <w:tc>
                <w:tcPr>
                  <w:tcW w:w="1573" w:type="dxa"/>
                  <w:vAlign w:val="center"/>
                </w:tcPr>
                <w:p w14:paraId="631CDABA">
                  <w:pPr>
                    <w:ind w:firstLine="240" w:firstLineChars="100"/>
                    <w:jc w:val="center"/>
                    <w:rPr>
                      <w:rFonts w:ascii="宋体" w:hAnsi="宋体"/>
                      <w:sz w:val="24"/>
                    </w:rPr>
                  </w:pPr>
                  <w:r>
                    <w:rPr>
                      <w:rFonts w:hint="eastAsia" w:ascii="宋体" w:hAnsi="宋体" w:cs="宋体"/>
                      <w:sz w:val="24"/>
                    </w:rPr>
                    <w:t>1.5%</w:t>
                  </w:r>
                </w:p>
              </w:tc>
            </w:tr>
            <w:tr w14:paraId="59A49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31C39E1A">
                  <w:pPr>
                    <w:jc w:val="center"/>
                    <w:rPr>
                      <w:rFonts w:ascii="宋体" w:hAnsi="宋体"/>
                      <w:sz w:val="24"/>
                    </w:rPr>
                  </w:pPr>
                  <w:r>
                    <w:rPr>
                      <w:rFonts w:hint="eastAsia" w:ascii="宋体" w:hAnsi="宋体"/>
                      <w:sz w:val="24"/>
                    </w:rPr>
                    <w:t>100～500万元</w:t>
                  </w:r>
                </w:p>
              </w:tc>
              <w:tc>
                <w:tcPr>
                  <w:tcW w:w="1485" w:type="dxa"/>
                  <w:vAlign w:val="center"/>
                </w:tcPr>
                <w:p w14:paraId="17288291">
                  <w:pPr>
                    <w:jc w:val="center"/>
                    <w:rPr>
                      <w:rFonts w:ascii="宋体" w:hAnsi="宋体"/>
                      <w:sz w:val="24"/>
                    </w:rPr>
                  </w:pPr>
                  <w:r>
                    <w:rPr>
                      <w:rFonts w:ascii="宋体" w:hAnsi="宋体"/>
                      <w:sz w:val="24"/>
                    </w:rPr>
                    <w:t>1.1%</w:t>
                  </w:r>
                </w:p>
              </w:tc>
              <w:tc>
                <w:tcPr>
                  <w:tcW w:w="1573" w:type="dxa"/>
                  <w:vAlign w:val="center"/>
                </w:tcPr>
                <w:p w14:paraId="66BD3D78">
                  <w:pPr>
                    <w:ind w:firstLine="240" w:firstLineChars="100"/>
                    <w:jc w:val="center"/>
                    <w:rPr>
                      <w:rFonts w:ascii="宋体" w:hAnsi="宋体"/>
                      <w:sz w:val="24"/>
                    </w:rPr>
                  </w:pPr>
                  <w:r>
                    <w:rPr>
                      <w:rFonts w:hint="eastAsia" w:ascii="宋体" w:hAnsi="宋体" w:cs="宋体"/>
                      <w:sz w:val="24"/>
                    </w:rPr>
                    <w:t>0.8%</w:t>
                  </w:r>
                </w:p>
              </w:tc>
            </w:tr>
            <w:tr w14:paraId="2DF66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3E32F75B">
                  <w:pPr>
                    <w:jc w:val="center"/>
                    <w:rPr>
                      <w:rFonts w:ascii="宋体" w:hAnsi="宋体"/>
                      <w:sz w:val="24"/>
                    </w:rPr>
                  </w:pPr>
                  <w:r>
                    <w:rPr>
                      <w:rFonts w:hint="eastAsia" w:ascii="宋体" w:hAnsi="宋体"/>
                      <w:sz w:val="24"/>
                    </w:rPr>
                    <w:t>500～1000万元</w:t>
                  </w:r>
                </w:p>
              </w:tc>
              <w:tc>
                <w:tcPr>
                  <w:tcW w:w="1485" w:type="dxa"/>
                  <w:vAlign w:val="center"/>
                </w:tcPr>
                <w:p w14:paraId="2736BE84">
                  <w:pPr>
                    <w:jc w:val="center"/>
                    <w:rPr>
                      <w:rFonts w:ascii="宋体" w:hAnsi="宋体"/>
                      <w:sz w:val="24"/>
                    </w:rPr>
                  </w:pPr>
                  <w:r>
                    <w:rPr>
                      <w:rFonts w:ascii="宋体" w:hAnsi="宋体"/>
                      <w:sz w:val="24"/>
                    </w:rPr>
                    <w:t>0.8%</w:t>
                  </w:r>
                </w:p>
              </w:tc>
              <w:tc>
                <w:tcPr>
                  <w:tcW w:w="1573" w:type="dxa"/>
                  <w:vAlign w:val="center"/>
                </w:tcPr>
                <w:p w14:paraId="29AD2B5B">
                  <w:pPr>
                    <w:ind w:firstLine="240" w:firstLineChars="100"/>
                    <w:jc w:val="center"/>
                    <w:rPr>
                      <w:rFonts w:ascii="宋体" w:hAnsi="宋体"/>
                      <w:sz w:val="24"/>
                    </w:rPr>
                  </w:pPr>
                  <w:r>
                    <w:rPr>
                      <w:rFonts w:hint="eastAsia" w:ascii="宋体" w:hAnsi="宋体" w:cs="宋体"/>
                      <w:sz w:val="24"/>
                    </w:rPr>
                    <w:t>0.45%</w:t>
                  </w:r>
                </w:p>
              </w:tc>
            </w:tr>
            <w:tr w14:paraId="1C2084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44456A0A">
                  <w:pPr>
                    <w:jc w:val="center"/>
                    <w:rPr>
                      <w:rFonts w:ascii="宋体" w:hAnsi="宋体"/>
                      <w:sz w:val="24"/>
                    </w:rPr>
                  </w:pPr>
                  <w:r>
                    <w:rPr>
                      <w:rFonts w:hint="eastAsia" w:ascii="宋体" w:hAnsi="宋体"/>
                      <w:sz w:val="24"/>
                    </w:rPr>
                    <w:t>1000～5000万元</w:t>
                  </w:r>
                </w:p>
              </w:tc>
              <w:tc>
                <w:tcPr>
                  <w:tcW w:w="1485" w:type="dxa"/>
                  <w:vAlign w:val="center"/>
                </w:tcPr>
                <w:p w14:paraId="14ED63FC">
                  <w:pPr>
                    <w:jc w:val="center"/>
                    <w:rPr>
                      <w:rFonts w:ascii="宋体" w:hAnsi="宋体"/>
                      <w:sz w:val="24"/>
                    </w:rPr>
                  </w:pPr>
                  <w:r>
                    <w:rPr>
                      <w:rFonts w:ascii="宋体" w:hAnsi="宋体"/>
                      <w:sz w:val="24"/>
                    </w:rPr>
                    <w:t>0.5%</w:t>
                  </w:r>
                </w:p>
              </w:tc>
              <w:tc>
                <w:tcPr>
                  <w:tcW w:w="1573" w:type="dxa"/>
                  <w:vAlign w:val="center"/>
                </w:tcPr>
                <w:p w14:paraId="5B6A2451">
                  <w:pPr>
                    <w:ind w:firstLine="240" w:firstLineChars="100"/>
                    <w:jc w:val="center"/>
                    <w:rPr>
                      <w:rFonts w:ascii="宋体" w:hAnsi="宋体"/>
                      <w:sz w:val="24"/>
                    </w:rPr>
                  </w:pPr>
                  <w:r>
                    <w:rPr>
                      <w:rFonts w:hint="eastAsia" w:ascii="宋体" w:hAnsi="宋体" w:cs="宋体"/>
                      <w:sz w:val="24"/>
                    </w:rPr>
                    <w:t>0.25%</w:t>
                  </w:r>
                </w:p>
              </w:tc>
            </w:tr>
            <w:tr w14:paraId="5D5302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9" w:hRule="atLeast"/>
                <w:jc w:val="center"/>
              </w:trPr>
              <w:tc>
                <w:tcPr>
                  <w:tcW w:w="2438" w:type="dxa"/>
                  <w:vAlign w:val="center"/>
                </w:tcPr>
                <w:p w14:paraId="4A653E67">
                  <w:pPr>
                    <w:jc w:val="center"/>
                    <w:rPr>
                      <w:rFonts w:ascii="宋体" w:hAnsi="宋体"/>
                      <w:sz w:val="24"/>
                    </w:rPr>
                  </w:pPr>
                  <w:r>
                    <w:rPr>
                      <w:rFonts w:hint="eastAsia" w:ascii="宋体" w:hAnsi="宋体"/>
                      <w:sz w:val="24"/>
                    </w:rPr>
                    <w:t>5000万元～1亿元</w:t>
                  </w:r>
                </w:p>
              </w:tc>
              <w:tc>
                <w:tcPr>
                  <w:tcW w:w="1485" w:type="dxa"/>
                  <w:vAlign w:val="center"/>
                </w:tcPr>
                <w:p w14:paraId="7B108555">
                  <w:pPr>
                    <w:jc w:val="center"/>
                    <w:rPr>
                      <w:rFonts w:ascii="宋体" w:hAnsi="宋体"/>
                      <w:sz w:val="24"/>
                    </w:rPr>
                  </w:pPr>
                  <w:r>
                    <w:rPr>
                      <w:rFonts w:ascii="宋体" w:hAnsi="宋体"/>
                      <w:sz w:val="24"/>
                    </w:rPr>
                    <w:t>0.25%</w:t>
                  </w:r>
                </w:p>
              </w:tc>
              <w:tc>
                <w:tcPr>
                  <w:tcW w:w="1573" w:type="dxa"/>
                  <w:vAlign w:val="center"/>
                </w:tcPr>
                <w:p w14:paraId="7C4522A6">
                  <w:pPr>
                    <w:ind w:firstLine="240" w:firstLineChars="100"/>
                    <w:jc w:val="center"/>
                    <w:rPr>
                      <w:rFonts w:ascii="宋体" w:hAnsi="宋体"/>
                      <w:sz w:val="24"/>
                    </w:rPr>
                  </w:pPr>
                  <w:r>
                    <w:rPr>
                      <w:rFonts w:hint="eastAsia" w:ascii="宋体" w:hAnsi="宋体" w:cs="宋体"/>
                      <w:sz w:val="24"/>
                    </w:rPr>
                    <w:t>0.1%</w:t>
                  </w:r>
                </w:p>
              </w:tc>
            </w:tr>
            <w:tr w14:paraId="28926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4D5A26CF">
                  <w:pPr>
                    <w:jc w:val="center"/>
                    <w:rPr>
                      <w:rFonts w:ascii="宋体" w:hAnsi="宋体"/>
                      <w:sz w:val="24"/>
                    </w:rPr>
                  </w:pPr>
                  <w:r>
                    <w:rPr>
                      <w:rFonts w:hint="eastAsia" w:ascii="宋体" w:hAnsi="宋体"/>
                      <w:sz w:val="24"/>
                    </w:rPr>
                    <w:t>1～5亿元</w:t>
                  </w:r>
                </w:p>
              </w:tc>
              <w:tc>
                <w:tcPr>
                  <w:tcW w:w="1485" w:type="dxa"/>
                  <w:vAlign w:val="center"/>
                </w:tcPr>
                <w:p w14:paraId="24A8B67A">
                  <w:pPr>
                    <w:jc w:val="center"/>
                    <w:rPr>
                      <w:rFonts w:ascii="宋体" w:hAnsi="宋体"/>
                      <w:sz w:val="24"/>
                    </w:rPr>
                  </w:pPr>
                  <w:r>
                    <w:rPr>
                      <w:rFonts w:hint="eastAsia" w:ascii="宋体" w:hAnsi="宋体"/>
                      <w:sz w:val="24"/>
                    </w:rPr>
                    <w:t>0.05%</w:t>
                  </w:r>
                </w:p>
              </w:tc>
              <w:tc>
                <w:tcPr>
                  <w:tcW w:w="1573" w:type="dxa"/>
                  <w:vAlign w:val="center"/>
                </w:tcPr>
                <w:p w14:paraId="33D546A3">
                  <w:pPr>
                    <w:jc w:val="center"/>
                    <w:rPr>
                      <w:rFonts w:ascii="宋体" w:hAnsi="宋体"/>
                      <w:sz w:val="24"/>
                    </w:rPr>
                  </w:pPr>
                  <w:r>
                    <w:rPr>
                      <w:rFonts w:hint="eastAsia" w:ascii="宋体" w:hAnsi="宋体"/>
                      <w:sz w:val="24"/>
                    </w:rPr>
                    <w:t>0.05%</w:t>
                  </w:r>
                </w:p>
              </w:tc>
            </w:tr>
            <w:tr w14:paraId="370CB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6DC0F26D">
                  <w:pPr>
                    <w:jc w:val="center"/>
                    <w:rPr>
                      <w:rFonts w:ascii="宋体" w:hAnsi="宋体"/>
                      <w:sz w:val="24"/>
                    </w:rPr>
                  </w:pPr>
                  <w:r>
                    <w:rPr>
                      <w:rFonts w:hint="eastAsia" w:ascii="宋体" w:hAnsi="宋体"/>
                      <w:sz w:val="24"/>
                    </w:rPr>
                    <w:t>5～10亿元</w:t>
                  </w:r>
                </w:p>
              </w:tc>
              <w:tc>
                <w:tcPr>
                  <w:tcW w:w="1485" w:type="dxa"/>
                  <w:vAlign w:val="center"/>
                </w:tcPr>
                <w:p w14:paraId="4541B464">
                  <w:pPr>
                    <w:jc w:val="center"/>
                    <w:rPr>
                      <w:rFonts w:ascii="宋体" w:hAnsi="宋体"/>
                      <w:sz w:val="24"/>
                    </w:rPr>
                  </w:pPr>
                  <w:r>
                    <w:rPr>
                      <w:rFonts w:hint="eastAsia" w:ascii="宋体" w:hAnsi="宋体"/>
                      <w:sz w:val="24"/>
                    </w:rPr>
                    <w:t>0.035%</w:t>
                  </w:r>
                </w:p>
              </w:tc>
              <w:tc>
                <w:tcPr>
                  <w:tcW w:w="1573" w:type="dxa"/>
                  <w:vAlign w:val="center"/>
                </w:tcPr>
                <w:p w14:paraId="0C404E50">
                  <w:pPr>
                    <w:jc w:val="center"/>
                    <w:rPr>
                      <w:rFonts w:ascii="宋体" w:hAnsi="宋体"/>
                      <w:sz w:val="24"/>
                    </w:rPr>
                  </w:pPr>
                  <w:r>
                    <w:rPr>
                      <w:rFonts w:hint="eastAsia" w:ascii="宋体" w:hAnsi="宋体"/>
                      <w:sz w:val="24"/>
                    </w:rPr>
                    <w:t>0.035%</w:t>
                  </w:r>
                </w:p>
              </w:tc>
            </w:tr>
            <w:tr w14:paraId="7C8AA1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4257830A">
                  <w:pPr>
                    <w:jc w:val="center"/>
                    <w:rPr>
                      <w:rFonts w:ascii="宋体" w:hAnsi="宋体"/>
                      <w:sz w:val="24"/>
                    </w:rPr>
                  </w:pPr>
                  <w:r>
                    <w:rPr>
                      <w:rFonts w:hint="eastAsia" w:ascii="宋体" w:hAnsi="宋体"/>
                      <w:sz w:val="24"/>
                    </w:rPr>
                    <w:t>10～50亿元</w:t>
                  </w:r>
                </w:p>
              </w:tc>
              <w:tc>
                <w:tcPr>
                  <w:tcW w:w="1485" w:type="dxa"/>
                  <w:vAlign w:val="center"/>
                </w:tcPr>
                <w:p w14:paraId="038A5974">
                  <w:pPr>
                    <w:jc w:val="center"/>
                    <w:rPr>
                      <w:rFonts w:ascii="宋体" w:hAnsi="宋体"/>
                      <w:sz w:val="24"/>
                    </w:rPr>
                  </w:pPr>
                  <w:r>
                    <w:rPr>
                      <w:rFonts w:hint="eastAsia" w:ascii="宋体" w:hAnsi="宋体"/>
                      <w:sz w:val="24"/>
                    </w:rPr>
                    <w:t>0.008%</w:t>
                  </w:r>
                </w:p>
              </w:tc>
              <w:tc>
                <w:tcPr>
                  <w:tcW w:w="1573" w:type="dxa"/>
                  <w:vAlign w:val="center"/>
                </w:tcPr>
                <w:p w14:paraId="6017E491">
                  <w:pPr>
                    <w:ind w:firstLine="240" w:firstLineChars="100"/>
                    <w:jc w:val="center"/>
                    <w:rPr>
                      <w:rFonts w:ascii="宋体" w:hAnsi="宋体"/>
                      <w:sz w:val="24"/>
                    </w:rPr>
                  </w:pPr>
                  <w:r>
                    <w:rPr>
                      <w:rFonts w:hint="eastAsia" w:ascii="宋体" w:hAnsi="宋体"/>
                      <w:sz w:val="24"/>
                    </w:rPr>
                    <w:t>0.008%</w:t>
                  </w:r>
                </w:p>
              </w:tc>
            </w:tr>
            <w:tr w14:paraId="7EF7E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14:paraId="2813B6C0">
                  <w:pPr>
                    <w:jc w:val="center"/>
                    <w:rPr>
                      <w:rFonts w:ascii="宋体" w:hAnsi="宋体"/>
                      <w:sz w:val="24"/>
                    </w:rPr>
                  </w:pPr>
                  <w:r>
                    <w:rPr>
                      <w:rFonts w:hint="eastAsia" w:ascii="宋体" w:hAnsi="宋体"/>
                      <w:sz w:val="24"/>
                    </w:rPr>
                    <w:t>50～100亿元</w:t>
                  </w:r>
                </w:p>
              </w:tc>
              <w:tc>
                <w:tcPr>
                  <w:tcW w:w="1485" w:type="dxa"/>
                  <w:vAlign w:val="center"/>
                </w:tcPr>
                <w:p w14:paraId="7C53F85B">
                  <w:pPr>
                    <w:jc w:val="center"/>
                    <w:rPr>
                      <w:rFonts w:ascii="宋体" w:hAnsi="宋体"/>
                      <w:sz w:val="24"/>
                    </w:rPr>
                  </w:pPr>
                  <w:r>
                    <w:rPr>
                      <w:rFonts w:hint="eastAsia" w:ascii="宋体" w:hAnsi="宋体"/>
                      <w:sz w:val="24"/>
                    </w:rPr>
                    <w:t>0.006%</w:t>
                  </w:r>
                </w:p>
              </w:tc>
              <w:tc>
                <w:tcPr>
                  <w:tcW w:w="1573" w:type="dxa"/>
                  <w:vAlign w:val="center"/>
                </w:tcPr>
                <w:p w14:paraId="6AC28BAE">
                  <w:pPr>
                    <w:ind w:firstLine="240" w:firstLineChars="100"/>
                    <w:jc w:val="center"/>
                    <w:rPr>
                      <w:rFonts w:ascii="宋体" w:hAnsi="宋体"/>
                      <w:sz w:val="24"/>
                    </w:rPr>
                  </w:pPr>
                  <w:r>
                    <w:rPr>
                      <w:rFonts w:hint="eastAsia" w:ascii="宋体" w:hAnsi="宋体"/>
                      <w:sz w:val="24"/>
                    </w:rPr>
                    <w:t>0.006%</w:t>
                  </w:r>
                </w:p>
              </w:tc>
            </w:tr>
            <w:tr w14:paraId="1D08F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9" w:hRule="atLeast"/>
                <w:jc w:val="center"/>
              </w:trPr>
              <w:tc>
                <w:tcPr>
                  <w:tcW w:w="2438" w:type="dxa"/>
                  <w:vAlign w:val="center"/>
                </w:tcPr>
                <w:p w14:paraId="0C967BD8">
                  <w:pPr>
                    <w:jc w:val="center"/>
                    <w:rPr>
                      <w:rFonts w:ascii="宋体" w:hAnsi="宋体"/>
                      <w:sz w:val="24"/>
                    </w:rPr>
                  </w:pPr>
                  <w:r>
                    <w:rPr>
                      <w:rFonts w:hint="eastAsia" w:ascii="宋体" w:hAnsi="宋体"/>
                      <w:sz w:val="24"/>
                    </w:rPr>
                    <w:t>100亿以上</w:t>
                  </w:r>
                </w:p>
              </w:tc>
              <w:tc>
                <w:tcPr>
                  <w:tcW w:w="1485" w:type="dxa"/>
                  <w:vAlign w:val="center"/>
                </w:tcPr>
                <w:p w14:paraId="7FC62170">
                  <w:pPr>
                    <w:jc w:val="center"/>
                    <w:rPr>
                      <w:rFonts w:ascii="宋体" w:hAnsi="宋体"/>
                      <w:sz w:val="24"/>
                    </w:rPr>
                  </w:pPr>
                  <w:r>
                    <w:rPr>
                      <w:rFonts w:hint="eastAsia" w:ascii="宋体" w:hAnsi="宋体"/>
                      <w:sz w:val="24"/>
                    </w:rPr>
                    <w:t>0.004%</w:t>
                  </w:r>
                </w:p>
              </w:tc>
              <w:tc>
                <w:tcPr>
                  <w:tcW w:w="1573" w:type="dxa"/>
                  <w:vAlign w:val="center"/>
                </w:tcPr>
                <w:p w14:paraId="4A5DA500">
                  <w:pPr>
                    <w:ind w:firstLine="240" w:firstLineChars="100"/>
                    <w:jc w:val="center"/>
                    <w:rPr>
                      <w:rFonts w:ascii="宋体" w:hAnsi="宋体"/>
                      <w:sz w:val="24"/>
                    </w:rPr>
                  </w:pPr>
                  <w:r>
                    <w:rPr>
                      <w:rFonts w:hint="eastAsia" w:ascii="宋体" w:hAnsi="宋体"/>
                      <w:sz w:val="24"/>
                    </w:rPr>
                    <w:t>0.004%</w:t>
                  </w:r>
                </w:p>
              </w:tc>
            </w:tr>
          </w:tbl>
          <w:p w14:paraId="245C2FC2">
            <w:pPr>
              <w:snapToGrid w:val="0"/>
              <w:spacing w:line="360" w:lineRule="auto"/>
              <w:rPr>
                <w:rFonts w:ascii="宋体" w:hAnsi="宋体" w:cs="宋体"/>
                <w:sz w:val="24"/>
              </w:rPr>
            </w:pPr>
            <w:r>
              <w:rPr>
                <w:rFonts w:hint="eastAsia" w:ascii="宋体" w:hAnsi="宋体" w:cs="宋体"/>
                <w:sz w:val="24"/>
              </w:rPr>
              <w:t>例如：某货物招标中标金额/采购预算为人民币850万元，计算采购代理服务收费额如下：</w:t>
            </w:r>
          </w:p>
          <w:p w14:paraId="3600D3C5">
            <w:pPr>
              <w:snapToGrid w:val="0"/>
              <w:spacing w:line="360" w:lineRule="auto"/>
              <w:ind w:left="316" w:leftChars="158" w:firstLine="1680" w:firstLineChars="700"/>
              <w:jc w:val="left"/>
              <w:rPr>
                <w:rFonts w:ascii="宋体" w:hAnsi="宋体" w:cs="宋体"/>
                <w:sz w:val="24"/>
              </w:rPr>
            </w:pPr>
            <w:r>
              <w:rPr>
                <w:rFonts w:hint="eastAsia" w:ascii="宋体" w:hAnsi="宋体" w:cs="宋体"/>
                <w:sz w:val="24"/>
              </w:rPr>
              <w:t>100万元×1.5%=1.5万元</w:t>
            </w:r>
          </w:p>
          <w:p w14:paraId="277C78EE">
            <w:pPr>
              <w:snapToGrid w:val="0"/>
              <w:spacing w:line="360" w:lineRule="auto"/>
              <w:ind w:left="316" w:leftChars="158" w:firstLine="1440" w:firstLineChars="600"/>
              <w:jc w:val="left"/>
              <w:rPr>
                <w:rFonts w:ascii="宋体" w:hAnsi="宋体" w:cs="宋体"/>
                <w:sz w:val="24"/>
              </w:rPr>
            </w:pPr>
            <w:r>
              <w:rPr>
                <w:rFonts w:hint="eastAsia" w:ascii="宋体" w:hAnsi="宋体" w:cs="宋体"/>
                <w:sz w:val="24"/>
              </w:rPr>
              <w:t>（500-100）万元×1.1%=4.4万元</w:t>
            </w:r>
          </w:p>
          <w:p w14:paraId="441D61B2">
            <w:pPr>
              <w:snapToGrid w:val="0"/>
              <w:spacing w:line="360" w:lineRule="auto"/>
              <w:ind w:left="316" w:leftChars="158" w:firstLine="1320" w:firstLineChars="550"/>
              <w:jc w:val="left"/>
              <w:rPr>
                <w:rFonts w:ascii="宋体" w:hAnsi="宋体" w:cs="宋体"/>
                <w:sz w:val="24"/>
              </w:rPr>
            </w:pPr>
            <w:r>
              <w:rPr>
                <w:rFonts w:hint="eastAsia" w:ascii="宋体" w:hAnsi="宋体" w:cs="宋体"/>
                <w:sz w:val="24"/>
              </w:rPr>
              <w:t>（850-500）万元×0.8%=2.8万元</w:t>
            </w:r>
          </w:p>
          <w:p w14:paraId="0F6BAB5D">
            <w:pPr>
              <w:pStyle w:val="84"/>
              <w:ind w:left="332" w:leftChars="166" w:firstLine="1320" w:firstLineChars="550"/>
              <w:jc w:val="left"/>
              <w:rPr>
                <w:rFonts w:ascii="宋体" w:hAnsi="宋体" w:cs="宋体"/>
                <w:sz w:val="24"/>
              </w:rPr>
            </w:pPr>
            <w:r>
              <w:rPr>
                <w:rFonts w:hint="eastAsia" w:ascii="宋体" w:hAnsi="宋体" w:cs="宋体"/>
                <w:sz w:val="24"/>
              </w:rPr>
              <w:t>合计收费=1.5+4.4+2.8=8.7（万元）</w:t>
            </w:r>
          </w:p>
          <w:p w14:paraId="619B0468">
            <w:pPr>
              <w:pStyle w:val="84"/>
              <w:numPr>
                <w:ilvl w:val="0"/>
                <w:numId w:val="42"/>
              </w:numPr>
              <w:tabs>
                <w:tab w:val="left" w:pos="524"/>
                <w:tab w:val="left" w:pos="601"/>
              </w:tabs>
              <w:snapToGrid w:val="0"/>
              <w:ind w:left="99" w:hanging="99" w:firstLineChars="0"/>
              <w:rPr>
                <w:rFonts w:asciiTheme="minorEastAsia" w:hAnsiTheme="minorEastAsia" w:eastAsiaTheme="minorEastAsia"/>
                <w:sz w:val="24"/>
              </w:rPr>
            </w:pPr>
            <w:r>
              <w:rPr>
                <w:rFonts w:hint="eastAsia" w:asciiTheme="minorEastAsia" w:hAnsiTheme="minorEastAsia" w:eastAsiaTheme="minorEastAsia"/>
                <w:sz w:val="24"/>
              </w:rPr>
              <w:t>投标人应签署第六章所附格式的采购代理服务费承诺书，作为投标文件的一部分</w:t>
            </w:r>
            <w:r>
              <w:rPr>
                <w:rFonts w:asciiTheme="minorEastAsia" w:hAnsiTheme="minorEastAsia" w:eastAsiaTheme="minorEastAsia"/>
                <w:sz w:val="24"/>
              </w:rPr>
              <w:t>。</w:t>
            </w:r>
          </w:p>
          <w:p w14:paraId="3B7743C1">
            <w:pPr>
              <w:pStyle w:val="84"/>
              <w:numPr>
                <w:ilvl w:val="0"/>
                <w:numId w:val="42"/>
              </w:numPr>
              <w:tabs>
                <w:tab w:val="left" w:pos="524"/>
                <w:tab w:val="left" w:pos="601"/>
              </w:tabs>
              <w:snapToGrid w:val="0"/>
              <w:ind w:left="99" w:hanging="99" w:firstLineChars="0"/>
              <w:rPr>
                <w:rFonts w:ascii="宋体" w:hAnsi="宋体"/>
                <w:sz w:val="24"/>
              </w:rPr>
            </w:pPr>
            <w:r>
              <w:rPr>
                <w:rFonts w:hint="eastAsia" w:asciiTheme="minorEastAsia" w:hAnsiTheme="minorEastAsia" w:eastAsiaTheme="minorEastAsia"/>
                <w:sz w:val="24"/>
              </w:rPr>
              <w:t>中标人在领取《中标通知书》前应向采购代理机构缴纳采购代理服务费。凭领取人身份证复印件并加盖公章领取《中标通知书》。如采用电汇或银行转账，须同时递交采购代理服务费缴费凭证复印件并加盖公章</w:t>
            </w:r>
            <w:r>
              <w:rPr>
                <w:rFonts w:asciiTheme="minorEastAsia" w:hAnsiTheme="minorEastAsia" w:eastAsiaTheme="minorEastAsia"/>
                <w:sz w:val="24"/>
              </w:rPr>
              <w:t>。</w:t>
            </w:r>
          </w:p>
        </w:tc>
      </w:tr>
      <w:tr w14:paraId="5EA3B7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219" w:type="dxa"/>
            <w:gridSpan w:val="4"/>
            <w:vAlign w:val="center"/>
          </w:tcPr>
          <w:p w14:paraId="7E3031B9">
            <w:pPr>
              <w:tabs>
                <w:tab w:val="left" w:pos="524"/>
                <w:tab w:val="left" w:pos="601"/>
              </w:tabs>
              <w:snapToGrid w:val="0"/>
              <w:jc w:val="center"/>
              <w:rPr>
                <w:rFonts w:asciiTheme="minorEastAsia" w:hAnsiTheme="minorEastAsia" w:eastAsiaTheme="minorEastAsia"/>
                <w:sz w:val="24"/>
              </w:rPr>
            </w:pPr>
            <w:r>
              <w:rPr>
                <w:rFonts w:hint="eastAsia" w:asciiTheme="minorEastAsia" w:hAnsiTheme="minorEastAsia" w:eastAsiaTheme="minorEastAsia"/>
                <w:b/>
                <w:bCs/>
                <w:sz w:val="24"/>
              </w:rPr>
              <w:t>六、询问、质疑、投诉</w:t>
            </w:r>
          </w:p>
        </w:tc>
      </w:tr>
      <w:tr w14:paraId="72FDE0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14" w:type="dxa"/>
            <w:vAlign w:val="center"/>
          </w:tcPr>
          <w:p w14:paraId="3682EC56">
            <w:pPr>
              <w:jc w:val="center"/>
              <w:rPr>
                <w:rFonts w:asciiTheme="minorEastAsia" w:hAnsiTheme="minorEastAsia" w:eastAsiaTheme="minorEastAsia"/>
                <w:sz w:val="24"/>
              </w:rPr>
            </w:pPr>
            <w:r>
              <w:rPr>
                <w:rFonts w:hint="eastAsia" w:hAnsiTheme="minorEastAsia"/>
                <w:sz w:val="24"/>
              </w:rPr>
              <w:t>（一）</w:t>
            </w:r>
          </w:p>
        </w:tc>
        <w:tc>
          <w:tcPr>
            <w:tcW w:w="939" w:type="dxa"/>
            <w:vAlign w:val="center"/>
          </w:tcPr>
          <w:p w14:paraId="59FF935F">
            <w:pPr>
              <w:jc w:val="center"/>
              <w:rPr>
                <w:rFonts w:asciiTheme="minorEastAsia" w:hAnsiTheme="minorEastAsia" w:eastAsiaTheme="minorEastAsia"/>
                <w:sz w:val="24"/>
              </w:rPr>
            </w:pPr>
            <w:r>
              <w:rPr>
                <w:rFonts w:hint="eastAsia" w:hAnsiTheme="minorEastAsia"/>
                <w:sz w:val="24"/>
              </w:rPr>
              <w:t>4</w:t>
            </w:r>
          </w:p>
        </w:tc>
        <w:tc>
          <w:tcPr>
            <w:tcW w:w="1418" w:type="dxa"/>
            <w:vAlign w:val="center"/>
          </w:tcPr>
          <w:p w14:paraId="4A3F62A6">
            <w:pPr>
              <w:jc w:val="center"/>
              <w:rPr>
                <w:rFonts w:ascii="宋体" w:hAnsi="宋体" w:cs="宋体"/>
                <w:sz w:val="24"/>
              </w:rPr>
            </w:pPr>
            <w:r>
              <w:rPr>
                <w:rFonts w:hint="eastAsia" w:ascii="宋体" w:hAnsi="宋体" w:cs="黑体"/>
                <w:sz w:val="24"/>
              </w:rPr>
              <w:t>询问函接收联系方式</w:t>
            </w:r>
          </w:p>
        </w:tc>
        <w:tc>
          <w:tcPr>
            <w:tcW w:w="6548" w:type="dxa"/>
            <w:vMerge w:val="restart"/>
          </w:tcPr>
          <w:p w14:paraId="17ED1C7B">
            <w:pPr>
              <w:tabs>
                <w:tab w:val="left" w:pos="524"/>
                <w:tab w:val="left" w:pos="601"/>
              </w:tabs>
              <w:snapToGrid w:val="0"/>
              <w:rPr>
                <w:rFonts w:asciiTheme="minorEastAsia" w:hAnsiTheme="minorEastAsia" w:eastAsiaTheme="minorEastAsia"/>
                <w:bCs/>
                <w:sz w:val="24"/>
              </w:rPr>
            </w:pPr>
            <w:r>
              <w:rPr>
                <w:rFonts w:hint="eastAsia" w:asciiTheme="minorEastAsia" w:hAnsiTheme="minorEastAsia" w:eastAsiaTheme="minorEastAsia"/>
                <w:bCs/>
                <w:sz w:val="24"/>
              </w:rPr>
              <w:t>联系人：</w:t>
            </w:r>
            <w:r>
              <w:rPr>
                <w:rFonts w:hint="eastAsia" w:asciiTheme="minorEastAsia" w:hAnsiTheme="minorEastAsia" w:eastAsiaTheme="minorEastAsia"/>
                <w:bCs/>
                <w:sz w:val="24"/>
                <w:u w:val="single"/>
              </w:rPr>
              <w:t>曹小姐</w:t>
            </w:r>
          </w:p>
          <w:p w14:paraId="2877A9AE">
            <w:pPr>
              <w:tabs>
                <w:tab w:val="left" w:pos="524"/>
                <w:tab w:val="left" w:pos="601"/>
              </w:tabs>
              <w:snapToGrid w:val="0"/>
              <w:rPr>
                <w:rFonts w:asciiTheme="minorEastAsia" w:hAnsiTheme="minorEastAsia" w:eastAsiaTheme="minorEastAsia"/>
                <w:bCs/>
                <w:sz w:val="24"/>
              </w:rPr>
            </w:pPr>
            <w:r>
              <w:rPr>
                <w:rFonts w:hint="eastAsia" w:asciiTheme="minorEastAsia" w:hAnsiTheme="minorEastAsia" w:eastAsiaTheme="minorEastAsia"/>
                <w:bCs/>
                <w:sz w:val="24"/>
              </w:rPr>
              <w:t>联系电话：</w:t>
            </w:r>
            <w:r>
              <w:rPr>
                <w:rFonts w:hint="eastAsia" w:asciiTheme="minorEastAsia" w:hAnsiTheme="minorEastAsia" w:eastAsiaTheme="minorEastAsia"/>
                <w:bCs/>
                <w:sz w:val="24"/>
                <w:u w:val="single"/>
              </w:rPr>
              <w:t>0</w:t>
            </w:r>
            <w:r>
              <w:rPr>
                <w:rFonts w:asciiTheme="minorEastAsia" w:hAnsiTheme="minorEastAsia" w:eastAsiaTheme="minorEastAsia"/>
                <w:bCs/>
                <w:sz w:val="24"/>
                <w:u w:val="single"/>
              </w:rPr>
              <w:t>757-83205203</w:t>
            </w:r>
          </w:p>
          <w:p w14:paraId="0DEFBEE8">
            <w:pPr>
              <w:tabs>
                <w:tab w:val="left" w:pos="524"/>
                <w:tab w:val="left" w:pos="601"/>
              </w:tabs>
              <w:snapToGrid w:val="0"/>
              <w:rPr>
                <w:rFonts w:asciiTheme="minorEastAsia" w:hAnsiTheme="minorEastAsia" w:eastAsiaTheme="minorEastAsia"/>
                <w:bCs/>
                <w:sz w:val="24"/>
              </w:rPr>
            </w:pPr>
            <w:r>
              <w:rPr>
                <w:rFonts w:hint="eastAsia" w:asciiTheme="minorEastAsia" w:hAnsiTheme="minorEastAsia" w:eastAsiaTheme="minorEastAsia"/>
                <w:bCs/>
                <w:sz w:val="24"/>
              </w:rPr>
              <w:t>地址：</w:t>
            </w:r>
            <w:r>
              <w:rPr>
                <w:rFonts w:hint="eastAsia" w:asciiTheme="minorEastAsia" w:hAnsiTheme="minorEastAsia" w:eastAsiaTheme="minorEastAsia"/>
                <w:bCs/>
                <w:sz w:val="24"/>
                <w:u w:val="single"/>
              </w:rPr>
              <w:t>佛山市禅城区季华五路55号万科金融中心A座33楼330</w:t>
            </w:r>
            <w:r>
              <w:rPr>
                <w:rFonts w:asciiTheme="minorEastAsia" w:hAnsiTheme="minorEastAsia" w:eastAsiaTheme="minorEastAsia"/>
                <w:bCs/>
                <w:sz w:val="24"/>
                <w:u w:val="single"/>
              </w:rPr>
              <w:t>2</w:t>
            </w:r>
            <w:r>
              <w:rPr>
                <w:rFonts w:hint="eastAsia" w:asciiTheme="minorEastAsia" w:hAnsiTheme="minorEastAsia" w:eastAsiaTheme="minorEastAsia"/>
                <w:bCs/>
                <w:sz w:val="24"/>
                <w:u w:val="single"/>
              </w:rPr>
              <w:t>室</w:t>
            </w:r>
          </w:p>
          <w:p w14:paraId="31E30952">
            <w:pPr>
              <w:tabs>
                <w:tab w:val="left" w:pos="524"/>
                <w:tab w:val="left" w:pos="601"/>
              </w:tabs>
              <w:snapToGrid w:val="0"/>
              <w:rPr>
                <w:rFonts w:asciiTheme="minorEastAsia" w:hAnsiTheme="minorEastAsia" w:eastAsiaTheme="minorEastAsia"/>
                <w:sz w:val="24"/>
              </w:rPr>
            </w:pPr>
            <w:r>
              <w:rPr>
                <w:rFonts w:hint="eastAsia" w:asciiTheme="minorEastAsia" w:hAnsiTheme="minorEastAsia" w:eastAsiaTheme="minorEastAsia"/>
                <w:bCs/>
                <w:sz w:val="24"/>
              </w:rPr>
              <w:t>电子邮箱：</w:t>
            </w:r>
            <w:r>
              <w:rPr>
                <w:rFonts w:hint="eastAsia" w:ascii="宋体" w:hAnsi="宋体"/>
                <w:sz w:val="24"/>
              </w:rPr>
              <w:t>fszy@chinapsp.cn</w:t>
            </w:r>
          </w:p>
        </w:tc>
      </w:tr>
      <w:tr w14:paraId="4D73F6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14" w:type="dxa"/>
            <w:vAlign w:val="center"/>
          </w:tcPr>
          <w:p w14:paraId="152BFFB1">
            <w:pPr>
              <w:jc w:val="center"/>
              <w:rPr>
                <w:rFonts w:asciiTheme="minorEastAsia" w:hAnsiTheme="minorEastAsia" w:eastAsiaTheme="minorEastAsia"/>
                <w:sz w:val="24"/>
              </w:rPr>
            </w:pPr>
            <w:r>
              <w:rPr>
                <w:rFonts w:hint="eastAsia" w:hAnsiTheme="minorEastAsia"/>
                <w:sz w:val="24"/>
              </w:rPr>
              <w:t>（二）</w:t>
            </w:r>
          </w:p>
        </w:tc>
        <w:tc>
          <w:tcPr>
            <w:tcW w:w="939" w:type="dxa"/>
            <w:vAlign w:val="center"/>
          </w:tcPr>
          <w:p w14:paraId="63931F4E">
            <w:pPr>
              <w:jc w:val="center"/>
              <w:rPr>
                <w:rFonts w:asciiTheme="minorEastAsia" w:hAnsiTheme="minorEastAsia" w:eastAsiaTheme="minorEastAsia"/>
                <w:sz w:val="24"/>
              </w:rPr>
            </w:pPr>
            <w:r>
              <w:rPr>
                <w:rFonts w:hint="eastAsia" w:hAnsiTheme="minorEastAsia"/>
                <w:sz w:val="24"/>
              </w:rPr>
              <w:t>5</w:t>
            </w:r>
          </w:p>
        </w:tc>
        <w:tc>
          <w:tcPr>
            <w:tcW w:w="1418" w:type="dxa"/>
            <w:vAlign w:val="center"/>
          </w:tcPr>
          <w:p w14:paraId="210952E9">
            <w:pPr>
              <w:jc w:val="center"/>
              <w:rPr>
                <w:rFonts w:ascii="宋体" w:hAnsi="宋体" w:cs="宋体"/>
                <w:sz w:val="24"/>
              </w:rPr>
            </w:pPr>
            <w:r>
              <w:rPr>
                <w:rFonts w:hint="eastAsia" w:hAnsi="宋体"/>
                <w:snapToGrid w:val="0"/>
                <w:sz w:val="24"/>
              </w:rPr>
              <w:t>质疑函接收联系方式</w:t>
            </w:r>
          </w:p>
        </w:tc>
        <w:tc>
          <w:tcPr>
            <w:tcW w:w="6548" w:type="dxa"/>
            <w:vMerge w:val="continue"/>
          </w:tcPr>
          <w:p w14:paraId="3CA7BBBE">
            <w:pPr>
              <w:tabs>
                <w:tab w:val="left" w:pos="524"/>
                <w:tab w:val="left" w:pos="601"/>
              </w:tabs>
              <w:snapToGrid w:val="0"/>
              <w:rPr>
                <w:rFonts w:asciiTheme="minorEastAsia" w:hAnsiTheme="minorEastAsia" w:eastAsiaTheme="minorEastAsia"/>
                <w:sz w:val="24"/>
              </w:rPr>
            </w:pPr>
          </w:p>
        </w:tc>
      </w:tr>
      <w:tr w14:paraId="5F3524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0219" w:type="dxa"/>
            <w:gridSpan w:val="4"/>
            <w:vAlign w:val="center"/>
          </w:tcPr>
          <w:p w14:paraId="065F873E">
            <w:pPr>
              <w:jc w:val="center"/>
              <w:rPr>
                <w:rFonts w:asciiTheme="minorEastAsia" w:hAnsiTheme="minorEastAsia" w:eastAsiaTheme="minorEastAsia"/>
                <w:b/>
                <w:sz w:val="24"/>
              </w:rPr>
            </w:pPr>
            <w:r>
              <w:rPr>
                <w:rFonts w:hint="eastAsia" w:asciiTheme="minorEastAsia" w:hAnsiTheme="minorEastAsia" w:eastAsiaTheme="minorEastAsia"/>
                <w:b/>
                <w:sz w:val="24"/>
              </w:rPr>
              <w:t>其他说明</w:t>
            </w:r>
          </w:p>
        </w:tc>
      </w:tr>
      <w:tr w14:paraId="6E4EC5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314" w:type="dxa"/>
            <w:vAlign w:val="center"/>
          </w:tcPr>
          <w:p w14:paraId="4BE8DD58">
            <w:pPr>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939" w:type="dxa"/>
            <w:vAlign w:val="center"/>
          </w:tcPr>
          <w:p w14:paraId="080CECDC">
            <w:pPr>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418" w:type="dxa"/>
            <w:vAlign w:val="center"/>
          </w:tcPr>
          <w:p w14:paraId="2AE12DCF">
            <w:pPr>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6548" w:type="dxa"/>
            <w:vAlign w:val="center"/>
          </w:tcPr>
          <w:p w14:paraId="525B3487">
            <w:pPr>
              <w:autoSpaceDE w:val="0"/>
              <w:autoSpaceDN w:val="0"/>
              <w:snapToGrid w:val="0"/>
              <w:spacing w:line="264" w:lineRule="auto"/>
              <w:jc w:val="left"/>
              <w:textAlignment w:val="auto"/>
              <w:rPr>
                <w:rFonts w:ascii="宋体" w:hAnsi="宋体"/>
                <w:sz w:val="24"/>
                <w:szCs w:val="21"/>
              </w:rPr>
            </w:pPr>
            <w:r>
              <w:rPr>
                <w:rFonts w:hint="eastAsia" w:ascii="宋体" w:hAnsi="宋体"/>
                <w:bCs/>
                <w:sz w:val="24"/>
                <w:szCs w:val="20"/>
              </w:rPr>
              <w:t>本项目相关公告在</w:t>
            </w:r>
            <w:r>
              <w:rPr>
                <w:rFonts w:hint="eastAsia" w:ascii="宋体" w:hAnsi="宋体"/>
                <w:sz w:val="24"/>
                <w:szCs w:val="21"/>
              </w:rPr>
              <w:t>中国政府采购网(www.ccgp.gov.cn)、采购代理机构网站（http://www.chinapsp.cn）。</w:t>
            </w:r>
          </w:p>
          <w:p w14:paraId="41FE5999">
            <w:pPr>
              <w:snapToGrid w:val="0"/>
              <w:rPr>
                <w:rFonts w:asciiTheme="minorEastAsia" w:hAnsiTheme="minorEastAsia" w:eastAsiaTheme="minorEastAsia"/>
                <w:sz w:val="24"/>
              </w:rPr>
            </w:pPr>
            <w:r>
              <w:rPr>
                <w:rFonts w:hint="eastAsia" w:ascii="宋体" w:hAnsi="宋体"/>
                <w:sz w:val="24"/>
                <w:szCs w:val="21"/>
              </w:rPr>
              <w:t>相关公告在媒体上公布之日即视为有效送达，不再另行通知。</w:t>
            </w:r>
            <w:r>
              <w:rPr>
                <w:rFonts w:hint="eastAsia" w:ascii="宋体" w:hAnsi="宋体"/>
                <w:b/>
                <w:sz w:val="24"/>
              </w:rPr>
              <w:t>备注：在不同媒体发布的同一政府采购信息内容、时间不一致的，以在中国政府采购网发布的信息为准。</w:t>
            </w:r>
          </w:p>
        </w:tc>
      </w:tr>
      <w:tr w14:paraId="3149F8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314" w:type="dxa"/>
            <w:vAlign w:val="center"/>
          </w:tcPr>
          <w:p w14:paraId="2AC4A715">
            <w:pPr>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939" w:type="dxa"/>
            <w:vAlign w:val="center"/>
          </w:tcPr>
          <w:p w14:paraId="680A7F06">
            <w:pPr>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418" w:type="dxa"/>
            <w:vAlign w:val="center"/>
          </w:tcPr>
          <w:p w14:paraId="1D2D8CBE">
            <w:pPr>
              <w:jc w:val="center"/>
              <w:rPr>
                <w:rFonts w:ascii="宋体" w:hAnsi="宋体" w:cs="宋体"/>
                <w:sz w:val="24"/>
              </w:rPr>
            </w:pPr>
            <w:r>
              <w:rPr>
                <w:rFonts w:hint="eastAsia" w:ascii="宋体" w:hAnsi="宋体" w:cs="宋体"/>
                <w:sz w:val="24"/>
              </w:rPr>
              <w:t>分包</w:t>
            </w:r>
          </w:p>
        </w:tc>
        <w:tc>
          <w:tcPr>
            <w:tcW w:w="6548" w:type="dxa"/>
            <w:vAlign w:val="center"/>
          </w:tcPr>
          <w:p w14:paraId="5A48A086">
            <w:pPr>
              <w:rPr>
                <w:rFonts w:ascii="宋体" w:hAnsi="宋体" w:cs="宋体"/>
                <w:sz w:val="24"/>
              </w:rPr>
            </w:pPr>
            <w:r>
              <w:rPr>
                <w:rFonts w:hint="eastAsia" w:ascii="宋体" w:hAnsi="宋体" w:cs="宋体"/>
                <w:sz w:val="24"/>
              </w:rPr>
              <w:t>不允许；</w:t>
            </w:r>
          </w:p>
        </w:tc>
      </w:tr>
      <w:tr w14:paraId="4A3345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314" w:type="dxa"/>
            <w:vAlign w:val="center"/>
          </w:tcPr>
          <w:p w14:paraId="66DE7BC5">
            <w:pPr>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939" w:type="dxa"/>
            <w:vAlign w:val="center"/>
          </w:tcPr>
          <w:p w14:paraId="6331FD06">
            <w:pPr>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418" w:type="dxa"/>
            <w:vAlign w:val="center"/>
          </w:tcPr>
          <w:p w14:paraId="3EDB38DB">
            <w:pPr>
              <w:jc w:val="center"/>
              <w:rPr>
                <w:rFonts w:ascii="宋体" w:hAnsi="宋体" w:cs="宋体"/>
                <w:sz w:val="24"/>
              </w:rPr>
            </w:pPr>
            <w:r>
              <w:rPr>
                <w:rFonts w:hint="eastAsia" w:ascii="宋体" w:hAnsi="宋体" w:cs="宋体"/>
                <w:sz w:val="24"/>
              </w:rPr>
              <w:t>本项目资金</w:t>
            </w:r>
          </w:p>
        </w:tc>
        <w:tc>
          <w:tcPr>
            <w:tcW w:w="6548" w:type="dxa"/>
            <w:vAlign w:val="center"/>
          </w:tcPr>
          <w:p w14:paraId="360B4215">
            <w:pPr>
              <w:rPr>
                <w:rFonts w:ascii="宋体" w:hAnsi="宋体" w:cs="宋体"/>
                <w:sz w:val="24"/>
              </w:rPr>
            </w:pPr>
            <w:r>
              <w:rPr>
                <w:rFonts w:hint="eastAsia" w:ascii="宋体" w:hAnsi="宋体" w:cs="宋体"/>
                <w:sz w:val="24"/>
              </w:rPr>
              <w:t>使用财政性资金，但本项目采购内容不属于“集中采购目录以内或采购限额标准以上”的范围（不纳入政府采购管理范围）</w:t>
            </w:r>
          </w:p>
        </w:tc>
      </w:tr>
    </w:tbl>
    <w:p w14:paraId="387E6FAC">
      <w:pPr>
        <w:widowControl/>
        <w:adjustRightInd/>
        <w:spacing w:line="240" w:lineRule="auto"/>
        <w:jc w:val="left"/>
        <w:textAlignment w:val="auto"/>
        <w:rPr>
          <w:b/>
          <w:bCs/>
          <w:sz w:val="28"/>
          <w:szCs w:val="28"/>
        </w:rPr>
      </w:pPr>
      <w:r>
        <w:rPr>
          <w:b/>
          <w:bCs/>
          <w:sz w:val="28"/>
          <w:szCs w:val="28"/>
        </w:rPr>
        <w:br w:type="page"/>
      </w:r>
    </w:p>
    <w:p w14:paraId="59741B82">
      <w:pPr>
        <w:snapToGrid w:val="0"/>
        <w:spacing w:line="360" w:lineRule="auto"/>
        <w:jc w:val="center"/>
        <w:outlineLvl w:val="1"/>
        <w:rPr>
          <w:b/>
          <w:bCs/>
          <w:sz w:val="28"/>
          <w:szCs w:val="28"/>
        </w:rPr>
      </w:pPr>
      <w:bookmarkStart w:id="45" w:name="_Toc25262"/>
      <w:r>
        <w:rPr>
          <w:rFonts w:hint="eastAsia"/>
          <w:b/>
          <w:bCs/>
          <w:sz w:val="28"/>
          <w:szCs w:val="28"/>
        </w:rPr>
        <w:t>第二部分 投标人须知通用条款</w:t>
      </w:r>
      <w:bookmarkEnd w:id="45"/>
    </w:p>
    <w:p w14:paraId="19B4FB37">
      <w:pPr>
        <w:numPr>
          <w:ilvl w:val="0"/>
          <w:numId w:val="43"/>
        </w:numPr>
        <w:tabs>
          <w:tab w:val="left" w:pos="4395"/>
        </w:tabs>
        <w:autoSpaceDE w:val="0"/>
        <w:autoSpaceDN w:val="0"/>
        <w:snapToGrid w:val="0"/>
        <w:spacing w:line="360" w:lineRule="auto"/>
        <w:ind w:left="708" w:hanging="708" w:hangingChars="252"/>
        <w:jc w:val="center"/>
        <w:outlineLvl w:val="2"/>
        <w:rPr>
          <w:rFonts w:ascii="宋体" w:hAnsi="宋体"/>
          <w:b/>
          <w:sz w:val="28"/>
          <w:szCs w:val="28"/>
        </w:rPr>
      </w:pPr>
      <w:bookmarkStart w:id="46" w:name="_Toc435174933"/>
      <w:bookmarkStart w:id="47" w:name="_Toc435516650"/>
      <w:bookmarkStart w:id="48" w:name="_Toc438223136"/>
      <w:bookmarkStart w:id="49" w:name="_Toc18464"/>
      <w:r>
        <w:rPr>
          <w:rFonts w:hint="eastAsia" w:ascii="宋体" w:hAnsi="宋体"/>
          <w:b/>
          <w:sz w:val="28"/>
          <w:szCs w:val="28"/>
        </w:rPr>
        <w:t>总</w:t>
      </w:r>
      <w:r>
        <w:rPr>
          <w:rFonts w:ascii="宋体" w:hAnsi="宋体"/>
          <w:b/>
          <w:sz w:val="28"/>
          <w:szCs w:val="28"/>
          <w:lang w:eastAsia="zh-TW"/>
        </w:rPr>
        <w:t xml:space="preserve"> </w:t>
      </w:r>
      <w:bookmarkEnd w:id="46"/>
      <w:bookmarkEnd w:id="47"/>
      <w:bookmarkEnd w:id="48"/>
      <w:bookmarkStart w:id="50" w:name="_Toc292267791"/>
      <w:r>
        <w:rPr>
          <w:rFonts w:hint="eastAsia" w:ascii="宋体" w:hAnsi="宋体"/>
          <w:b/>
          <w:sz w:val="28"/>
          <w:szCs w:val="28"/>
        </w:rPr>
        <w:t>则</w:t>
      </w:r>
      <w:bookmarkEnd w:id="49"/>
    </w:p>
    <w:bookmarkEnd w:id="50"/>
    <w:p w14:paraId="5DF53371">
      <w:pPr>
        <w:numPr>
          <w:ilvl w:val="0"/>
          <w:numId w:val="44"/>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适用范围</w:t>
      </w:r>
    </w:p>
    <w:p w14:paraId="29BF57C1">
      <w:pPr>
        <w:numPr>
          <w:ilvl w:val="1"/>
          <w:numId w:val="44"/>
        </w:numPr>
        <w:autoSpaceDE w:val="0"/>
        <w:autoSpaceDN w:val="0"/>
        <w:snapToGrid w:val="0"/>
        <w:spacing w:line="360" w:lineRule="auto"/>
        <w:jc w:val="left"/>
        <w:rPr>
          <w:rFonts w:ascii="宋体" w:hAnsi="宋体"/>
          <w:b/>
          <w:bCs/>
          <w:sz w:val="24"/>
        </w:rPr>
      </w:pPr>
      <w:r>
        <w:rPr>
          <w:rFonts w:hint="eastAsia" w:ascii="宋体" w:hAnsi="宋体"/>
          <w:sz w:val="24"/>
        </w:rPr>
        <w:t>本招标文件适用于本</w:t>
      </w:r>
      <w:r>
        <w:rPr>
          <w:rFonts w:hint="eastAsia" w:ascii="宋体" w:hAnsi="宋体"/>
          <w:b/>
          <w:sz w:val="24"/>
        </w:rPr>
        <w:t>投标邀请</w:t>
      </w:r>
      <w:r>
        <w:rPr>
          <w:rFonts w:hint="eastAsia" w:ascii="宋体" w:hAnsi="宋体"/>
          <w:sz w:val="24"/>
        </w:rPr>
        <w:t>中所述项目的采购。</w:t>
      </w:r>
    </w:p>
    <w:p w14:paraId="0441137C">
      <w:pPr>
        <w:numPr>
          <w:ilvl w:val="0"/>
          <w:numId w:val="44"/>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定义</w:t>
      </w:r>
    </w:p>
    <w:p w14:paraId="5480FAFC">
      <w:pPr>
        <w:numPr>
          <w:ilvl w:val="1"/>
          <w:numId w:val="44"/>
        </w:numPr>
        <w:autoSpaceDE w:val="0"/>
        <w:autoSpaceDN w:val="0"/>
        <w:snapToGrid w:val="0"/>
        <w:spacing w:line="360" w:lineRule="auto"/>
        <w:rPr>
          <w:rFonts w:ascii="宋体" w:hAnsi="宋体"/>
          <w:sz w:val="24"/>
        </w:rPr>
      </w:pPr>
      <w:r>
        <w:rPr>
          <w:rFonts w:hint="eastAsia" w:ascii="宋体" w:hAnsi="宋体"/>
          <w:sz w:val="24"/>
        </w:rPr>
        <w:t>采购人指各级</w:t>
      </w:r>
      <w:r>
        <w:rPr>
          <w:rFonts w:ascii="宋体" w:hAnsi="宋体"/>
          <w:sz w:val="24"/>
        </w:rPr>
        <w:t>国家机关、事业单位和团体组织</w:t>
      </w:r>
      <w:r>
        <w:rPr>
          <w:rFonts w:hint="eastAsia" w:ascii="宋体" w:hAnsi="宋体"/>
          <w:sz w:val="24"/>
        </w:rPr>
        <w:t>。</w:t>
      </w:r>
      <w:r>
        <w:rPr>
          <w:rFonts w:hint="eastAsia" w:ascii="宋体" w:hAnsi="宋体" w:cs="宋体"/>
          <w:sz w:val="24"/>
          <w:lang w:eastAsia="zh-TW"/>
        </w:rPr>
        <w:t>本招标文件中所述的采购人已拥有一笔</w:t>
      </w:r>
      <w:r>
        <w:rPr>
          <w:rFonts w:hint="eastAsia" w:ascii="宋体" w:hAnsi="宋体" w:cs="宋体"/>
          <w:sz w:val="24"/>
        </w:rPr>
        <w:t>财政性</w:t>
      </w:r>
      <w:r>
        <w:rPr>
          <w:rFonts w:hint="eastAsia" w:ascii="宋体" w:hAnsi="宋体" w:cs="宋体"/>
          <w:sz w:val="24"/>
          <w:lang w:eastAsia="zh-TW"/>
        </w:rPr>
        <w:t>资金</w:t>
      </w:r>
      <w:r>
        <w:rPr>
          <w:rFonts w:hint="eastAsia" w:ascii="宋体" w:hAnsi="宋体" w:cs="宋体"/>
          <w:sz w:val="24"/>
        </w:rPr>
        <w:t>/贷款或资金来源已落实</w:t>
      </w:r>
      <w:r>
        <w:rPr>
          <w:rFonts w:hint="eastAsia" w:ascii="宋体" w:hAnsi="宋体" w:cs="宋体"/>
          <w:sz w:val="24"/>
          <w:lang w:eastAsia="zh-TW"/>
        </w:rPr>
        <w:t>。采购人计划将一部分</w:t>
      </w:r>
      <w:r>
        <w:rPr>
          <w:rFonts w:hint="eastAsia" w:ascii="宋体" w:hAnsi="宋体" w:cs="宋体"/>
          <w:sz w:val="24"/>
        </w:rPr>
        <w:t>或全部</w:t>
      </w:r>
      <w:r>
        <w:rPr>
          <w:rFonts w:hint="eastAsia" w:ascii="宋体" w:hAnsi="宋体" w:cs="宋体"/>
          <w:sz w:val="24"/>
          <w:lang w:eastAsia="zh-TW"/>
        </w:rPr>
        <w:t>资金</w:t>
      </w:r>
      <w:r>
        <w:rPr>
          <w:rFonts w:hint="eastAsia" w:ascii="宋体" w:hAnsi="宋体" w:cs="宋体"/>
          <w:sz w:val="24"/>
        </w:rPr>
        <w:t>/贷款</w:t>
      </w:r>
      <w:r>
        <w:rPr>
          <w:rFonts w:hint="eastAsia" w:ascii="宋体" w:hAnsi="宋体" w:cs="宋体"/>
          <w:sz w:val="24"/>
          <w:lang w:eastAsia="zh-TW"/>
        </w:rPr>
        <w:t>用于支付本次</w:t>
      </w:r>
      <w:r>
        <w:rPr>
          <w:rFonts w:hint="eastAsia" w:ascii="宋体" w:hAnsi="宋体" w:cs="宋体"/>
          <w:sz w:val="24"/>
        </w:rPr>
        <w:t>招标</w:t>
      </w:r>
      <w:r>
        <w:rPr>
          <w:rFonts w:hint="eastAsia" w:ascii="宋体" w:hAnsi="宋体" w:cs="宋体"/>
          <w:sz w:val="24"/>
          <w:lang w:eastAsia="zh-TW"/>
        </w:rPr>
        <w:t>后所签订合同项下的款项</w:t>
      </w:r>
      <w:r>
        <w:rPr>
          <w:rFonts w:hint="eastAsia" w:ascii="宋体" w:hAnsi="宋体" w:cs="宋体"/>
          <w:sz w:val="24"/>
        </w:rPr>
        <w:t>。</w:t>
      </w:r>
    </w:p>
    <w:p w14:paraId="1388A500">
      <w:pPr>
        <w:numPr>
          <w:ilvl w:val="1"/>
          <w:numId w:val="44"/>
        </w:numPr>
        <w:autoSpaceDE w:val="0"/>
        <w:autoSpaceDN w:val="0"/>
        <w:snapToGrid w:val="0"/>
        <w:spacing w:line="360" w:lineRule="auto"/>
        <w:rPr>
          <w:rFonts w:ascii="宋体" w:hAnsi="宋体"/>
          <w:strike/>
          <w:sz w:val="24"/>
        </w:rPr>
      </w:pPr>
      <w:r>
        <w:rPr>
          <w:rFonts w:hint="eastAsia" w:ascii="宋体" w:hAnsi="宋体"/>
          <w:sz w:val="24"/>
        </w:rPr>
        <w:t>采购代理机构指按照规定办理名录登记并通过审核的代理机构，其联系方式见</w:t>
      </w:r>
      <w:r>
        <w:rPr>
          <w:rFonts w:hint="eastAsia" w:hAnsi="宋体"/>
          <w:snapToGrid w:val="0"/>
          <w:sz w:val="24"/>
        </w:rPr>
        <w:t>本</w:t>
      </w:r>
      <w:r>
        <w:rPr>
          <w:rFonts w:hint="eastAsia" w:ascii="宋体" w:hAnsi="宋体"/>
          <w:b/>
          <w:sz w:val="24"/>
        </w:rPr>
        <w:t>投标邀请</w:t>
      </w:r>
      <w:r>
        <w:rPr>
          <w:rFonts w:hint="eastAsia" w:ascii="宋体" w:hAnsi="宋体"/>
          <w:sz w:val="24"/>
        </w:rPr>
        <w:t>的联系事项。</w:t>
      </w:r>
    </w:p>
    <w:p w14:paraId="0F05B90F">
      <w:pPr>
        <w:numPr>
          <w:ilvl w:val="1"/>
          <w:numId w:val="44"/>
        </w:numPr>
        <w:autoSpaceDE w:val="0"/>
        <w:autoSpaceDN w:val="0"/>
        <w:snapToGrid w:val="0"/>
        <w:spacing w:line="360" w:lineRule="auto"/>
        <w:rPr>
          <w:rFonts w:ascii="宋体" w:hAnsi="宋体"/>
          <w:sz w:val="24"/>
        </w:rPr>
      </w:pPr>
      <w:r>
        <w:rPr>
          <w:rFonts w:hint="eastAsia" w:ascii="宋体" w:hAnsi="宋体"/>
          <w:sz w:val="24"/>
        </w:rPr>
        <w:t>供应商是指在中华人民共和国境内注册（登记），向采购人提供货物、工程或者服务的法人、其他组织或者自然人。</w:t>
      </w:r>
    </w:p>
    <w:p w14:paraId="1C4F1A98">
      <w:pPr>
        <w:numPr>
          <w:ilvl w:val="1"/>
          <w:numId w:val="44"/>
        </w:numPr>
        <w:autoSpaceDE w:val="0"/>
        <w:autoSpaceDN w:val="0"/>
        <w:snapToGrid w:val="0"/>
        <w:spacing w:line="360" w:lineRule="auto"/>
        <w:rPr>
          <w:rFonts w:ascii="宋体" w:hAnsi="宋体"/>
          <w:sz w:val="24"/>
        </w:rPr>
      </w:pPr>
      <w:r>
        <w:rPr>
          <w:rFonts w:hint="eastAsia" w:ascii="宋体" w:hAnsi="宋体"/>
          <w:sz w:val="24"/>
        </w:rPr>
        <w:t>投标人是指响应招标、参加投标竞争的法人、其他组织或者自然人。</w:t>
      </w:r>
    </w:p>
    <w:p w14:paraId="4F1C2D3A">
      <w:pPr>
        <w:numPr>
          <w:ilvl w:val="1"/>
          <w:numId w:val="44"/>
        </w:numPr>
        <w:autoSpaceDE w:val="0"/>
        <w:autoSpaceDN w:val="0"/>
        <w:snapToGrid w:val="0"/>
        <w:spacing w:line="360" w:lineRule="auto"/>
        <w:rPr>
          <w:rFonts w:ascii="宋体" w:hAnsi="宋体"/>
          <w:sz w:val="24"/>
        </w:rPr>
      </w:pPr>
      <w:r>
        <w:rPr>
          <w:rFonts w:hint="eastAsia" w:ascii="宋体" w:hAnsi="宋体"/>
          <w:sz w:val="24"/>
        </w:rPr>
        <w:t>中标人是指经法定程序确定并授予合同的投标人。</w:t>
      </w:r>
    </w:p>
    <w:p w14:paraId="17A7BD82">
      <w:pPr>
        <w:numPr>
          <w:ilvl w:val="1"/>
          <w:numId w:val="44"/>
        </w:numPr>
        <w:autoSpaceDE w:val="0"/>
        <w:autoSpaceDN w:val="0"/>
        <w:snapToGrid w:val="0"/>
        <w:spacing w:line="360" w:lineRule="auto"/>
        <w:rPr>
          <w:rFonts w:ascii="宋体" w:hAnsi="宋体"/>
          <w:sz w:val="24"/>
        </w:rPr>
      </w:pPr>
      <w:r>
        <w:rPr>
          <w:rFonts w:ascii="宋体" w:hAnsi="宋体"/>
          <w:kern w:val="2"/>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682FCD1">
      <w:pPr>
        <w:numPr>
          <w:ilvl w:val="0"/>
          <w:numId w:val="44"/>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合格的货物和服务</w:t>
      </w:r>
    </w:p>
    <w:p w14:paraId="3CD8EA6C">
      <w:pPr>
        <w:numPr>
          <w:ilvl w:val="1"/>
          <w:numId w:val="44"/>
        </w:numPr>
        <w:autoSpaceDE w:val="0"/>
        <w:autoSpaceDN w:val="0"/>
        <w:snapToGrid w:val="0"/>
        <w:spacing w:line="360" w:lineRule="auto"/>
        <w:rPr>
          <w:rFonts w:ascii="宋体" w:hAnsi="宋体" w:cs="黑体"/>
          <w:b/>
          <w:bCs/>
          <w:sz w:val="24"/>
        </w:rPr>
      </w:pPr>
      <w:r>
        <w:rPr>
          <w:rFonts w:hint="eastAsia" w:ascii="宋体" w:hAnsi="宋体"/>
          <w:sz w:val="24"/>
        </w:rPr>
        <w:t>货物是指投标人制造或组织符合招标文件要求的货物等。投标的货物必须是其合法生产、合法来源的符合国家有关标准要求的货物，并满足招标文件规定的规格、参数、质量、价格、有效期、售后服务等实质性要求，其中包括但不仅仅限于投标人须承担的与供货有关的辅助服务，如运输、保险、安装、调试、提供技术援助、培训和招标文件规定的投标人应承担的其它义务。</w:t>
      </w:r>
    </w:p>
    <w:p w14:paraId="49E240DA">
      <w:pPr>
        <w:numPr>
          <w:ilvl w:val="1"/>
          <w:numId w:val="44"/>
        </w:numPr>
        <w:autoSpaceDE w:val="0"/>
        <w:autoSpaceDN w:val="0"/>
        <w:snapToGrid w:val="0"/>
        <w:spacing w:line="360" w:lineRule="auto"/>
        <w:rPr>
          <w:rFonts w:ascii="宋体" w:hAnsi="宋体"/>
          <w:sz w:val="24"/>
        </w:rPr>
      </w:pPr>
      <w:r>
        <w:rPr>
          <w:rFonts w:hint="eastAsia" w:ascii="宋体" w:hAnsi="宋体"/>
          <w:sz w:val="24"/>
        </w:rPr>
        <w:t>服务是指除货物和工程以外的其他采购对象，且满足实质性采购需求。</w:t>
      </w:r>
    </w:p>
    <w:p w14:paraId="719DFBAC">
      <w:pPr>
        <w:numPr>
          <w:ilvl w:val="1"/>
          <w:numId w:val="44"/>
        </w:numPr>
        <w:autoSpaceDE w:val="0"/>
        <w:autoSpaceDN w:val="0"/>
        <w:snapToGrid w:val="0"/>
        <w:spacing w:line="360" w:lineRule="auto"/>
        <w:rPr>
          <w:rFonts w:ascii="宋体" w:hAnsi="宋体"/>
          <w:sz w:val="24"/>
        </w:rPr>
      </w:pPr>
      <w:r>
        <w:rPr>
          <w:rFonts w:hint="eastAsia" w:ascii="宋体" w:hAnsi="宋体"/>
          <w:sz w:val="24"/>
        </w:rPr>
        <w:t>政府购买服务是指各级国家机关将属于自身职责范围且适合通过市场化方式提供的服务事项，按照政府采购方式和程序，交由符合条件的服务供应商承担，并根据服务数量和质量等因素向其支付费用的行为。</w:t>
      </w:r>
    </w:p>
    <w:p w14:paraId="370593B0">
      <w:pPr>
        <w:numPr>
          <w:ilvl w:val="1"/>
          <w:numId w:val="44"/>
        </w:numPr>
        <w:autoSpaceDE w:val="0"/>
        <w:autoSpaceDN w:val="0"/>
        <w:snapToGrid w:val="0"/>
        <w:spacing w:line="360" w:lineRule="auto"/>
        <w:rPr>
          <w:rFonts w:ascii="宋体" w:hAnsi="宋体"/>
          <w:sz w:val="24"/>
        </w:rPr>
      </w:pPr>
      <w:r>
        <w:rPr>
          <w:rFonts w:hint="eastAsia" w:ascii="宋体" w:hAnsi="宋体"/>
          <w:sz w:val="24"/>
        </w:rPr>
        <w:t>进口产品是指通过中国海关报关验放进入中国境内且产自关境外的产品</w:t>
      </w:r>
      <w:bookmarkStart w:id="51" w:name="_Toc211763038"/>
      <w:r>
        <w:rPr>
          <w:rFonts w:hint="eastAsia" w:ascii="宋体" w:hAnsi="宋体"/>
          <w:sz w:val="24"/>
        </w:rPr>
        <w:t>。依据《政府采购进口产品管理办法</w:t>
      </w:r>
      <w:bookmarkEnd w:id="51"/>
      <w:r>
        <w:rPr>
          <w:rFonts w:hint="eastAsia" w:ascii="宋体" w:hAnsi="宋体"/>
          <w:sz w:val="24"/>
        </w:rPr>
        <w:t>》优先采购向我国企业转让技术、与我国企业签订消化吸收再创新方案的供应商的进口产品。</w:t>
      </w:r>
    </w:p>
    <w:p w14:paraId="621303BB">
      <w:pPr>
        <w:numPr>
          <w:ilvl w:val="0"/>
          <w:numId w:val="44"/>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投标费用</w:t>
      </w:r>
    </w:p>
    <w:p w14:paraId="4E34306C">
      <w:pPr>
        <w:numPr>
          <w:ilvl w:val="1"/>
          <w:numId w:val="44"/>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投标人应承担所有与准备和参加投标有关的费用。不论投标的结果如何</w:t>
      </w:r>
      <w:r>
        <w:rPr>
          <w:rFonts w:hint="eastAsia" w:ascii="宋体" w:hAnsi="宋体" w:cs="宋体"/>
          <w:sz w:val="24"/>
        </w:rPr>
        <w:t>，本招标文件中所述的</w:t>
      </w:r>
      <w:r>
        <w:rPr>
          <w:rFonts w:hint="eastAsia" w:ascii="宋体" w:hAnsi="宋体" w:cs="宋体"/>
          <w:sz w:val="24"/>
          <w:lang w:eastAsia="zh-TW"/>
        </w:rPr>
        <w:t>采购人或者采购代理机构均无义务和责任承担这些费用</w:t>
      </w:r>
      <w:r>
        <w:rPr>
          <w:rFonts w:hint="eastAsia" w:ascii="宋体" w:hAnsi="宋体" w:cs="宋体"/>
          <w:sz w:val="24"/>
        </w:rPr>
        <w:t>。</w:t>
      </w:r>
    </w:p>
    <w:p w14:paraId="5FBA56D8">
      <w:pPr>
        <w:numPr>
          <w:ilvl w:val="0"/>
          <w:numId w:val="44"/>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其他</w:t>
      </w:r>
    </w:p>
    <w:p w14:paraId="76D53948">
      <w:pPr>
        <w:numPr>
          <w:ilvl w:val="1"/>
          <w:numId w:val="44"/>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所有时间均为24小时制北京时间，所有货币单位均为人民币元，所使用的计量单位均以《中华人民共和国法定计量单位》为准（特别注明除外）</w:t>
      </w:r>
      <w:r>
        <w:rPr>
          <w:rFonts w:hint="eastAsia" w:ascii="宋体" w:hAnsi="宋体" w:cs="宋体"/>
          <w:sz w:val="24"/>
        </w:rPr>
        <w:t>。</w:t>
      </w:r>
    </w:p>
    <w:p w14:paraId="35002DE6">
      <w:pPr>
        <w:numPr>
          <w:ilvl w:val="1"/>
          <w:numId w:val="44"/>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“提交投标文件截止时间”和“开标时间”</w:t>
      </w:r>
      <w:r>
        <w:rPr>
          <w:rFonts w:hint="eastAsia" w:ascii="宋体" w:hAnsi="宋体" w:cs="宋体"/>
          <w:b/>
          <w:bCs/>
          <w:sz w:val="24"/>
        </w:rPr>
        <w:t>不</w:t>
      </w:r>
      <w:r>
        <w:rPr>
          <w:rFonts w:hint="eastAsia" w:ascii="宋体" w:hAnsi="宋体" w:cs="宋体"/>
          <w:sz w:val="24"/>
          <w:lang w:eastAsia="zh-TW"/>
        </w:rPr>
        <w:t>包含最后一分钟。例如，提交投标文件截止时间为9:30表示截止时间为9点30分</w:t>
      </w:r>
      <w:r>
        <w:rPr>
          <w:rFonts w:ascii="宋体" w:hAnsi="宋体" w:cs="宋体"/>
          <w:sz w:val="24"/>
          <w:lang w:eastAsia="zh-TW"/>
        </w:rPr>
        <w:t>00</w:t>
      </w:r>
      <w:r>
        <w:rPr>
          <w:rFonts w:hint="eastAsia" w:ascii="宋体" w:hAnsi="宋体" w:cs="宋体"/>
          <w:sz w:val="24"/>
          <w:lang w:eastAsia="zh-TW"/>
        </w:rPr>
        <w:t>秒。</w:t>
      </w:r>
    </w:p>
    <w:p w14:paraId="1BC3E466">
      <w:pPr>
        <w:numPr>
          <w:ilvl w:val="1"/>
          <w:numId w:val="44"/>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供应商（投标人）向</w:t>
      </w:r>
      <w:r>
        <w:rPr>
          <w:rFonts w:hint="eastAsia" w:ascii="宋体" w:hAnsi="宋体" w:cs="宋体"/>
          <w:sz w:val="24"/>
        </w:rPr>
        <w:t>本招标文件中所述的</w:t>
      </w:r>
      <w:r>
        <w:rPr>
          <w:rFonts w:hint="eastAsia" w:ascii="宋体" w:hAnsi="宋体" w:cs="宋体"/>
          <w:sz w:val="24"/>
          <w:lang w:eastAsia="zh-TW"/>
        </w:rPr>
        <w:t>采购代理机构咨询的有关</w:t>
      </w:r>
      <w:r>
        <w:rPr>
          <w:rFonts w:hint="eastAsia" w:ascii="宋体" w:hAnsi="宋体" w:cs="宋体"/>
          <w:sz w:val="24"/>
        </w:rPr>
        <w:t>本招标</w:t>
      </w:r>
      <w:r>
        <w:rPr>
          <w:rFonts w:hint="eastAsia" w:ascii="宋体" w:hAnsi="宋体" w:cs="宋体"/>
          <w:sz w:val="24"/>
          <w:lang w:eastAsia="zh-TW"/>
        </w:rPr>
        <w:t>项目事项，一切以法律法规的规定和本公司书面</w:t>
      </w:r>
      <w:r>
        <w:rPr>
          <w:rFonts w:hint="eastAsia" w:ascii="宋体" w:hAnsi="宋体" w:cs="宋体"/>
          <w:sz w:val="24"/>
        </w:rPr>
        <w:t>答复</w:t>
      </w:r>
      <w:r>
        <w:rPr>
          <w:rFonts w:hint="eastAsia" w:ascii="宋体" w:hAnsi="宋体" w:cs="宋体"/>
          <w:sz w:val="24"/>
          <w:lang w:eastAsia="zh-TW"/>
        </w:rPr>
        <w:t>为准，其他一切形式均为个人意见，不代表本公司的意见。</w:t>
      </w:r>
    </w:p>
    <w:p w14:paraId="579AFD29">
      <w:pPr>
        <w:numPr>
          <w:ilvl w:val="0"/>
          <w:numId w:val="43"/>
        </w:numPr>
        <w:tabs>
          <w:tab w:val="left" w:pos="4395"/>
        </w:tabs>
        <w:autoSpaceDE w:val="0"/>
        <w:autoSpaceDN w:val="0"/>
        <w:snapToGrid w:val="0"/>
        <w:spacing w:line="360" w:lineRule="auto"/>
        <w:ind w:left="708" w:hanging="708" w:hangingChars="252"/>
        <w:jc w:val="center"/>
        <w:outlineLvl w:val="2"/>
        <w:rPr>
          <w:rFonts w:ascii="宋体" w:hAnsi="宋体"/>
          <w:b/>
          <w:sz w:val="28"/>
          <w:szCs w:val="28"/>
          <w:lang w:eastAsia="zh-TW"/>
        </w:rPr>
      </w:pPr>
      <w:bookmarkStart w:id="52" w:name="_Toc435174934"/>
      <w:bookmarkStart w:id="53" w:name="_Toc435516651"/>
      <w:bookmarkStart w:id="54" w:name="_Toc1623"/>
      <w:bookmarkStart w:id="55" w:name="_Toc438223137"/>
      <w:r>
        <w:rPr>
          <w:rFonts w:hint="eastAsia" w:ascii="宋体" w:hAnsi="宋体"/>
          <w:b/>
          <w:sz w:val="28"/>
          <w:szCs w:val="28"/>
          <w:lang w:eastAsia="zh-TW"/>
        </w:rPr>
        <w:t>招标文件</w:t>
      </w:r>
      <w:bookmarkEnd w:id="52"/>
      <w:bookmarkEnd w:id="53"/>
      <w:bookmarkEnd w:id="54"/>
      <w:bookmarkEnd w:id="55"/>
    </w:p>
    <w:p w14:paraId="0CF39545">
      <w:pPr>
        <w:numPr>
          <w:ilvl w:val="0"/>
          <w:numId w:val="45"/>
        </w:numPr>
        <w:autoSpaceDE w:val="0"/>
        <w:autoSpaceDN w:val="0"/>
        <w:snapToGrid w:val="0"/>
        <w:spacing w:line="360" w:lineRule="auto"/>
        <w:outlineLvl w:val="3"/>
        <w:rPr>
          <w:rFonts w:ascii="宋体" w:hAnsi="宋体"/>
          <w:b/>
          <w:bCs/>
          <w:sz w:val="24"/>
        </w:rPr>
      </w:pPr>
      <w:r>
        <w:rPr>
          <w:rFonts w:hint="eastAsia" w:ascii="宋体" w:hAnsi="宋体"/>
          <w:b/>
          <w:bCs/>
          <w:sz w:val="24"/>
        </w:rPr>
        <w:t>招标文件的编制依据与构成</w:t>
      </w:r>
    </w:p>
    <w:p w14:paraId="6ECA45E4">
      <w:pPr>
        <w:numPr>
          <w:ilvl w:val="1"/>
          <w:numId w:val="45"/>
        </w:numPr>
        <w:autoSpaceDE w:val="0"/>
        <w:autoSpaceDN w:val="0"/>
        <w:snapToGrid w:val="0"/>
        <w:spacing w:line="360" w:lineRule="auto"/>
        <w:rPr>
          <w:rFonts w:ascii="宋体" w:hAnsi="宋体"/>
          <w:sz w:val="24"/>
        </w:rPr>
      </w:pPr>
      <w:r>
        <w:rPr>
          <w:rFonts w:hint="eastAsia" w:ascii="宋体" w:hAnsi="宋体"/>
          <w:sz w:val="24"/>
        </w:rPr>
        <w:t>本招标文件的编制参照《中华人民共和国政府采购法》</w:t>
      </w:r>
      <w:r>
        <w:rPr>
          <w:rFonts w:hint="eastAsia"/>
        </w:rPr>
        <w:t>《</w:t>
      </w:r>
      <w:r>
        <w:rPr>
          <w:rFonts w:hint="eastAsia" w:ascii="宋体" w:hAnsi="宋体"/>
          <w:sz w:val="24"/>
        </w:rPr>
        <w:t>中华人民共和国政府采购法实施条例</w:t>
      </w:r>
      <w:r>
        <w:rPr>
          <w:rFonts w:hint="eastAsia"/>
        </w:rPr>
        <w:t>》</w:t>
      </w:r>
      <w:r>
        <w:rPr>
          <w:rFonts w:hint="eastAsia" w:ascii="宋体" w:hAnsi="宋体"/>
          <w:sz w:val="24"/>
        </w:rPr>
        <w:t>《政府采购货物和服务招标投标管理办法》《</w:t>
      </w:r>
      <w:r>
        <w:rPr>
          <w:rFonts w:ascii="宋体" w:hAnsi="宋体"/>
          <w:sz w:val="24"/>
        </w:rPr>
        <w:t>政府购买服务管理办法</w:t>
      </w:r>
      <w:r>
        <w:rPr>
          <w:rFonts w:hint="eastAsia" w:ascii="宋体" w:hAnsi="宋体"/>
          <w:sz w:val="24"/>
        </w:rPr>
        <w:t>》及其配套的法规、规章、政策等。</w:t>
      </w:r>
    </w:p>
    <w:p w14:paraId="59298FEC">
      <w:pPr>
        <w:numPr>
          <w:ilvl w:val="1"/>
          <w:numId w:val="45"/>
        </w:numPr>
        <w:autoSpaceDE w:val="0"/>
        <w:autoSpaceDN w:val="0"/>
        <w:snapToGrid w:val="0"/>
        <w:spacing w:line="360" w:lineRule="auto"/>
        <w:rPr>
          <w:rFonts w:ascii="宋体" w:hAnsi="宋体"/>
          <w:sz w:val="24"/>
        </w:rPr>
      </w:pPr>
      <w:r>
        <w:rPr>
          <w:rFonts w:hint="eastAsia" w:ascii="宋体" w:hAnsi="宋体" w:cs="宋体"/>
          <w:sz w:val="24"/>
          <w:lang w:eastAsia="zh-TW"/>
        </w:rPr>
        <w:t>招标文件以中文文字编写。招标文件共</w:t>
      </w:r>
      <w:r>
        <w:rPr>
          <w:rFonts w:hint="eastAsia" w:ascii="宋体" w:hAnsi="宋体" w:cs="宋体"/>
          <w:sz w:val="24"/>
        </w:rPr>
        <w:t>六</w:t>
      </w:r>
      <w:r>
        <w:rPr>
          <w:rFonts w:hint="eastAsia" w:ascii="宋体" w:hAnsi="宋体" w:cs="宋体"/>
          <w:sz w:val="24"/>
          <w:lang w:eastAsia="zh-TW"/>
        </w:rPr>
        <w:t>章。</w:t>
      </w:r>
      <w:r>
        <w:rPr>
          <w:rFonts w:hint="eastAsia" w:ascii="宋体" w:hAnsi="宋体" w:cs="宋体"/>
          <w:sz w:val="24"/>
        </w:rPr>
        <w:t>由下列文件以及在招标过程中发出的招标答疑和澄清或修改文件组成，</w:t>
      </w:r>
      <w:r>
        <w:rPr>
          <w:rFonts w:hint="eastAsia" w:ascii="宋体" w:hAnsi="宋体" w:cs="宋体"/>
          <w:sz w:val="24"/>
          <w:lang w:eastAsia="zh-TW"/>
        </w:rPr>
        <w:t>内容如下</w:t>
      </w:r>
      <w:r>
        <w:rPr>
          <w:rFonts w:hint="eastAsia" w:ascii="宋体" w:hAnsi="宋体" w:cs="宋体"/>
          <w:sz w:val="24"/>
        </w:rPr>
        <w:t>：</w:t>
      </w:r>
    </w:p>
    <w:p w14:paraId="29A3FF55">
      <w:pPr>
        <w:snapToGrid w:val="0"/>
        <w:spacing w:line="360" w:lineRule="auto"/>
        <w:ind w:left="424" w:leftChars="212" w:firstLine="1"/>
        <w:rPr>
          <w:rFonts w:ascii="宋体" w:hAnsi="宋体"/>
          <w:b/>
          <w:sz w:val="24"/>
        </w:rPr>
      </w:pPr>
      <w:r>
        <w:rPr>
          <w:rFonts w:hint="eastAsia" w:ascii="宋体" w:hAnsi="宋体" w:cs="宋体"/>
          <w:b/>
          <w:sz w:val="24"/>
          <w:lang w:eastAsia="zh-TW"/>
        </w:rPr>
        <w:t>第一章</w:t>
      </w:r>
      <w:r>
        <w:rPr>
          <w:rFonts w:hint="eastAsia" w:ascii="宋体" w:hAnsi="宋体" w:cs="宋体"/>
          <w:b/>
          <w:sz w:val="24"/>
        </w:rPr>
        <w:t>　</w:t>
      </w:r>
      <w:r>
        <w:rPr>
          <w:rFonts w:hint="eastAsia" w:ascii="宋体" w:hAnsi="宋体" w:cs="宋体"/>
          <w:b/>
          <w:sz w:val="24"/>
          <w:lang w:eastAsia="zh-TW"/>
        </w:rPr>
        <w:t>投标邀请</w:t>
      </w:r>
    </w:p>
    <w:p w14:paraId="2564154C">
      <w:pPr>
        <w:snapToGrid w:val="0"/>
        <w:spacing w:line="360" w:lineRule="auto"/>
        <w:ind w:left="424" w:leftChars="212" w:firstLine="1"/>
        <w:rPr>
          <w:rFonts w:ascii="宋体" w:hAnsi="宋体"/>
          <w:b/>
          <w:sz w:val="24"/>
        </w:rPr>
      </w:pPr>
      <w:r>
        <w:rPr>
          <w:rFonts w:hint="eastAsia" w:ascii="宋体" w:hAnsi="宋体" w:cs="宋体"/>
          <w:b/>
          <w:sz w:val="24"/>
          <w:lang w:eastAsia="zh-TW"/>
        </w:rPr>
        <w:t>第二章</w:t>
      </w:r>
      <w:r>
        <w:rPr>
          <w:rFonts w:hint="eastAsia" w:ascii="宋体" w:hAnsi="宋体" w:cs="宋体"/>
          <w:b/>
          <w:sz w:val="24"/>
        </w:rPr>
        <w:t>　采购需求</w:t>
      </w:r>
    </w:p>
    <w:p w14:paraId="143E7C0B">
      <w:pPr>
        <w:tabs>
          <w:tab w:val="left" w:pos="3915"/>
        </w:tabs>
        <w:snapToGrid w:val="0"/>
        <w:spacing w:line="360" w:lineRule="auto"/>
        <w:ind w:left="424" w:leftChars="212" w:firstLine="1"/>
        <w:rPr>
          <w:rFonts w:ascii="宋体" w:hAnsi="宋体" w:cs="宋体"/>
          <w:b/>
          <w:sz w:val="24"/>
        </w:rPr>
      </w:pPr>
      <w:r>
        <w:rPr>
          <w:rFonts w:hint="eastAsia" w:ascii="宋体" w:hAnsi="宋体" w:cs="宋体"/>
          <w:b/>
          <w:sz w:val="24"/>
        </w:rPr>
        <w:t>第三章　评标方法和标准</w:t>
      </w:r>
    </w:p>
    <w:p w14:paraId="3AAB8FD4">
      <w:pPr>
        <w:snapToGrid w:val="0"/>
        <w:spacing w:line="360" w:lineRule="auto"/>
        <w:ind w:left="424" w:leftChars="212" w:firstLine="1"/>
        <w:rPr>
          <w:rFonts w:ascii="宋体" w:hAnsi="宋体"/>
          <w:b/>
          <w:sz w:val="24"/>
        </w:rPr>
      </w:pPr>
      <w:r>
        <w:rPr>
          <w:rFonts w:hint="eastAsia" w:ascii="宋体" w:hAnsi="宋体" w:cs="宋体"/>
          <w:b/>
          <w:sz w:val="24"/>
          <w:lang w:eastAsia="zh-TW"/>
        </w:rPr>
        <w:t>第</w:t>
      </w:r>
      <w:r>
        <w:rPr>
          <w:rFonts w:hint="eastAsia" w:ascii="宋体" w:hAnsi="宋体" w:cs="宋体"/>
          <w:b/>
          <w:sz w:val="24"/>
        </w:rPr>
        <w:t>四</w:t>
      </w:r>
      <w:r>
        <w:rPr>
          <w:rFonts w:hint="eastAsia" w:ascii="宋体" w:hAnsi="宋体" w:cs="宋体"/>
          <w:b/>
          <w:sz w:val="24"/>
          <w:lang w:eastAsia="zh-TW"/>
        </w:rPr>
        <w:t>章</w:t>
      </w:r>
      <w:r>
        <w:rPr>
          <w:rFonts w:hint="eastAsia" w:ascii="宋体" w:hAnsi="宋体" w:cs="宋体"/>
          <w:b/>
          <w:sz w:val="24"/>
        </w:rPr>
        <w:t>　</w:t>
      </w:r>
      <w:r>
        <w:rPr>
          <w:rFonts w:hint="eastAsia" w:ascii="宋体" w:hAnsi="宋体" w:cs="宋体"/>
          <w:b/>
          <w:sz w:val="24"/>
          <w:lang w:eastAsia="zh-TW"/>
        </w:rPr>
        <w:t>投标人须知</w:t>
      </w:r>
    </w:p>
    <w:p w14:paraId="60C74028">
      <w:pPr>
        <w:snapToGrid w:val="0"/>
        <w:spacing w:line="360" w:lineRule="auto"/>
        <w:ind w:left="424" w:leftChars="212" w:firstLine="1"/>
        <w:rPr>
          <w:rFonts w:ascii="宋体" w:hAnsi="宋体"/>
          <w:b/>
          <w:sz w:val="24"/>
        </w:rPr>
      </w:pPr>
      <w:r>
        <w:rPr>
          <w:rFonts w:hint="eastAsia" w:ascii="宋体" w:hAnsi="宋体" w:cs="宋体"/>
          <w:b/>
          <w:sz w:val="24"/>
          <w:lang w:eastAsia="zh-TW"/>
        </w:rPr>
        <w:t>第</w:t>
      </w:r>
      <w:r>
        <w:rPr>
          <w:rFonts w:hint="eastAsia" w:ascii="宋体" w:hAnsi="宋体" w:cs="宋体"/>
          <w:b/>
          <w:sz w:val="24"/>
        </w:rPr>
        <w:t>五</w:t>
      </w:r>
      <w:r>
        <w:rPr>
          <w:rFonts w:hint="eastAsia" w:ascii="宋体" w:hAnsi="宋体" w:cs="宋体"/>
          <w:b/>
          <w:sz w:val="24"/>
          <w:lang w:eastAsia="zh-TW"/>
        </w:rPr>
        <w:t>章</w:t>
      </w:r>
      <w:r>
        <w:rPr>
          <w:rFonts w:hint="eastAsia" w:ascii="宋体" w:hAnsi="宋体" w:cs="宋体"/>
          <w:b/>
          <w:sz w:val="24"/>
        </w:rPr>
        <w:t>　</w:t>
      </w:r>
      <w:r>
        <w:rPr>
          <w:rFonts w:hint="eastAsia" w:ascii="宋体" w:hAnsi="宋体" w:cs="宋体"/>
          <w:b/>
          <w:sz w:val="24"/>
          <w:lang w:eastAsia="zh-TW"/>
        </w:rPr>
        <w:t>合同</w:t>
      </w:r>
      <w:r>
        <w:rPr>
          <w:rFonts w:hint="eastAsia" w:ascii="宋体" w:hAnsi="宋体" w:cs="宋体"/>
          <w:b/>
          <w:sz w:val="24"/>
        </w:rPr>
        <w:t>格式条款</w:t>
      </w:r>
    </w:p>
    <w:p w14:paraId="61568896">
      <w:pPr>
        <w:snapToGrid w:val="0"/>
        <w:spacing w:line="360" w:lineRule="auto"/>
        <w:ind w:left="424" w:leftChars="212" w:firstLine="1"/>
        <w:rPr>
          <w:rFonts w:ascii="宋体" w:hAnsi="宋体" w:cs="宋体"/>
          <w:b/>
          <w:sz w:val="24"/>
        </w:rPr>
      </w:pPr>
      <w:r>
        <w:rPr>
          <w:rFonts w:hint="eastAsia" w:ascii="宋体" w:hAnsi="宋体" w:cs="宋体"/>
          <w:b/>
          <w:sz w:val="24"/>
          <w:lang w:eastAsia="zh-TW"/>
        </w:rPr>
        <w:t>第</w:t>
      </w:r>
      <w:r>
        <w:rPr>
          <w:rFonts w:hint="eastAsia" w:ascii="宋体" w:hAnsi="宋体" w:cs="宋体"/>
          <w:b/>
          <w:sz w:val="24"/>
        </w:rPr>
        <w:t>六</w:t>
      </w:r>
      <w:r>
        <w:rPr>
          <w:rFonts w:hint="eastAsia" w:ascii="宋体" w:hAnsi="宋体" w:cs="宋体"/>
          <w:b/>
          <w:sz w:val="24"/>
          <w:lang w:eastAsia="zh-TW"/>
        </w:rPr>
        <w:t>章</w:t>
      </w:r>
      <w:r>
        <w:rPr>
          <w:rFonts w:hint="eastAsia" w:ascii="宋体" w:hAnsi="宋体" w:cs="宋体"/>
          <w:b/>
          <w:sz w:val="24"/>
        </w:rPr>
        <w:t>　投标文件格式</w:t>
      </w:r>
    </w:p>
    <w:p w14:paraId="1B54F92B">
      <w:pPr>
        <w:numPr>
          <w:ilvl w:val="1"/>
          <w:numId w:val="45"/>
        </w:numPr>
        <w:autoSpaceDE w:val="0"/>
        <w:autoSpaceDN w:val="0"/>
        <w:snapToGrid w:val="0"/>
        <w:spacing w:line="360" w:lineRule="auto"/>
        <w:jc w:val="left"/>
        <w:rPr>
          <w:rFonts w:ascii="宋体" w:hAnsi="宋体" w:cs="宋体"/>
          <w:sz w:val="24"/>
          <w:lang w:eastAsia="zh-TW"/>
        </w:rPr>
      </w:pPr>
      <w:r>
        <w:rPr>
          <w:rFonts w:hint="eastAsia" w:ascii="宋体" w:hAnsi="宋体" w:cs="宋体"/>
          <w:sz w:val="24"/>
        </w:rPr>
        <w:t>本</w:t>
      </w:r>
      <w:r>
        <w:rPr>
          <w:rFonts w:hint="eastAsia" w:ascii="宋体" w:hAnsi="宋体" w:cs="宋体"/>
          <w:sz w:val="24"/>
          <w:lang w:eastAsia="zh-TW"/>
        </w:rPr>
        <w:t>招标文件的解释权归</w:t>
      </w:r>
      <w:r>
        <w:rPr>
          <w:rFonts w:hint="eastAsia" w:ascii="宋体" w:hAnsi="宋体" w:cs="宋体"/>
          <w:sz w:val="24"/>
        </w:rPr>
        <w:t>本招标文件中所述的</w:t>
      </w:r>
      <w:r>
        <w:rPr>
          <w:rFonts w:hint="eastAsia" w:ascii="宋体" w:hAnsi="宋体" w:cs="宋体"/>
          <w:sz w:val="24"/>
          <w:lang w:eastAsia="zh-TW"/>
        </w:rPr>
        <w:t>采购人</w:t>
      </w:r>
      <w:r>
        <w:rPr>
          <w:rFonts w:hint="eastAsia" w:ascii="宋体" w:hAnsi="宋体" w:cs="宋体"/>
          <w:sz w:val="24"/>
        </w:rPr>
        <w:t>、</w:t>
      </w:r>
      <w:r>
        <w:rPr>
          <w:rFonts w:hint="eastAsia" w:ascii="宋体" w:hAnsi="宋体" w:cs="宋体"/>
          <w:sz w:val="24"/>
          <w:lang w:eastAsia="zh-TW"/>
        </w:rPr>
        <w:t>采购代理机构所有。</w:t>
      </w:r>
    </w:p>
    <w:p w14:paraId="734BFC18">
      <w:pPr>
        <w:numPr>
          <w:ilvl w:val="0"/>
          <w:numId w:val="45"/>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招标文件的澄清或修改</w:t>
      </w:r>
    </w:p>
    <w:p w14:paraId="40D4901A">
      <w:pPr>
        <w:numPr>
          <w:ilvl w:val="1"/>
          <w:numId w:val="45"/>
        </w:numPr>
        <w:autoSpaceDE w:val="0"/>
        <w:autoSpaceDN w:val="0"/>
        <w:snapToGrid w:val="0"/>
        <w:spacing w:line="360" w:lineRule="auto"/>
        <w:rPr>
          <w:rFonts w:ascii="宋体" w:hAnsi="宋体" w:cs="宋体"/>
          <w:sz w:val="24"/>
        </w:rPr>
      </w:pPr>
      <w:r>
        <w:rPr>
          <w:rFonts w:hint="eastAsia" w:ascii="宋体" w:hAnsi="宋体" w:cs="宋体"/>
          <w:sz w:val="24"/>
          <w:lang w:eastAsia="zh-TW"/>
        </w:rPr>
        <w:t>采购人或者采购代理机构可以对已发出的招标文件进行必要的澄清或修改。</w:t>
      </w:r>
      <w:r>
        <w:rPr>
          <w:rFonts w:hint="eastAsia" w:ascii="宋体" w:hAnsi="宋体"/>
          <w:sz w:val="24"/>
        </w:rPr>
        <w:t>招标文件的澄清或修改均以</w:t>
      </w:r>
      <w:r>
        <w:rPr>
          <w:rFonts w:hint="eastAsia" w:ascii="宋体" w:hAnsi="宋体" w:cs="宋体"/>
          <w:sz w:val="24"/>
        </w:rPr>
        <w:t>书面形式明确的内容为准。当招标文件的澄清、修改、补充等在同一内容的表述不一致时，以最后发出的书面形式的文件为准。</w:t>
      </w:r>
    </w:p>
    <w:p w14:paraId="1DDE9FE8">
      <w:pPr>
        <w:numPr>
          <w:ilvl w:val="1"/>
          <w:numId w:val="45"/>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1C865FA">
      <w:pPr>
        <w:numPr>
          <w:ilvl w:val="1"/>
          <w:numId w:val="45"/>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采购人或者采购代理机构</w:t>
      </w:r>
      <w:r>
        <w:rPr>
          <w:rFonts w:hint="eastAsia" w:ascii="宋体" w:hAnsi="宋体" w:cs="宋体"/>
          <w:sz w:val="24"/>
        </w:rPr>
        <w:t>将</w:t>
      </w:r>
      <w:r>
        <w:rPr>
          <w:rFonts w:hint="eastAsia" w:ascii="宋体" w:hAnsi="宋体" w:cs="宋体"/>
          <w:sz w:val="24"/>
          <w:lang w:eastAsia="zh-TW"/>
        </w:rPr>
        <w:t>澄清</w:t>
      </w:r>
      <w:r>
        <w:rPr>
          <w:rFonts w:hint="eastAsia" w:ascii="宋体" w:hAnsi="宋体"/>
          <w:sz w:val="24"/>
        </w:rPr>
        <w:t>（更正/变更）</w:t>
      </w:r>
      <w:r>
        <w:rPr>
          <w:rFonts w:hint="eastAsia" w:ascii="宋体" w:hAnsi="宋体" w:cs="宋体"/>
          <w:sz w:val="24"/>
          <w:lang w:eastAsia="zh-TW"/>
        </w:rPr>
        <w:t>公告</w:t>
      </w:r>
      <w:r>
        <w:rPr>
          <w:rFonts w:hint="eastAsia" w:ascii="宋体" w:hAnsi="宋体"/>
          <w:sz w:val="24"/>
        </w:rPr>
        <w:t>通知</w:t>
      </w:r>
      <w:r>
        <w:rPr>
          <w:rFonts w:hint="eastAsia"/>
          <w:bCs/>
          <w:sz w:val="24"/>
        </w:rPr>
        <w:t>成功获取招标文件</w:t>
      </w:r>
      <w:r>
        <w:rPr>
          <w:rFonts w:hint="eastAsia" w:ascii="宋体" w:hAnsi="宋体"/>
          <w:sz w:val="24"/>
        </w:rPr>
        <w:t>的供应商，供应商在收到澄清或修改（更正/变更）通知后，应按要求以书面形式向采购人或者采购代理机构确认。</w:t>
      </w:r>
      <w:r>
        <w:rPr>
          <w:rFonts w:hint="eastAsia" w:ascii="宋体" w:hAnsi="宋体" w:cs="宋体"/>
          <w:sz w:val="24"/>
          <w:lang w:eastAsia="zh-TW"/>
        </w:rPr>
        <w:t>如在24小时之内无书面</w:t>
      </w:r>
      <w:r>
        <w:rPr>
          <w:rFonts w:hint="eastAsia" w:ascii="宋体" w:hAnsi="宋体"/>
          <w:sz w:val="24"/>
        </w:rPr>
        <w:t>确认</w:t>
      </w:r>
      <w:r>
        <w:rPr>
          <w:rFonts w:hint="eastAsia" w:ascii="宋体" w:hAnsi="宋体" w:cs="宋体"/>
          <w:sz w:val="24"/>
          <w:lang w:eastAsia="zh-TW"/>
        </w:rPr>
        <w:t>则视为已收悉，并有责任履行相应的义务。</w:t>
      </w:r>
    </w:p>
    <w:p w14:paraId="4C699F6B">
      <w:pPr>
        <w:numPr>
          <w:ilvl w:val="1"/>
          <w:numId w:val="45"/>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采购人或者采购代理机构</w:t>
      </w:r>
      <w:r>
        <w:rPr>
          <w:rFonts w:hint="eastAsia" w:ascii="宋体" w:hAnsi="宋体" w:cs="宋体"/>
          <w:sz w:val="24"/>
        </w:rPr>
        <w:t>发出的</w:t>
      </w:r>
      <w:r>
        <w:rPr>
          <w:rFonts w:hint="eastAsia" w:ascii="宋体" w:hAnsi="宋体"/>
          <w:sz w:val="24"/>
        </w:rPr>
        <w:t>澄清或修改（更正/变更）的内容为招标文件的组成部分，</w:t>
      </w:r>
      <w:r>
        <w:rPr>
          <w:rFonts w:hint="eastAsia" w:ascii="宋体" w:hAnsi="宋体" w:cs="宋体"/>
          <w:sz w:val="24"/>
          <w:lang w:eastAsia="zh-TW"/>
        </w:rPr>
        <w:t>并对供应商具有约束力</w:t>
      </w:r>
      <w:r>
        <w:rPr>
          <w:rFonts w:hint="eastAsia" w:ascii="宋体" w:hAnsi="宋体" w:cs="宋体"/>
          <w:sz w:val="24"/>
        </w:rPr>
        <w:t>。</w:t>
      </w:r>
    </w:p>
    <w:p w14:paraId="2754950C">
      <w:pPr>
        <w:numPr>
          <w:ilvl w:val="0"/>
          <w:numId w:val="45"/>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现场考察或者召开开标前答疑会</w:t>
      </w:r>
    </w:p>
    <w:p w14:paraId="4A7093B7">
      <w:pPr>
        <w:numPr>
          <w:ilvl w:val="1"/>
          <w:numId w:val="45"/>
        </w:numPr>
        <w:tabs>
          <w:tab w:val="left" w:pos="851"/>
        </w:tabs>
        <w:autoSpaceDE w:val="0"/>
        <w:autoSpaceDN w:val="0"/>
        <w:snapToGrid w:val="0"/>
        <w:spacing w:line="360" w:lineRule="auto"/>
        <w:rPr>
          <w:rFonts w:ascii="宋体" w:hAnsi="宋体" w:cs="宋体"/>
          <w:sz w:val="24"/>
        </w:rPr>
      </w:pPr>
      <w:r>
        <w:rPr>
          <w:rFonts w:hint="eastAsia" w:ascii="宋体" w:hAnsi="宋体" w:cs="宋体"/>
          <w:sz w:val="24"/>
        </w:rPr>
        <w:t>除非</w:t>
      </w:r>
      <w:r>
        <w:rPr>
          <w:rFonts w:hint="eastAsia" w:ascii="宋体" w:hAnsi="宋体" w:cs="黑体"/>
          <w:b/>
          <w:sz w:val="24"/>
        </w:rPr>
        <w:t>投标人须知前附表</w:t>
      </w:r>
      <w:r>
        <w:rPr>
          <w:rFonts w:hint="eastAsia" w:ascii="宋体" w:hAnsi="宋体" w:cs="宋体"/>
          <w:sz w:val="24"/>
        </w:rPr>
        <w:t>中另有规定，否则不举行项目</w:t>
      </w:r>
      <w:r>
        <w:rPr>
          <w:rFonts w:hint="eastAsia" w:ascii="宋体" w:hAnsi="宋体"/>
          <w:bCs/>
          <w:sz w:val="24"/>
        </w:rPr>
        <w:t>现场考察或者召开开标前答疑会</w:t>
      </w:r>
      <w:r>
        <w:rPr>
          <w:rFonts w:hint="eastAsia" w:ascii="宋体" w:hAnsi="宋体" w:cs="宋体"/>
          <w:sz w:val="24"/>
        </w:rPr>
        <w:t>，如举行</w:t>
      </w:r>
      <w:r>
        <w:rPr>
          <w:rFonts w:hint="eastAsia" w:ascii="宋体" w:hAnsi="宋体"/>
          <w:bCs/>
          <w:sz w:val="24"/>
        </w:rPr>
        <w:t>现场考察或者召开开标前答疑会</w:t>
      </w:r>
      <w:r>
        <w:rPr>
          <w:rFonts w:hint="eastAsia" w:ascii="宋体" w:hAnsi="宋体" w:cs="宋体"/>
          <w:sz w:val="24"/>
        </w:rPr>
        <w:t>的，则按以下规定：</w:t>
      </w:r>
    </w:p>
    <w:p w14:paraId="3A6016B2">
      <w:pPr>
        <w:numPr>
          <w:ilvl w:val="2"/>
          <w:numId w:val="45"/>
        </w:numPr>
        <w:tabs>
          <w:tab w:val="left" w:pos="851"/>
        </w:tabs>
        <w:autoSpaceDE w:val="0"/>
        <w:autoSpaceDN w:val="0"/>
        <w:snapToGrid w:val="0"/>
        <w:spacing w:line="360" w:lineRule="auto"/>
        <w:rPr>
          <w:rFonts w:ascii="宋体" w:hAnsi="宋体" w:cs="宋体"/>
          <w:sz w:val="24"/>
        </w:rPr>
      </w:pPr>
      <w:r>
        <w:rPr>
          <w:rFonts w:hint="eastAsia" w:ascii="宋体" w:hAnsi="宋体" w:cs="宋体"/>
          <w:sz w:val="24"/>
          <w:lang w:eastAsia="zh-TW"/>
        </w:rPr>
        <w:t>在</w:t>
      </w:r>
      <w:r>
        <w:rPr>
          <w:rFonts w:hint="eastAsia" w:ascii="宋体" w:hAnsi="宋体" w:cs="黑体"/>
          <w:b/>
          <w:sz w:val="24"/>
          <w:lang w:eastAsia="zh-TW"/>
        </w:rPr>
        <w:t>投标人须知前附表</w:t>
      </w:r>
      <w:r>
        <w:rPr>
          <w:rFonts w:hint="eastAsia" w:ascii="宋体" w:hAnsi="宋体" w:cs="宋体"/>
          <w:sz w:val="24"/>
        </w:rPr>
        <w:t>中规定的日期、时间和地点组织</w:t>
      </w:r>
      <w:r>
        <w:rPr>
          <w:rFonts w:hint="eastAsia" w:ascii="宋体" w:hAnsi="宋体"/>
          <w:bCs/>
          <w:sz w:val="24"/>
        </w:rPr>
        <w:t>现场考察或者召开开标前答疑会</w:t>
      </w:r>
      <w:r>
        <w:rPr>
          <w:rFonts w:hint="eastAsia" w:ascii="宋体" w:hAnsi="宋体" w:cs="宋体"/>
          <w:sz w:val="24"/>
        </w:rPr>
        <w:t>；</w:t>
      </w:r>
    </w:p>
    <w:p w14:paraId="3665B850">
      <w:pPr>
        <w:numPr>
          <w:ilvl w:val="2"/>
          <w:numId w:val="45"/>
        </w:numPr>
        <w:tabs>
          <w:tab w:val="left" w:pos="851"/>
        </w:tabs>
        <w:autoSpaceDE w:val="0"/>
        <w:autoSpaceDN w:val="0"/>
        <w:snapToGrid w:val="0"/>
        <w:spacing w:line="360" w:lineRule="auto"/>
        <w:rPr>
          <w:rFonts w:ascii="宋体" w:hAnsi="宋体" w:cs="宋体"/>
          <w:sz w:val="24"/>
          <w:lang w:eastAsia="zh-TW"/>
        </w:rPr>
      </w:pPr>
      <w:r>
        <w:rPr>
          <w:rFonts w:hint="eastAsia" w:ascii="宋体" w:hAnsi="宋体" w:cs="宋体"/>
          <w:sz w:val="24"/>
        </w:rPr>
        <w:t>供应商</w:t>
      </w:r>
      <w:r>
        <w:rPr>
          <w:rFonts w:hint="eastAsia" w:ascii="宋体" w:hAnsi="宋体" w:cs="宋体"/>
          <w:sz w:val="24"/>
          <w:lang w:eastAsia="zh-TW"/>
        </w:rPr>
        <w:t>对本项目提出的疑问，</w:t>
      </w:r>
      <w:r>
        <w:rPr>
          <w:rFonts w:hint="eastAsia" w:ascii="宋体" w:hAnsi="宋体" w:cs="宋体"/>
          <w:sz w:val="24"/>
        </w:rPr>
        <w:t>可</w:t>
      </w:r>
      <w:r>
        <w:rPr>
          <w:rFonts w:hint="eastAsia" w:ascii="宋体" w:hAnsi="宋体" w:cs="宋体"/>
          <w:sz w:val="24"/>
          <w:lang w:eastAsia="zh-TW"/>
        </w:rPr>
        <w:t>在</w:t>
      </w:r>
      <w:r>
        <w:rPr>
          <w:rFonts w:hint="eastAsia" w:ascii="宋体" w:hAnsi="宋体"/>
          <w:bCs/>
          <w:sz w:val="24"/>
        </w:rPr>
        <w:t>现场考察或者召开开标前答疑会</w:t>
      </w:r>
      <w:r>
        <w:rPr>
          <w:rFonts w:hint="eastAsia" w:ascii="宋体" w:hAnsi="宋体" w:cs="宋体"/>
          <w:sz w:val="24"/>
          <w:lang w:eastAsia="zh-TW"/>
        </w:rPr>
        <w:t>召开日前至少一个工作日将问题清单以书面形式（加盖公章）提交至采购代理机构。</w:t>
      </w:r>
    </w:p>
    <w:p w14:paraId="40B10D4C">
      <w:pPr>
        <w:numPr>
          <w:ilvl w:val="0"/>
          <w:numId w:val="43"/>
        </w:numPr>
        <w:tabs>
          <w:tab w:val="left" w:pos="4395"/>
        </w:tabs>
        <w:autoSpaceDE w:val="0"/>
        <w:autoSpaceDN w:val="0"/>
        <w:snapToGrid w:val="0"/>
        <w:spacing w:line="360" w:lineRule="auto"/>
        <w:ind w:left="708" w:hanging="708" w:hangingChars="252"/>
        <w:jc w:val="center"/>
        <w:outlineLvl w:val="2"/>
        <w:rPr>
          <w:rFonts w:ascii="宋体" w:hAnsi="宋体"/>
          <w:b/>
          <w:sz w:val="28"/>
          <w:szCs w:val="28"/>
          <w:lang w:eastAsia="zh-TW"/>
        </w:rPr>
      </w:pPr>
      <w:bookmarkStart w:id="56" w:name="_Toc27007"/>
      <w:bookmarkStart w:id="57" w:name="_Toc435174935"/>
      <w:bookmarkStart w:id="58" w:name="_Toc438223138"/>
      <w:bookmarkStart w:id="59" w:name="_Toc435516652"/>
      <w:r>
        <w:rPr>
          <w:rFonts w:hint="eastAsia" w:ascii="宋体" w:hAnsi="宋体"/>
          <w:b/>
          <w:sz w:val="28"/>
          <w:szCs w:val="28"/>
          <w:lang w:eastAsia="zh-TW"/>
        </w:rPr>
        <w:t>投标文件的编制</w:t>
      </w:r>
      <w:bookmarkEnd w:id="56"/>
      <w:bookmarkEnd w:id="57"/>
      <w:bookmarkEnd w:id="58"/>
      <w:bookmarkEnd w:id="59"/>
    </w:p>
    <w:p w14:paraId="72D63B09">
      <w:pPr>
        <w:numPr>
          <w:ilvl w:val="0"/>
          <w:numId w:val="46"/>
        </w:numPr>
        <w:autoSpaceDE w:val="0"/>
        <w:autoSpaceDN w:val="0"/>
        <w:snapToGrid w:val="0"/>
        <w:spacing w:line="360" w:lineRule="auto"/>
        <w:outlineLvl w:val="3"/>
        <w:rPr>
          <w:rFonts w:ascii="宋体" w:hAnsi="宋体"/>
          <w:b/>
          <w:bCs/>
          <w:sz w:val="24"/>
        </w:rPr>
      </w:pPr>
      <w:r>
        <w:rPr>
          <w:rFonts w:hint="eastAsia" w:ascii="宋体" w:hAnsi="宋体"/>
          <w:b/>
          <w:bCs/>
          <w:sz w:val="24"/>
        </w:rPr>
        <w:t>投标的语言</w:t>
      </w:r>
    </w:p>
    <w:p w14:paraId="3C3A8567">
      <w:pPr>
        <w:numPr>
          <w:ilvl w:val="1"/>
          <w:numId w:val="46"/>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投标人提交的投标文件以及投标人与采购人</w:t>
      </w:r>
      <w:r>
        <w:rPr>
          <w:rFonts w:hint="eastAsia" w:ascii="宋体" w:hAnsi="宋体" w:cs="宋体"/>
          <w:sz w:val="24"/>
        </w:rPr>
        <w:t>或者</w:t>
      </w:r>
      <w:r>
        <w:rPr>
          <w:rFonts w:hint="eastAsia" w:ascii="宋体" w:hAnsi="宋体" w:cs="宋体"/>
          <w:sz w:val="24"/>
          <w:lang w:eastAsia="zh-TW"/>
        </w:rPr>
        <w:t>采购代理机构就有关投标的所有来往函电均应使用中文书写</w:t>
      </w:r>
      <w:r>
        <w:rPr>
          <w:rFonts w:hint="eastAsia" w:ascii="宋体" w:hAnsi="宋体" w:cs="宋体"/>
          <w:sz w:val="24"/>
        </w:rPr>
        <w:t>。投</w:t>
      </w:r>
      <w:r>
        <w:rPr>
          <w:rFonts w:hint="eastAsia" w:ascii="宋体" w:hAnsi="宋体" w:cs="宋体"/>
          <w:sz w:val="24"/>
          <w:lang w:eastAsia="zh-TW"/>
        </w:rPr>
        <w:t>标人提交的支持文件或印刷的资料可以用另一种语言</w:t>
      </w:r>
      <w:r>
        <w:rPr>
          <w:rFonts w:hint="eastAsia" w:ascii="宋体" w:hAnsi="宋体" w:cs="宋体"/>
          <w:sz w:val="24"/>
        </w:rPr>
        <w:t>，</w:t>
      </w:r>
      <w:r>
        <w:rPr>
          <w:rFonts w:hint="eastAsia" w:ascii="宋体" w:hAnsi="宋体" w:cs="宋体"/>
          <w:sz w:val="24"/>
          <w:lang w:eastAsia="zh-TW"/>
        </w:rPr>
        <w:t>但相应内容应附有中文翻译本</w:t>
      </w:r>
      <w:r>
        <w:rPr>
          <w:rFonts w:hint="eastAsia" w:ascii="宋体" w:hAnsi="宋体" w:cs="宋体"/>
          <w:sz w:val="24"/>
        </w:rPr>
        <w:t>，由翻译机构盖章或者翻译人员签名。</w:t>
      </w:r>
      <w:r>
        <w:rPr>
          <w:rFonts w:hint="eastAsia" w:ascii="宋体" w:hAnsi="宋体"/>
          <w:sz w:val="24"/>
        </w:rPr>
        <w:t>两种语言不一致时以中文翻译本为准。</w:t>
      </w:r>
    </w:p>
    <w:p w14:paraId="47B07BAB">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投标文件的构成</w:t>
      </w:r>
    </w:p>
    <w:p w14:paraId="055A7B84">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投标人应当按照招标文件的要求编制投标文件。投标文件应当对招标文件提出的要求和条件作出明确响应。投标文件的组成</w:t>
      </w:r>
      <w:r>
        <w:rPr>
          <w:rFonts w:hint="eastAsia" w:ascii="宋体" w:hAnsi="宋体" w:cs="宋体"/>
          <w:sz w:val="24"/>
        </w:rPr>
        <w:t>包括但不仅仅限于</w:t>
      </w:r>
      <w:r>
        <w:rPr>
          <w:rFonts w:hint="eastAsia" w:cs="宋体" w:asciiTheme="minorEastAsia" w:hAnsiTheme="minorEastAsia" w:eastAsiaTheme="minorEastAsia"/>
          <w:b/>
          <w:sz w:val="24"/>
        </w:rPr>
        <w:t>价格文件、资格性文件、符合性文件、技术文件、商务文件</w:t>
      </w:r>
      <w:r>
        <w:rPr>
          <w:rFonts w:hint="eastAsia" w:cs="宋体" w:asciiTheme="minorEastAsia" w:hAnsiTheme="minorEastAsia" w:eastAsiaTheme="minorEastAsia"/>
          <w:sz w:val="24"/>
        </w:rPr>
        <w:t>等</w:t>
      </w:r>
      <w:r>
        <w:rPr>
          <w:rFonts w:hint="eastAsia" w:ascii="宋体" w:hAnsi="宋体" w:cs="宋体"/>
          <w:sz w:val="24"/>
        </w:rPr>
        <w:t>。</w:t>
      </w:r>
    </w:p>
    <w:p w14:paraId="1ADE0660">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投标文件的构成应符合法律法规及招标文件的要求。</w:t>
      </w:r>
    </w:p>
    <w:p w14:paraId="5277C89C">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投标文件的编写</w:t>
      </w:r>
    </w:p>
    <w:p w14:paraId="1B62D941">
      <w:pPr>
        <w:numPr>
          <w:ilvl w:val="1"/>
          <w:numId w:val="46"/>
        </w:numPr>
        <w:autoSpaceDE w:val="0"/>
        <w:autoSpaceDN w:val="0"/>
        <w:snapToGrid w:val="0"/>
        <w:spacing w:line="360" w:lineRule="auto"/>
        <w:rPr>
          <w:rFonts w:ascii="宋体" w:hAnsi="宋体" w:cs="宋体"/>
          <w:sz w:val="24"/>
        </w:rPr>
      </w:pPr>
      <w:r>
        <w:rPr>
          <w:rFonts w:hint="eastAsia" w:ascii="宋体" w:hAnsi="宋体" w:cs="宋体"/>
          <w:sz w:val="24"/>
          <w:lang w:eastAsia="zh-TW"/>
        </w:rPr>
        <w:t>投标人对招标文件中多个包组进行投标的</w:t>
      </w:r>
      <w:r>
        <w:rPr>
          <w:rFonts w:hint="eastAsia" w:ascii="宋体" w:hAnsi="宋体" w:cs="宋体"/>
          <w:sz w:val="24"/>
        </w:rPr>
        <w:t>，</w:t>
      </w:r>
      <w:r>
        <w:rPr>
          <w:rFonts w:hint="eastAsia" w:ascii="宋体" w:hAnsi="宋体" w:cs="宋体"/>
          <w:sz w:val="24"/>
          <w:lang w:eastAsia="zh-TW"/>
        </w:rPr>
        <w:t>其投标文件的编制</w:t>
      </w:r>
      <w:r>
        <w:rPr>
          <w:rFonts w:hint="eastAsia" w:ascii="宋体" w:hAnsi="宋体" w:cs="宋体"/>
          <w:sz w:val="24"/>
        </w:rPr>
        <w:t>可以按</w:t>
      </w:r>
      <w:r>
        <w:rPr>
          <w:rFonts w:hint="eastAsia" w:ascii="宋体" w:hAnsi="宋体" w:cs="宋体"/>
          <w:sz w:val="24"/>
          <w:lang w:eastAsia="zh-TW"/>
        </w:rPr>
        <w:t>每个包组的要求分别装订。投标人应当对投标文件进行装订成册，对未经装订的投标文件可能发生的文件散落或缺损，由此造成的后果</w:t>
      </w:r>
      <w:r>
        <w:rPr>
          <w:rFonts w:hint="eastAsia" w:ascii="宋体" w:hAnsi="宋体" w:cs="宋体"/>
          <w:sz w:val="24"/>
        </w:rPr>
        <w:t>和</w:t>
      </w:r>
      <w:r>
        <w:rPr>
          <w:rFonts w:hint="eastAsia" w:ascii="宋体" w:hAnsi="宋体" w:cs="宋体"/>
          <w:sz w:val="24"/>
          <w:lang w:eastAsia="zh-TW"/>
        </w:rPr>
        <w:t>责任由投标人承担</w:t>
      </w:r>
      <w:r>
        <w:rPr>
          <w:rFonts w:hint="eastAsia" w:ascii="宋体" w:hAnsi="宋体" w:cs="宋体"/>
          <w:sz w:val="24"/>
        </w:rPr>
        <w:t>。</w:t>
      </w:r>
    </w:p>
    <w:p w14:paraId="17E0ADC2">
      <w:pPr>
        <w:numPr>
          <w:ilvl w:val="1"/>
          <w:numId w:val="46"/>
        </w:numPr>
        <w:tabs>
          <w:tab w:val="left" w:pos="709"/>
        </w:tabs>
        <w:autoSpaceDE w:val="0"/>
        <w:autoSpaceDN w:val="0"/>
        <w:snapToGrid w:val="0"/>
        <w:spacing w:line="360" w:lineRule="auto"/>
        <w:rPr>
          <w:rFonts w:ascii="宋体" w:hAnsi="宋体" w:cs="宋体"/>
          <w:strike/>
          <w:sz w:val="24"/>
        </w:rPr>
      </w:pPr>
      <w:r>
        <w:rPr>
          <w:rFonts w:hint="eastAsia" w:ascii="宋体" w:hAnsi="宋体" w:cs="宋体"/>
          <w:sz w:val="24"/>
          <w:lang w:eastAsia="zh-TW"/>
        </w:rPr>
        <w:t>投标人必须对投标文件所提供的全部资料的真实性承担法律责任</w:t>
      </w:r>
      <w:r>
        <w:rPr>
          <w:rFonts w:hint="eastAsia" w:ascii="宋体" w:hAnsi="宋体" w:cs="宋体"/>
          <w:sz w:val="24"/>
        </w:rPr>
        <w:t>。</w:t>
      </w:r>
    </w:p>
    <w:p w14:paraId="3C142ED5">
      <w:pPr>
        <w:numPr>
          <w:ilvl w:val="1"/>
          <w:numId w:val="46"/>
        </w:numPr>
        <w:tabs>
          <w:tab w:val="left" w:pos="709"/>
        </w:tabs>
        <w:autoSpaceDE w:val="0"/>
        <w:autoSpaceDN w:val="0"/>
        <w:snapToGrid w:val="0"/>
        <w:spacing w:line="360" w:lineRule="auto"/>
        <w:rPr>
          <w:rFonts w:ascii="宋体" w:hAnsi="宋体" w:cs="宋体"/>
          <w:strike/>
          <w:sz w:val="24"/>
          <w:lang w:eastAsia="zh-TW"/>
        </w:rPr>
      </w:pPr>
      <w:r>
        <w:rPr>
          <w:rFonts w:hint="eastAsia" w:ascii="宋体" w:hAnsi="宋体" w:cs="宋体"/>
          <w:sz w:val="24"/>
        </w:rPr>
        <w:t>投标人应认真阅读招标文件中所有的事项、格式、条款和技术要求等，并按照招标文件的要求编制投标文件。若投标人不按照招标文件要求编制投标文件，由此产生的风险由投标人自己承担。</w:t>
      </w:r>
    </w:p>
    <w:p w14:paraId="6F0BFF86">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投标文件的式样和签署</w:t>
      </w:r>
    </w:p>
    <w:p w14:paraId="0C3D6BA8">
      <w:pPr>
        <w:numPr>
          <w:ilvl w:val="1"/>
          <w:numId w:val="46"/>
        </w:numPr>
        <w:autoSpaceDE w:val="0"/>
        <w:autoSpaceDN w:val="0"/>
        <w:snapToGrid w:val="0"/>
        <w:spacing w:line="360" w:lineRule="auto"/>
        <w:rPr>
          <w:rFonts w:ascii="宋体" w:hAnsi="宋体" w:cs="黑体"/>
          <w:b/>
          <w:bCs/>
          <w:strike/>
          <w:sz w:val="24"/>
        </w:rPr>
      </w:pPr>
      <w:r>
        <w:rPr>
          <w:rFonts w:hint="eastAsia" w:ascii="宋体" w:hAnsi="宋体" w:cs="宋体"/>
          <w:sz w:val="24"/>
          <w:lang w:eastAsia="zh-TW"/>
        </w:rPr>
        <w:t>投标人应</w:t>
      </w:r>
      <w:r>
        <w:rPr>
          <w:rFonts w:hint="eastAsia" w:ascii="宋体" w:hAnsi="宋体" w:cs="宋体"/>
          <w:sz w:val="24"/>
        </w:rPr>
        <w:t>准备</w:t>
      </w:r>
      <w:r>
        <w:rPr>
          <w:rFonts w:hint="eastAsia" w:ascii="宋体" w:hAnsi="宋体" w:cs="宋体"/>
          <w:b/>
          <w:sz w:val="24"/>
          <w:lang w:eastAsia="zh-TW"/>
        </w:rPr>
        <w:t>投标须知前附表</w:t>
      </w:r>
      <w:r>
        <w:rPr>
          <w:rFonts w:hint="eastAsia" w:ascii="宋体" w:hAnsi="宋体" w:cs="宋体"/>
          <w:sz w:val="24"/>
          <w:lang w:eastAsia="zh-TW"/>
        </w:rPr>
        <w:t>中规定</w:t>
      </w:r>
      <w:r>
        <w:rPr>
          <w:rFonts w:hint="eastAsia" w:ascii="宋体" w:hAnsi="宋体" w:cs="宋体"/>
          <w:sz w:val="24"/>
        </w:rPr>
        <w:t>式样和份数的副本、正本和</w:t>
      </w:r>
      <w:r>
        <w:rPr>
          <w:rFonts w:hint="eastAsia" w:ascii="宋体" w:hAnsi="宋体" w:cs="宋体"/>
          <w:sz w:val="24"/>
          <w:lang w:eastAsia="zh-TW"/>
        </w:rPr>
        <w:t>电子介质</w:t>
      </w:r>
      <w:r>
        <w:rPr>
          <w:rFonts w:hint="eastAsia" w:ascii="宋体" w:hAnsi="宋体" w:cs="宋体"/>
          <w:sz w:val="24"/>
        </w:rPr>
        <w:t>的投标文件。</w:t>
      </w:r>
    </w:p>
    <w:p w14:paraId="1584C2ED">
      <w:pPr>
        <w:numPr>
          <w:ilvl w:val="1"/>
          <w:numId w:val="46"/>
        </w:numPr>
        <w:autoSpaceDE w:val="0"/>
        <w:autoSpaceDN w:val="0"/>
        <w:snapToGrid w:val="0"/>
        <w:spacing w:line="360" w:lineRule="auto"/>
        <w:rPr>
          <w:rFonts w:ascii="宋体" w:hAnsi="宋体" w:cs="黑体"/>
          <w:bCs/>
          <w:strike/>
          <w:sz w:val="24"/>
        </w:rPr>
      </w:pPr>
      <w:r>
        <w:rPr>
          <w:rFonts w:hint="eastAsia" w:ascii="宋体" w:hAnsi="宋体" w:cs="黑体"/>
          <w:bCs/>
          <w:sz w:val="24"/>
        </w:rPr>
        <w:t>请投标人按</w:t>
      </w:r>
      <w:r>
        <w:rPr>
          <w:rFonts w:hint="eastAsia" w:ascii="宋体" w:hAnsi="宋体" w:cs="宋体"/>
          <w:b/>
          <w:sz w:val="24"/>
          <w:lang w:eastAsia="zh-TW"/>
        </w:rPr>
        <w:t>投标须知前附表</w:t>
      </w:r>
      <w:r>
        <w:rPr>
          <w:rFonts w:hint="eastAsia" w:ascii="宋体" w:hAnsi="宋体" w:cs="宋体"/>
          <w:sz w:val="24"/>
        </w:rPr>
        <w:t>中的规定提交单独密封资料。</w:t>
      </w:r>
    </w:p>
    <w:p w14:paraId="6D1D8C17">
      <w:pPr>
        <w:numPr>
          <w:ilvl w:val="1"/>
          <w:numId w:val="46"/>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投标文件的签署：</w:t>
      </w:r>
    </w:p>
    <w:p w14:paraId="32900FF7">
      <w:pPr>
        <w:numPr>
          <w:ilvl w:val="2"/>
          <w:numId w:val="46"/>
        </w:numPr>
        <w:autoSpaceDE w:val="0"/>
        <w:autoSpaceDN w:val="0"/>
        <w:snapToGrid w:val="0"/>
        <w:spacing w:line="360" w:lineRule="auto"/>
        <w:rPr>
          <w:rFonts w:ascii="宋体" w:hAnsi="宋体"/>
          <w:sz w:val="24"/>
        </w:rPr>
      </w:pPr>
      <w:r>
        <w:rPr>
          <w:rFonts w:hint="eastAsia" w:ascii="宋体" w:hAnsi="宋体" w:cs="宋体"/>
          <w:sz w:val="24"/>
          <w:lang w:eastAsia="zh-TW"/>
        </w:rPr>
        <w:t>投标文件的正本需打印或用不褪色墨水书写</w:t>
      </w:r>
      <w:r>
        <w:rPr>
          <w:rFonts w:hint="eastAsia" w:ascii="宋体" w:hAnsi="宋体" w:cs="宋体"/>
          <w:sz w:val="24"/>
        </w:rPr>
        <w:t>，且</w:t>
      </w:r>
      <w:r>
        <w:rPr>
          <w:rFonts w:hint="eastAsia" w:cs="宋体" w:asciiTheme="minorEastAsia" w:hAnsiTheme="minorEastAsia" w:eastAsiaTheme="minorEastAsia"/>
          <w:sz w:val="24"/>
        </w:rPr>
        <w:t>招标文件要求签名的</w:t>
      </w:r>
      <w:r>
        <w:rPr>
          <w:rFonts w:hint="eastAsia" w:cs="宋体" w:asciiTheme="minorEastAsia" w:hAnsiTheme="minorEastAsia" w:eastAsiaTheme="minorEastAsia"/>
          <w:sz w:val="24"/>
          <w:lang w:eastAsia="zh-TW"/>
        </w:rPr>
        <w:t>由</w:t>
      </w:r>
      <w:r>
        <w:rPr>
          <w:rFonts w:hint="eastAsia" w:cs="宋体" w:asciiTheme="minorEastAsia" w:hAnsiTheme="minorEastAsia" w:eastAsiaTheme="minorEastAsia"/>
          <w:sz w:val="24"/>
        </w:rPr>
        <w:t>法定</w:t>
      </w:r>
      <w:r>
        <w:rPr>
          <w:rFonts w:hint="eastAsia" w:cs="宋体" w:asciiTheme="minorEastAsia" w:hAnsiTheme="minorEastAsia" w:eastAsiaTheme="minorEastAsia"/>
          <w:sz w:val="24"/>
          <w:lang w:eastAsia="zh-TW"/>
        </w:rPr>
        <w:t>代表人或经其正式授权的代表签字或盖个人名章，以及招标文件中明示盖公章</w:t>
      </w:r>
      <w:r>
        <w:rPr>
          <w:rFonts w:hint="eastAsia" w:cs="宋体" w:asciiTheme="minorEastAsia" w:hAnsiTheme="minorEastAsia" w:eastAsiaTheme="minorEastAsia"/>
          <w:sz w:val="24"/>
        </w:rPr>
        <w:t>处</w:t>
      </w:r>
      <w:r>
        <w:rPr>
          <w:rFonts w:hint="eastAsia" w:cs="宋体" w:asciiTheme="minorEastAsia" w:hAnsiTheme="minorEastAsia" w:eastAsiaTheme="minorEastAsia"/>
          <w:sz w:val="24"/>
          <w:lang w:eastAsia="zh-TW"/>
        </w:rPr>
        <w:t>及</w:t>
      </w:r>
      <w:r>
        <w:rPr>
          <w:rFonts w:hint="eastAsia" w:cs="宋体" w:asciiTheme="minorEastAsia" w:hAnsiTheme="minorEastAsia" w:eastAsiaTheme="minorEastAsia"/>
          <w:sz w:val="24"/>
        </w:rPr>
        <w:t>要求</w:t>
      </w:r>
      <w:r>
        <w:rPr>
          <w:rFonts w:hint="eastAsia" w:cs="宋体" w:asciiTheme="minorEastAsia" w:hAnsiTheme="minorEastAsia" w:eastAsiaTheme="minorEastAsia"/>
          <w:sz w:val="24"/>
          <w:lang w:eastAsia="zh-TW"/>
        </w:rPr>
        <w:t>提供的证明材料应盖投标人公章</w:t>
      </w:r>
      <w:r>
        <w:rPr>
          <w:rFonts w:hint="eastAsia" w:ascii="宋体" w:hAnsi="宋体" w:cs="宋体"/>
          <w:sz w:val="24"/>
        </w:rPr>
        <w:t>或经公章授权的投标专用章（格式详见“第六章投标文件格式”中《公章对投标专用章授权说明》）</w:t>
      </w:r>
      <w:r>
        <w:rPr>
          <w:rFonts w:hint="eastAsia" w:ascii="宋体" w:hAnsi="宋体" w:cs="宋体"/>
          <w:sz w:val="24"/>
          <w:lang w:eastAsia="zh-TW"/>
        </w:rPr>
        <w:t>，</w:t>
      </w:r>
      <w:r>
        <w:rPr>
          <w:rFonts w:hint="eastAsia" w:ascii="宋体" w:hAnsi="宋体" w:cs="宋体"/>
          <w:sz w:val="24"/>
        </w:rPr>
        <w:t>不得加盖合同专用章、未经公章授权的投标专用章等各种形式的专用章。副本可以</w:t>
      </w:r>
      <w:r>
        <w:rPr>
          <w:rFonts w:hint="eastAsia" w:ascii="宋体" w:hAnsi="宋体" w:cs="Courier New"/>
          <w:sz w:val="24"/>
        </w:rPr>
        <w:t>用正本</w:t>
      </w:r>
      <w:r>
        <w:rPr>
          <w:rFonts w:hint="eastAsia" w:ascii="宋体" w:hAnsi="宋体" w:cs="宋体"/>
          <w:sz w:val="24"/>
        </w:rPr>
        <w:t>复印，与正本具有同等法律效力</w:t>
      </w:r>
      <w:r>
        <w:rPr>
          <w:rFonts w:hint="eastAsia" w:ascii="宋体" w:hAnsi="宋体" w:cs="宋体"/>
          <w:sz w:val="24"/>
          <w:lang w:eastAsia="zh-TW"/>
        </w:rPr>
        <w:t>。授权代表须将以书面形式出具的《法定代表人授权</w:t>
      </w:r>
      <w:r>
        <w:rPr>
          <w:rFonts w:hint="eastAsia" w:ascii="宋体" w:hAnsi="宋体" w:cs="宋体"/>
          <w:sz w:val="24"/>
        </w:rPr>
        <w:t>委托</w:t>
      </w:r>
      <w:r>
        <w:rPr>
          <w:rFonts w:hint="eastAsia" w:ascii="宋体" w:hAnsi="宋体" w:cs="宋体"/>
          <w:sz w:val="24"/>
          <w:lang w:eastAsia="zh-TW"/>
        </w:rPr>
        <w:t>书》附在</w:t>
      </w:r>
      <w:r>
        <w:rPr>
          <w:rFonts w:hint="eastAsia" w:ascii="宋体" w:hAnsi="宋体" w:cs="宋体"/>
          <w:sz w:val="24"/>
        </w:rPr>
        <w:t>投</w:t>
      </w:r>
      <w:r>
        <w:rPr>
          <w:rFonts w:hint="eastAsia" w:ascii="宋体" w:hAnsi="宋体" w:cs="宋体"/>
          <w:sz w:val="24"/>
          <w:lang w:eastAsia="zh-TW"/>
        </w:rPr>
        <w:t>标文件中。</w:t>
      </w:r>
    </w:p>
    <w:p w14:paraId="13FE643A">
      <w:pPr>
        <w:numPr>
          <w:ilvl w:val="2"/>
          <w:numId w:val="46"/>
        </w:numPr>
        <w:autoSpaceDE w:val="0"/>
        <w:autoSpaceDN w:val="0"/>
        <w:snapToGrid w:val="0"/>
        <w:spacing w:line="360" w:lineRule="auto"/>
        <w:rPr>
          <w:rFonts w:ascii="宋体" w:hAnsi="宋体"/>
          <w:sz w:val="24"/>
        </w:rPr>
      </w:pPr>
      <w:r>
        <w:rPr>
          <w:rFonts w:hint="eastAsia" w:ascii="宋体" w:hAnsi="宋体" w:cs="宋体"/>
          <w:sz w:val="24"/>
          <w:lang w:eastAsia="zh-TW"/>
        </w:rPr>
        <w:t>投标文件中的任何重要的插字、涂改和增删，必须由法定代表人或经其正式授权的代表在旁边</w:t>
      </w:r>
      <w:r>
        <w:rPr>
          <w:rFonts w:hint="eastAsia" w:ascii="宋体" w:hAnsi="宋体" w:cs="宋体"/>
          <w:sz w:val="24"/>
        </w:rPr>
        <w:t>盖个人名章</w:t>
      </w:r>
      <w:r>
        <w:rPr>
          <w:rFonts w:hint="eastAsia" w:ascii="宋体" w:hAnsi="宋体" w:cs="宋体"/>
          <w:sz w:val="24"/>
          <w:lang w:eastAsia="zh-TW"/>
        </w:rPr>
        <w:t>或签字</w:t>
      </w:r>
      <w:r>
        <w:rPr>
          <w:rFonts w:hint="eastAsia" w:ascii="宋体" w:hAnsi="宋体"/>
          <w:sz w:val="24"/>
        </w:rPr>
        <w:t>或盖投标人公章或经公章授权的投标专用章</w:t>
      </w:r>
      <w:r>
        <w:rPr>
          <w:rFonts w:hint="eastAsia" w:ascii="宋体" w:hAnsi="宋体" w:cs="宋体"/>
          <w:sz w:val="24"/>
          <w:lang w:eastAsia="zh-TW"/>
        </w:rPr>
        <w:t>才有效</w:t>
      </w:r>
      <w:r>
        <w:rPr>
          <w:rFonts w:hint="eastAsia" w:ascii="宋体" w:hAnsi="宋体" w:cs="宋体"/>
          <w:sz w:val="24"/>
        </w:rPr>
        <w:t>。</w:t>
      </w:r>
    </w:p>
    <w:p w14:paraId="60D1A788">
      <w:pPr>
        <w:numPr>
          <w:ilvl w:val="2"/>
          <w:numId w:val="46"/>
        </w:numPr>
        <w:autoSpaceDE w:val="0"/>
        <w:autoSpaceDN w:val="0"/>
        <w:snapToGrid w:val="0"/>
        <w:spacing w:line="360" w:lineRule="auto"/>
        <w:rPr>
          <w:rFonts w:ascii="宋体" w:hAnsi="宋体"/>
          <w:sz w:val="24"/>
        </w:rPr>
      </w:pPr>
      <w:r>
        <w:rPr>
          <w:rFonts w:hint="eastAsia" w:ascii="宋体" w:hAnsi="宋体"/>
          <w:sz w:val="24"/>
        </w:rPr>
        <w:t>若为联合体的，除“联合协议书”“法定代表人证明书”“法定代表人授权委托书”及招标文件另有其他规定外，投标文件的其它内容可由联合体牵头方按要求进行签字、盖章。</w:t>
      </w:r>
    </w:p>
    <w:p w14:paraId="1718BBBD">
      <w:pPr>
        <w:numPr>
          <w:ilvl w:val="1"/>
          <w:numId w:val="46"/>
        </w:numPr>
        <w:autoSpaceDE w:val="0"/>
        <w:autoSpaceDN w:val="0"/>
        <w:snapToGrid w:val="0"/>
        <w:spacing w:line="360" w:lineRule="auto"/>
        <w:rPr>
          <w:rFonts w:ascii="宋体" w:hAnsi="宋体" w:cs="黑体"/>
          <w:bCs/>
          <w:sz w:val="24"/>
        </w:rPr>
      </w:pPr>
      <w:r>
        <w:rPr>
          <w:rFonts w:hint="eastAsia" w:ascii="宋体" w:hAnsi="宋体" w:cs="宋体"/>
          <w:sz w:val="24"/>
          <w:lang w:eastAsia="zh-TW"/>
        </w:rPr>
        <w:t>投标文件</w:t>
      </w:r>
      <w:r>
        <w:rPr>
          <w:rFonts w:hint="eastAsia" w:ascii="宋体" w:hAnsi="宋体"/>
          <w:bCs/>
          <w:sz w:val="24"/>
        </w:rPr>
        <w:t>密封与标识</w:t>
      </w:r>
    </w:p>
    <w:p w14:paraId="5BB7BD9D">
      <w:pPr>
        <w:numPr>
          <w:ilvl w:val="3"/>
          <w:numId w:val="46"/>
        </w:numPr>
        <w:tabs>
          <w:tab w:val="left" w:pos="993"/>
        </w:tabs>
        <w:autoSpaceDE w:val="0"/>
        <w:autoSpaceDN w:val="0"/>
        <w:snapToGrid w:val="0"/>
        <w:spacing w:line="360" w:lineRule="auto"/>
        <w:ind w:left="567" w:hanging="567"/>
        <w:rPr>
          <w:rFonts w:ascii="宋体" w:hAnsi="宋体" w:cs="宋体"/>
          <w:sz w:val="24"/>
        </w:rPr>
      </w:pPr>
      <w:r>
        <w:rPr>
          <w:rFonts w:hint="eastAsia" w:ascii="宋体" w:hAnsi="宋体" w:cs="宋体"/>
          <w:sz w:val="24"/>
        </w:rPr>
        <w:t>投标文件的密封：</w:t>
      </w:r>
    </w:p>
    <w:p w14:paraId="773C5168">
      <w:pPr>
        <w:pStyle w:val="84"/>
        <w:numPr>
          <w:ilvl w:val="0"/>
          <w:numId w:val="47"/>
        </w:numPr>
        <w:tabs>
          <w:tab w:val="left" w:pos="709"/>
        </w:tabs>
        <w:autoSpaceDE w:val="0"/>
        <w:autoSpaceDN w:val="0"/>
        <w:snapToGrid w:val="0"/>
        <w:spacing w:line="360" w:lineRule="auto"/>
        <w:ind w:firstLineChars="0"/>
        <w:rPr>
          <w:rFonts w:cs="宋体" w:asciiTheme="minorEastAsia" w:hAnsiTheme="minorEastAsia" w:eastAsiaTheme="minorEastAsia"/>
          <w:sz w:val="24"/>
        </w:rPr>
      </w:pPr>
      <w:r>
        <w:rPr>
          <w:rFonts w:hint="eastAsia" w:cs="宋体" w:asciiTheme="minorEastAsia" w:hAnsiTheme="minorEastAsia" w:eastAsiaTheme="minorEastAsia"/>
          <w:sz w:val="24"/>
        </w:rPr>
        <w:t>投标文件正本与副本可以单独密封包装，也可以所有投标文件密封包装在一个密封袋内。</w:t>
      </w:r>
    </w:p>
    <w:p w14:paraId="692757F9">
      <w:pPr>
        <w:pStyle w:val="84"/>
        <w:numPr>
          <w:ilvl w:val="0"/>
          <w:numId w:val="47"/>
        </w:numPr>
        <w:tabs>
          <w:tab w:val="left" w:pos="709"/>
        </w:tabs>
        <w:autoSpaceDE w:val="0"/>
        <w:autoSpaceDN w:val="0"/>
        <w:snapToGrid w:val="0"/>
        <w:spacing w:line="360" w:lineRule="auto"/>
        <w:ind w:firstLineChars="0"/>
        <w:rPr>
          <w:rFonts w:ascii="宋体" w:hAnsi="宋体" w:cs="宋体"/>
          <w:sz w:val="24"/>
        </w:rPr>
      </w:pPr>
      <w:r>
        <w:rPr>
          <w:rFonts w:hint="eastAsia" w:cs="宋体" w:asciiTheme="minorEastAsia" w:hAnsiTheme="minorEastAsia" w:eastAsiaTheme="minorEastAsia"/>
          <w:sz w:val="24"/>
        </w:rPr>
        <w:t>不足以造成投标文件可从外包装内散出而导致投标文件内容泄密的，不被认定为投标文件未密封。</w:t>
      </w:r>
    </w:p>
    <w:p w14:paraId="41FF3CF0">
      <w:pPr>
        <w:numPr>
          <w:ilvl w:val="3"/>
          <w:numId w:val="46"/>
        </w:numPr>
        <w:tabs>
          <w:tab w:val="left" w:pos="993"/>
        </w:tabs>
        <w:autoSpaceDE w:val="0"/>
        <w:autoSpaceDN w:val="0"/>
        <w:snapToGrid w:val="0"/>
        <w:spacing w:line="360" w:lineRule="auto"/>
        <w:ind w:left="567" w:hanging="567"/>
        <w:rPr>
          <w:rFonts w:ascii="宋体" w:hAnsi="宋体" w:cs="宋体"/>
          <w:sz w:val="24"/>
        </w:rPr>
      </w:pPr>
      <w:r>
        <w:rPr>
          <w:rFonts w:hint="eastAsia" w:cs="宋体" w:asciiTheme="minorEastAsia" w:hAnsiTheme="minorEastAsia" w:eastAsiaTheme="minorEastAsia"/>
          <w:sz w:val="24"/>
        </w:rPr>
        <w:t>投标文件的标识：</w:t>
      </w:r>
    </w:p>
    <w:p w14:paraId="017F7DB1">
      <w:pPr>
        <w:pStyle w:val="84"/>
        <w:numPr>
          <w:ilvl w:val="0"/>
          <w:numId w:val="48"/>
        </w:numPr>
        <w:tabs>
          <w:tab w:val="left" w:pos="709"/>
        </w:tabs>
        <w:autoSpaceDE w:val="0"/>
        <w:autoSpaceDN w:val="0"/>
        <w:snapToGrid w:val="0"/>
        <w:spacing w:line="360" w:lineRule="auto"/>
        <w:ind w:firstLineChars="0"/>
        <w:rPr>
          <w:rFonts w:cs="宋体" w:asciiTheme="minorEastAsia" w:hAnsiTheme="minorEastAsia" w:eastAsiaTheme="minorEastAsia"/>
          <w:sz w:val="24"/>
        </w:rPr>
      </w:pPr>
      <w:r>
        <w:rPr>
          <w:rFonts w:hint="eastAsia" w:cs="宋体" w:asciiTheme="minorEastAsia" w:hAnsiTheme="minorEastAsia" w:eastAsiaTheme="minorEastAsia"/>
          <w:sz w:val="24"/>
        </w:rPr>
        <w:t>信封或外包装上需清楚写明项目编号、项目名称、投标人名称、投标人地址、包组号（如有）的字样。</w:t>
      </w:r>
    </w:p>
    <w:p w14:paraId="402FF84B">
      <w:pPr>
        <w:pStyle w:val="84"/>
        <w:numPr>
          <w:ilvl w:val="0"/>
          <w:numId w:val="48"/>
        </w:numPr>
        <w:tabs>
          <w:tab w:val="left" w:pos="709"/>
        </w:tabs>
        <w:autoSpaceDE w:val="0"/>
        <w:autoSpaceDN w:val="0"/>
        <w:snapToGrid w:val="0"/>
        <w:spacing w:line="360" w:lineRule="auto"/>
        <w:ind w:firstLineChars="0"/>
        <w:rPr>
          <w:rFonts w:cs="宋体" w:asciiTheme="minorEastAsia" w:hAnsiTheme="minorEastAsia" w:eastAsiaTheme="minorEastAsia"/>
          <w:sz w:val="24"/>
        </w:rPr>
      </w:pPr>
      <w:r>
        <w:rPr>
          <w:rFonts w:hint="eastAsia" w:cs="宋体" w:asciiTheme="minorEastAsia" w:hAnsiTheme="minorEastAsia" w:eastAsiaTheme="minorEastAsia"/>
          <w:sz w:val="24"/>
        </w:rPr>
        <w:t>如果未按本须知上款要求加写标识，采购代理机构对误投或提前启封概不负责。</w:t>
      </w:r>
    </w:p>
    <w:p w14:paraId="559596B3">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投标报价</w:t>
      </w:r>
    </w:p>
    <w:p w14:paraId="02EDF494">
      <w:pPr>
        <w:numPr>
          <w:ilvl w:val="1"/>
          <w:numId w:val="46"/>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投标人应按照“采购需求”</w:t>
      </w:r>
      <w:r>
        <w:rPr>
          <w:rFonts w:hint="eastAsia" w:ascii="宋体" w:hAnsi="宋体" w:cs="宋体"/>
          <w:sz w:val="24"/>
        </w:rPr>
        <w:t>中</w:t>
      </w:r>
      <w:r>
        <w:rPr>
          <w:rFonts w:hint="eastAsia" w:ascii="宋体" w:hAnsi="宋体" w:cs="宋体"/>
          <w:sz w:val="24"/>
          <w:lang w:eastAsia="zh-TW"/>
        </w:rPr>
        <w:t>采购项目技术规格、参数及要求规定的内容、责任范围进行报价。并按《</w:t>
      </w:r>
      <w:r>
        <w:rPr>
          <w:rFonts w:hint="eastAsia" w:ascii="宋体" w:hAnsi="宋体" w:cs="宋体"/>
          <w:sz w:val="24"/>
        </w:rPr>
        <w:t>开标一览表(报价表)</w:t>
      </w:r>
      <w:r>
        <w:rPr>
          <w:rFonts w:hint="eastAsia" w:ascii="宋体" w:hAnsi="宋体" w:cs="宋体"/>
          <w:sz w:val="24"/>
          <w:lang w:eastAsia="zh-TW"/>
        </w:rPr>
        <w:t>》</w:t>
      </w:r>
      <w:r>
        <w:rPr>
          <w:rFonts w:hint="eastAsia" w:ascii="宋体" w:hAnsi="宋体" w:cs="宋体"/>
          <w:sz w:val="24"/>
        </w:rPr>
        <w:t>及</w:t>
      </w:r>
      <w:r>
        <w:rPr>
          <w:rFonts w:hint="eastAsia" w:ascii="宋体" w:hAnsi="宋体" w:cs="宋体"/>
          <w:sz w:val="24"/>
          <w:lang w:eastAsia="zh-TW"/>
        </w:rPr>
        <w:t>《投标分项报价表》（如适用）的</w:t>
      </w:r>
      <w:r>
        <w:rPr>
          <w:rFonts w:hint="eastAsia" w:ascii="宋体" w:hAnsi="宋体" w:cs="宋体"/>
          <w:sz w:val="24"/>
        </w:rPr>
        <w:t>要求</w:t>
      </w:r>
      <w:r>
        <w:rPr>
          <w:rFonts w:hint="eastAsia" w:ascii="宋体" w:hAnsi="宋体" w:cs="宋体"/>
          <w:sz w:val="24"/>
          <w:lang w:eastAsia="zh-TW"/>
        </w:rPr>
        <w:t>报出总价和分项价格。</w:t>
      </w:r>
      <w:r>
        <w:rPr>
          <w:rFonts w:hint="eastAsia" w:ascii="宋体" w:hAnsi="宋体" w:cs="宋体"/>
          <w:sz w:val="24"/>
        </w:rPr>
        <w:t>投标人</w:t>
      </w:r>
      <w:r>
        <w:rPr>
          <w:rFonts w:hint="eastAsia" w:ascii="宋体" w:hAnsi="宋体" w:cs="宋体"/>
          <w:sz w:val="24"/>
          <w:lang w:eastAsia="zh-TW"/>
        </w:rPr>
        <w:t>未</w:t>
      </w:r>
      <w:r>
        <w:rPr>
          <w:rFonts w:hint="eastAsia" w:ascii="宋体" w:hAnsi="宋体" w:cs="宋体"/>
          <w:sz w:val="24"/>
        </w:rPr>
        <w:t>按招标文件要求</w:t>
      </w:r>
      <w:r>
        <w:rPr>
          <w:rFonts w:hint="eastAsia" w:ascii="宋体" w:hAnsi="宋体" w:cs="宋体"/>
          <w:sz w:val="24"/>
          <w:lang w:eastAsia="zh-TW"/>
        </w:rPr>
        <w:t>提供报价</w:t>
      </w:r>
      <w:r>
        <w:rPr>
          <w:rFonts w:hint="eastAsia" w:ascii="宋体" w:hAnsi="宋体" w:cs="宋体"/>
          <w:sz w:val="24"/>
        </w:rPr>
        <w:t>或未提供报价，</w:t>
      </w:r>
      <w:r>
        <w:rPr>
          <w:rFonts w:hint="eastAsia" w:ascii="宋体" w:hAnsi="宋体" w:cs="宋体"/>
          <w:sz w:val="24"/>
          <w:lang w:eastAsia="zh-TW"/>
        </w:rPr>
        <w:t>导致评标委员会无法对其进行价格评审的，</w:t>
      </w:r>
      <w:r>
        <w:rPr>
          <w:rFonts w:hint="eastAsia" w:ascii="宋体" w:hAnsi="宋体" w:cs="宋体"/>
          <w:sz w:val="24"/>
        </w:rPr>
        <w:t>视为</w:t>
      </w:r>
      <w:r>
        <w:rPr>
          <w:rFonts w:hint="eastAsia" w:ascii="宋体" w:hAnsi="宋体" w:cs="宋体"/>
          <w:b/>
          <w:bCs/>
          <w:sz w:val="24"/>
        </w:rPr>
        <w:t>无效</w:t>
      </w:r>
      <w:r>
        <w:rPr>
          <w:rFonts w:hint="eastAsia" w:ascii="宋体" w:hAnsi="宋体" w:cs="宋体"/>
          <w:b/>
          <w:bCs/>
          <w:sz w:val="24"/>
          <w:lang w:eastAsia="zh-TW"/>
        </w:rPr>
        <w:t>投标</w:t>
      </w:r>
      <w:r>
        <w:rPr>
          <w:rFonts w:hint="eastAsia" w:ascii="宋体" w:hAnsi="宋体" w:cs="宋体"/>
          <w:sz w:val="24"/>
        </w:rPr>
        <w:t>（无需进行价格评审的情形除外）</w:t>
      </w:r>
      <w:r>
        <w:rPr>
          <w:rFonts w:hint="eastAsia" w:ascii="宋体" w:hAnsi="宋体" w:cs="宋体"/>
          <w:sz w:val="24"/>
          <w:lang w:eastAsia="zh-TW"/>
        </w:rPr>
        <w:t>。</w:t>
      </w:r>
      <w:r>
        <w:rPr>
          <w:rFonts w:hint="eastAsia" w:ascii="宋体" w:hAnsi="宋体" w:cs="宋体"/>
          <w:sz w:val="24"/>
        </w:rPr>
        <w:t>投标人</w:t>
      </w:r>
      <w:r>
        <w:rPr>
          <w:rFonts w:hint="eastAsia" w:ascii="宋体" w:hAnsi="宋体" w:cs="宋体"/>
          <w:sz w:val="24"/>
          <w:lang w:eastAsia="zh-TW"/>
        </w:rPr>
        <w:t>按</w:t>
      </w:r>
      <w:r>
        <w:rPr>
          <w:rFonts w:hint="eastAsia" w:ascii="宋体" w:hAnsi="宋体" w:cs="宋体"/>
          <w:sz w:val="24"/>
        </w:rPr>
        <w:t>招标</w:t>
      </w:r>
      <w:r>
        <w:rPr>
          <w:rFonts w:hint="eastAsia" w:ascii="宋体" w:hAnsi="宋体" w:cs="宋体"/>
          <w:sz w:val="24"/>
          <w:lang w:eastAsia="zh-TW"/>
        </w:rPr>
        <w:t>文件的要求报出全部货物及服务内容所需的所有费用，</w:t>
      </w:r>
      <w:r>
        <w:rPr>
          <w:rFonts w:hint="eastAsia" w:cs="宋体" w:asciiTheme="minorEastAsia" w:hAnsiTheme="minorEastAsia" w:eastAsiaTheme="minorEastAsia"/>
          <w:sz w:val="24"/>
        </w:rPr>
        <w:t>在合同履行过程中，采购人不再支付除合同金额以外的费用。</w:t>
      </w:r>
    </w:p>
    <w:p w14:paraId="41864682">
      <w:pPr>
        <w:numPr>
          <w:ilvl w:val="1"/>
          <w:numId w:val="46"/>
        </w:numPr>
        <w:tabs>
          <w:tab w:val="clear" w:pos="567"/>
        </w:tabs>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投标报价应包含按招标文件的要求全部货物及服务内容所需的所有费用，</w:t>
      </w:r>
      <w:r>
        <w:rPr>
          <w:rFonts w:ascii="宋体" w:hAnsi="宋体" w:cs="宋体"/>
          <w:sz w:val="24"/>
          <w:lang w:eastAsia="zh-TW"/>
        </w:rPr>
        <w:t>包括但不限于</w:t>
      </w:r>
      <w:r>
        <w:rPr>
          <w:rFonts w:hint="eastAsia" w:ascii="宋体" w:hAnsi="宋体" w:cs="宋体"/>
          <w:b/>
          <w:sz w:val="24"/>
          <w:lang w:eastAsia="zh-TW"/>
        </w:rPr>
        <w:t>投标人须知前附表</w:t>
      </w:r>
      <w:r>
        <w:rPr>
          <w:rFonts w:hint="eastAsia" w:ascii="宋体" w:hAnsi="宋体" w:cs="宋体"/>
          <w:sz w:val="24"/>
          <w:lang w:eastAsia="zh-TW"/>
        </w:rPr>
        <w:t>中规定的。</w:t>
      </w:r>
    </w:p>
    <w:p w14:paraId="3E690450">
      <w:pPr>
        <w:numPr>
          <w:ilvl w:val="1"/>
          <w:numId w:val="46"/>
        </w:numPr>
        <w:autoSpaceDE w:val="0"/>
        <w:autoSpaceDN w:val="0"/>
        <w:snapToGrid w:val="0"/>
        <w:spacing w:line="360" w:lineRule="auto"/>
        <w:rPr>
          <w:rFonts w:ascii="宋体" w:hAnsi="宋体" w:cs="宋体"/>
          <w:sz w:val="24"/>
        </w:rPr>
      </w:pPr>
      <w:r>
        <w:rPr>
          <w:rFonts w:hint="eastAsia" w:ascii="宋体" w:hAnsi="宋体" w:cs="宋体"/>
          <w:sz w:val="24"/>
          <w:lang w:eastAsia="zh-TW"/>
        </w:rPr>
        <w:t>投标人所报的投标价在合同执行过程中是固定不变的</w:t>
      </w:r>
      <w:r>
        <w:rPr>
          <w:rFonts w:hint="eastAsia" w:ascii="宋体" w:hAnsi="宋体" w:cs="宋体"/>
          <w:sz w:val="24"/>
        </w:rPr>
        <w:t>，</w:t>
      </w:r>
      <w:r>
        <w:rPr>
          <w:rFonts w:hint="eastAsia" w:ascii="宋体" w:hAnsi="宋体" w:cs="宋体"/>
          <w:sz w:val="24"/>
          <w:lang w:eastAsia="zh-TW"/>
        </w:rPr>
        <w:t>不得以任何理由予以变更。任何包含价格调整要求的投标被认为是非实质性响应投标而予以拒绝。</w:t>
      </w:r>
    </w:p>
    <w:p w14:paraId="491DA1C6">
      <w:pPr>
        <w:numPr>
          <w:ilvl w:val="1"/>
          <w:numId w:val="46"/>
        </w:numPr>
        <w:autoSpaceDE w:val="0"/>
        <w:autoSpaceDN w:val="0"/>
        <w:snapToGrid w:val="0"/>
        <w:spacing w:line="360" w:lineRule="auto"/>
        <w:rPr>
          <w:rFonts w:ascii="宋体" w:hAnsi="宋体" w:cs="宋体"/>
          <w:b/>
          <w:strike/>
          <w:sz w:val="24"/>
          <w:lang w:eastAsia="zh-TW"/>
        </w:rPr>
      </w:pPr>
      <w:r>
        <w:rPr>
          <w:rFonts w:hint="eastAsia" w:ascii="宋体" w:hAnsi="宋体"/>
          <w:sz w:val="24"/>
        </w:rPr>
        <w:t>除</w:t>
      </w:r>
      <w:r>
        <w:rPr>
          <w:rFonts w:hint="eastAsia" w:ascii="宋体" w:hAnsi="宋体" w:cs="宋体"/>
          <w:b/>
          <w:sz w:val="24"/>
          <w:lang w:eastAsia="zh-TW"/>
        </w:rPr>
        <w:t>投标人须知前附表</w:t>
      </w:r>
      <w:r>
        <w:rPr>
          <w:rFonts w:hint="eastAsia" w:ascii="宋体" w:hAnsi="宋体"/>
          <w:sz w:val="24"/>
        </w:rPr>
        <w:t>中允许有备选方案外，本次招标不接受选择性报价，</w:t>
      </w:r>
      <w:r>
        <w:rPr>
          <w:rFonts w:hint="eastAsia" w:ascii="宋体" w:hAnsi="宋体" w:cs="宋体"/>
          <w:sz w:val="24"/>
        </w:rPr>
        <w:t>否则将被视为</w:t>
      </w:r>
      <w:r>
        <w:rPr>
          <w:rFonts w:hint="eastAsia" w:ascii="宋体" w:hAnsi="宋体" w:cs="宋体"/>
          <w:b/>
          <w:sz w:val="24"/>
        </w:rPr>
        <w:t>无效投标</w:t>
      </w:r>
      <w:r>
        <w:rPr>
          <w:rFonts w:hint="eastAsia" w:ascii="宋体" w:hAnsi="宋体" w:cs="宋体"/>
          <w:sz w:val="24"/>
        </w:rPr>
        <w:t>。</w:t>
      </w:r>
    </w:p>
    <w:p w14:paraId="45A80E99">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sz w:val="24"/>
        </w:rPr>
        <w:t>本次招标不接受具有附加条件的报价，</w:t>
      </w:r>
      <w:r>
        <w:rPr>
          <w:rFonts w:hint="eastAsia" w:ascii="宋体" w:hAnsi="宋体" w:cs="宋体"/>
          <w:sz w:val="24"/>
        </w:rPr>
        <w:t>否则将被视为</w:t>
      </w:r>
      <w:r>
        <w:rPr>
          <w:rFonts w:hint="eastAsia" w:ascii="宋体" w:hAnsi="宋体" w:cs="宋体"/>
          <w:b/>
          <w:sz w:val="24"/>
        </w:rPr>
        <w:t>无效投标</w:t>
      </w:r>
      <w:r>
        <w:rPr>
          <w:rFonts w:hint="eastAsia" w:ascii="宋体" w:hAnsi="宋体" w:cs="宋体"/>
          <w:sz w:val="24"/>
        </w:rPr>
        <w:t>。</w:t>
      </w:r>
    </w:p>
    <w:p w14:paraId="6C4991C8">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投标货币</w:t>
      </w:r>
    </w:p>
    <w:p w14:paraId="4A35B0CF">
      <w:pPr>
        <w:numPr>
          <w:ilvl w:val="1"/>
          <w:numId w:val="46"/>
        </w:numPr>
        <w:autoSpaceDE w:val="0"/>
        <w:autoSpaceDN w:val="0"/>
        <w:snapToGrid w:val="0"/>
        <w:spacing w:line="360" w:lineRule="auto"/>
        <w:rPr>
          <w:rFonts w:ascii="宋体" w:hAnsi="宋体"/>
          <w:sz w:val="24"/>
        </w:rPr>
      </w:pPr>
      <w:r>
        <w:rPr>
          <w:rFonts w:hint="eastAsia" w:ascii="宋体" w:hAnsi="宋体"/>
          <w:sz w:val="24"/>
        </w:rPr>
        <w:t>投标人所提供的货物和服务均应以人民币报价。</w:t>
      </w:r>
    </w:p>
    <w:p w14:paraId="5469DCF1">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联合体投标</w:t>
      </w:r>
    </w:p>
    <w:p w14:paraId="55D877CA">
      <w:pPr>
        <w:numPr>
          <w:ilvl w:val="1"/>
          <w:numId w:val="46"/>
        </w:numPr>
        <w:autoSpaceDE w:val="0"/>
        <w:autoSpaceDN w:val="0"/>
        <w:snapToGrid w:val="0"/>
        <w:spacing w:line="360" w:lineRule="auto"/>
        <w:rPr>
          <w:rFonts w:ascii="宋体" w:hAnsi="宋体" w:cs="黑体"/>
          <w:b/>
          <w:bCs/>
          <w:sz w:val="24"/>
        </w:rPr>
      </w:pPr>
      <w:r>
        <w:rPr>
          <w:rFonts w:hint="eastAsia" w:ascii="宋体" w:hAnsi="宋体"/>
          <w:sz w:val="24"/>
        </w:rPr>
        <w:t>除非</w:t>
      </w:r>
      <w:r>
        <w:rPr>
          <w:rFonts w:hint="eastAsia" w:ascii="宋体" w:hAnsi="宋体"/>
          <w:b/>
          <w:sz w:val="24"/>
        </w:rPr>
        <w:t>投标邀请</w:t>
      </w:r>
      <w:r>
        <w:rPr>
          <w:rFonts w:hint="eastAsia" w:ascii="宋体" w:hAnsi="宋体"/>
          <w:sz w:val="24"/>
        </w:rPr>
        <w:t>中另有规定，不接受联合体投标。如果投标邀请中规定允许联合体投标的，则必须满足：</w:t>
      </w:r>
    </w:p>
    <w:p w14:paraId="4FABB80A">
      <w:pPr>
        <w:numPr>
          <w:ilvl w:val="2"/>
          <w:numId w:val="46"/>
        </w:numPr>
        <w:autoSpaceDE w:val="0"/>
        <w:autoSpaceDN w:val="0"/>
        <w:snapToGrid w:val="0"/>
        <w:spacing w:line="360" w:lineRule="auto"/>
        <w:rPr>
          <w:rFonts w:ascii="宋体" w:hAnsi="宋体"/>
          <w:sz w:val="24"/>
        </w:rPr>
      </w:pPr>
      <w:r>
        <w:rPr>
          <w:rFonts w:hint="eastAsia" w:ascii="宋体" w:hAnsi="宋体"/>
          <w:sz w:val="24"/>
        </w:rPr>
        <w:t>以联合体形式参加投标的，联合体各方均必须符合</w:t>
      </w:r>
      <w:r>
        <w:rPr>
          <w:rFonts w:hint="eastAsia" w:ascii="宋体" w:hAnsi="宋体"/>
          <w:bCs/>
          <w:sz w:val="24"/>
        </w:rPr>
        <w:t>《中华人民共和国政府采购法》第二十二条第（一）至（六）项规定。</w:t>
      </w:r>
    </w:p>
    <w:p w14:paraId="118A0B80">
      <w:pPr>
        <w:numPr>
          <w:ilvl w:val="2"/>
          <w:numId w:val="46"/>
        </w:numPr>
        <w:autoSpaceDE w:val="0"/>
        <w:autoSpaceDN w:val="0"/>
        <w:snapToGrid w:val="0"/>
        <w:spacing w:line="360" w:lineRule="auto"/>
        <w:rPr>
          <w:rFonts w:ascii="宋体" w:hAnsi="宋体"/>
          <w:sz w:val="24"/>
        </w:rPr>
      </w:pPr>
      <w:r>
        <w:rPr>
          <w:rFonts w:hint="eastAsia" w:ascii="宋体" w:hAnsi="宋体"/>
          <w:sz w:val="24"/>
        </w:rPr>
        <w:t>联合体投标的，必须提供各方签订的联合投标协议，明确约定各方承担的工作和相应的责任。联合体各方签订联合协议书，不得再以自己名义单独在</w:t>
      </w:r>
      <w:r>
        <w:rPr>
          <w:rFonts w:hint="eastAsia" w:cs="宋体" w:asciiTheme="minorEastAsia" w:hAnsiTheme="minorEastAsia" w:eastAsiaTheme="minorEastAsia"/>
          <w:bCs/>
          <w:sz w:val="24"/>
        </w:rPr>
        <w:t>本项目同一合同项下</w:t>
      </w:r>
      <w:r>
        <w:rPr>
          <w:rFonts w:hint="eastAsia" w:ascii="宋体" w:hAnsi="宋体"/>
          <w:sz w:val="24"/>
        </w:rPr>
        <w:t>的投标，也不得组成新的联合体参加</w:t>
      </w:r>
      <w:r>
        <w:rPr>
          <w:rFonts w:hint="eastAsia" w:cs="宋体" w:asciiTheme="minorEastAsia" w:hAnsiTheme="minorEastAsia" w:eastAsiaTheme="minorEastAsia"/>
          <w:bCs/>
          <w:sz w:val="24"/>
        </w:rPr>
        <w:t>本项目同一合同项下的</w:t>
      </w:r>
      <w:r>
        <w:rPr>
          <w:rFonts w:hint="eastAsia" w:ascii="宋体" w:hAnsi="宋体"/>
          <w:sz w:val="24"/>
        </w:rPr>
        <w:t>投标。</w:t>
      </w:r>
    </w:p>
    <w:p w14:paraId="5417088F">
      <w:pPr>
        <w:numPr>
          <w:ilvl w:val="2"/>
          <w:numId w:val="46"/>
        </w:numPr>
        <w:autoSpaceDE w:val="0"/>
        <w:autoSpaceDN w:val="0"/>
        <w:snapToGrid w:val="0"/>
        <w:spacing w:line="360" w:lineRule="auto"/>
        <w:rPr>
          <w:rFonts w:ascii="宋体" w:hAnsi="宋体"/>
          <w:sz w:val="24"/>
        </w:rPr>
      </w:pPr>
      <w:r>
        <w:rPr>
          <w:rFonts w:hint="eastAsia" w:ascii="宋体" w:hAnsi="宋体"/>
          <w:sz w:val="24"/>
        </w:rPr>
        <w:t>联合体中有同类资质的供应商按照联合体分工承担相同工作的，应当按照资质等级较低的供应商确定资质等级。</w:t>
      </w:r>
    </w:p>
    <w:p w14:paraId="41A56AA0">
      <w:pPr>
        <w:numPr>
          <w:ilvl w:val="2"/>
          <w:numId w:val="46"/>
        </w:numPr>
        <w:tabs>
          <w:tab w:val="left" w:pos="851"/>
        </w:tabs>
        <w:autoSpaceDE w:val="0"/>
        <w:autoSpaceDN w:val="0"/>
        <w:snapToGrid w:val="0"/>
        <w:spacing w:line="360" w:lineRule="auto"/>
        <w:rPr>
          <w:rFonts w:ascii="宋体" w:hAnsi="宋体"/>
          <w:sz w:val="24"/>
        </w:rPr>
      </w:pPr>
      <w:r>
        <w:rPr>
          <w:rFonts w:hint="eastAsia" w:ascii="宋体" w:hAnsi="宋体"/>
          <w:sz w:val="24"/>
        </w:rPr>
        <w:t>联合体投标的，可以由联合体中的一方或者共同提交投标保证金，以一方名义提交投标保证金的，对联合体各方均具有约束力。</w:t>
      </w:r>
    </w:p>
    <w:p w14:paraId="0EBC4A3A">
      <w:pPr>
        <w:numPr>
          <w:ilvl w:val="1"/>
          <w:numId w:val="46"/>
        </w:numPr>
        <w:autoSpaceDE w:val="0"/>
        <w:autoSpaceDN w:val="0"/>
        <w:snapToGrid w:val="0"/>
        <w:spacing w:line="360" w:lineRule="auto"/>
        <w:rPr>
          <w:rFonts w:ascii="宋体" w:hAnsi="宋体"/>
          <w:sz w:val="24"/>
        </w:rPr>
      </w:pPr>
      <w:r>
        <w:rPr>
          <w:rFonts w:ascii="宋体" w:hAnsi="宋体"/>
          <w:sz w:val="24"/>
        </w:rPr>
        <w:t>联合体中标的，联合体各方应当共同与</w:t>
      </w:r>
      <w:r>
        <w:rPr>
          <w:rFonts w:hint="eastAsia" w:ascii="宋体" w:hAnsi="宋体"/>
          <w:sz w:val="24"/>
        </w:rPr>
        <w:t>采购</w:t>
      </w:r>
      <w:r>
        <w:rPr>
          <w:rFonts w:ascii="宋体" w:hAnsi="宋体"/>
          <w:sz w:val="24"/>
        </w:rPr>
        <w:t>人签订合同。</w:t>
      </w:r>
    </w:p>
    <w:p w14:paraId="521C43B6">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证明投标人合格和资格的文件</w:t>
      </w:r>
    </w:p>
    <w:p w14:paraId="6718121B">
      <w:pPr>
        <w:numPr>
          <w:ilvl w:val="1"/>
          <w:numId w:val="46"/>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投标人应提交证明其有资格参加投标和中标后有能力履行合同的文件</w:t>
      </w:r>
      <w:r>
        <w:rPr>
          <w:rFonts w:hint="eastAsia" w:ascii="宋体" w:hAnsi="宋体" w:cs="宋体"/>
          <w:sz w:val="24"/>
        </w:rPr>
        <w:t>，</w:t>
      </w:r>
      <w:r>
        <w:rPr>
          <w:rFonts w:hint="eastAsia" w:ascii="宋体" w:hAnsi="宋体" w:cs="宋体"/>
          <w:sz w:val="24"/>
          <w:lang w:eastAsia="zh-TW"/>
        </w:rPr>
        <w:t>并作为其投标文件的一部分。如果投标人为联合体</w:t>
      </w:r>
      <w:r>
        <w:rPr>
          <w:rFonts w:hint="eastAsia" w:ascii="宋体" w:hAnsi="宋体" w:cs="宋体"/>
          <w:sz w:val="24"/>
        </w:rPr>
        <w:t>，</w:t>
      </w:r>
      <w:r>
        <w:rPr>
          <w:rFonts w:hint="eastAsia" w:ascii="宋体" w:hAnsi="宋体" w:cs="宋体"/>
          <w:sz w:val="24"/>
          <w:lang w:eastAsia="zh-TW"/>
        </w:rPr>
        <w:t>应提交联合体各方的资格证明文件、联合投标协议并注明牵头方</w:t>
      </w:r>
      <w:r>
        <w:rPr>
          <w:rFonts w:hint="eastAsia" w:ascii="宋体" w:hAnsi="宋体" w:cs="宋体"/>
          <w:sz w:val="24"/>
        </w:rPr>
        <w:t>及各方拟承担的工作和责任。</w:t>
      </w:r>
      <w:r>
        <w:rPr>
          <w:rFonts w:hint="eastAsia" w:ascii="宋体" w:hAnsi="宋体" w:cs="宋体"/>
          <w:sz w:val="24"/>
          <w:lang w:eastAsia="zh-TW"/>
        </w:rPr>
        <w:t>否则</w:t>
      </w:r>
      <w:r>
        <w:rPr>
          <w:rFonts w:hint="eastAsia" w:ascii="宋体" w:hAnsi="宋体" w:cs="宋体"/>
          <w:sz w:val="24"/>
        </w:rPr>
        <w:t>，</w:t>
      </w:r>
      <w:r>
        <w:rPr>
          <w:rFonts w:hint="eastAsia" w:ascii="宋体" w:hAnsi="宋体" w:cs="宋体"/>
          <w:sz w:val="24"/>
          <w:lang w:eastAsia="zh-TW"/>
        </w:rPr>
        <w:t>将导致其</w:t>
      </w:r>
      <w:r>
        <w:rPr>
          <w:rFonts w:hint="eastAsia" w:ascii="宋体" w:hAnsi="宋体" w:cs="宋体"/>
          <w:b/>
          <w:sz w:val="24"/>
          <w:lang w:eastAsia="zh-TW"/>
        </w:rPr>
        <w:t>投标</w:t>
      </w:r>
      <w:r>
        <w:rPr>
          <w:rFonts w:hint="eastAsia" w:ascii="宋体" w:hAnsi="宋体" w:cs="宋体"/>
          <w:b/>
          <w:sz w:val="24"/>
        </w:rPr>
        <w:t>无效</w:t>
      </w:r>
      <w:r>
        <w:rPr>
          <w:rFonts w:hint="eastAsia" w:ascii="宋体" w:hAnsi="宋体" w:cs="宋体"/>
          <w:sz w:val="24"/>
        </w:rPr>
        <w:t>。</w:t>
      </w:r>
    </w:p>
    <w:p w14:paraId="12D8426E">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投标人提交的资格证明文件应证明其</w:t>
      </w:r>
      <w:r>
        <w:rPr>
          <w:rFonts w:hint="eastAsia" w:ascii="宋体" w:hAnsi="宋体" w:cs="宋体"/>
          <w:sz w:val="24"/>
        </w:rPr>
        <w:t>满足</w:t>
      </w:r>
      <w:r>
        <w:rPr>
          <w:rFonts w:hint="eastAsia" w:ascii="宋体"/>
          <w:bCs/>
          <w:sz w:val="24"/>
        </w:rPr>
        <w:t>投标人的资格要求</w:t>
      </w:r>
      <w:r>
        <w:rPr>
          <w:rFonts w:hint="eastAsia" w:ascii="宋体" w:hAnsi="宋体" w:cs="宋体"/>
          <w:sz w:val="24"/>
          <w:lang w:eastAsia="zh-TW"/>
        </w:rPr>
        <w:t>。</w:t>
      </w:r>
    </w:p>
    <w:p w14:paraId="05069701">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ascii="宋体" w:hAnsi="宋体"/>
          <w:b/>
          <w:bCs/>
          <w:sz w:val="24"/>
        </w:rPr>
        <w:t>证明投标标的的合格性和符合招标文件规定的文件</w:t>
      </w:r>
    </w:p>
    <w:p w14:paraId="49B1B28D">
      <w:pPr>
        <w:numPr>
          <w:ilvl w:val="1"/>
          <w:numId w:val="46"/>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投标人应提交证明文件</w:t>
      </w:r>
      <w:r>
        <w:rPr>
          <w:rFonts w:hint="eastAsia" w:ascii="宋体" w:hAnsi="宋体" w:cs="宋体"/>
          <w:sz w:val="24"/>
        </w:rPr>
        <w:t>，</w:t>
      </w:r>
      <w:r>
        <w:rPr>
          <w:rFonts w:hint="eastAsia" w:ascii="宋体" w:hAnsi="宋体" w:cs="宋体"/>
          <w:sz w:val="24"/>
          <w:lang w:eastAsia="zh-TW"/>
        </w:rPr>
        <w:t>证明其拟</w:t>
      </w:r>
      <w:r>
        <w:rPr>
          <w:rFonts w:hint="eastAsia" w:ascii="宋体" w:hAnsi="宋体" w:cs="宋体"/>
          <w:sz w:val="24"/>
        </w:rPr>
        <w:t>投标</w:t>
      </w:r>
      <w:r>
        <w:rPr>
          <w:rFonts w:hint="eastAsia" w:ascii="宋体" w:hAnsi="宋体" w:cs="宋体"/>
          <w:sz w:val="24"/>
          <w:lang w:eastAsia="zh-TW"/>
        </w:rPr>
        <w:t>的货物和服务的合格性符合招标文件规定。该证明文件作为投标文件的一部分。</w:t>
      </w:r>
    </w:p>
    <w:p w14:paraId="09D976F4">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货物和服务合格性的证明文件应包括投标分项报价表中对货物和服务原产地的说明。</w:t>
      </w:r>
    </w:p>
    <w:p w14:paraId="62DC0D47">
      <w:pPr>
        <w:numPr>
          <w:ilvl w:val="1"/>
          <w:numId w:val="46"/>
        </w:numPr>
        <w:autoSpaceDE w:val="0"/>
        <w:autoSpaceDN w:val="0"/>
        <w:snapToGrid w:val="0"/>
        <w:spacing w:line="360" w:lineRule="auto"/>
        <w:rPr>
          <w:rFonts w:ascii="宋体" w:hAnsi="宋体"/>
          <w:strike/>
          <w:sz w:val="24"/>
        </w:rPr>
      </w:pPr>
      <w:r>
        <w:rPr>
          <w:rFonts w:hint="eastAsia" w:ascii="宋体" w:hAnsi="宋体" w:cs="宋体"/>
          <w:sz w:val="24"/>
          <w:lang w:eastAsia="zh-TW"/>
        </w:rPr>
        <w:t>证明货物和服务与招标文件的要求相一致的文件，可以是文字资料、图纸和数据</w:t>
      </w:r>
      <w:r>
        <w:rPr>
          <w:rFonts w:hint="eastAsia" w:ascii="宋体" w:hAnsi="宋体" w:cs="宋体"/>
          <w:sz w:val="24"/>
        </w:rPr>
        <w:t>。</w:t>
      </w:r>
    </w:p>
    <w:p w14:paraId="1D465E16">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投标保证金</w:t>
      </w:r>
    </w:p>
    <w:p w14:paraId="22ED4CB7">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投标人应</w:t>
      </w:r>
      <w:r>
        <w:rPr>
          <w:rFonts w:hint="eastAsia" w:ascii="宋体" w:hAnsi="宋体" w:cs="宋体"/>
          <w:sz w:val="24"/>
        </w:rPr>
        <w:t>按</w:t>
      </w:r>
      <w:r>
        <w:rPr>
          <w:rFonts w:hint="eastAsia" w:ascii="宋体" w:hAnsi="宋体" w:cs="宋体"/>
          <w:b/>
          <w:sz w:val="24"/>
          <w:lang w:eastAsia="zh-TW"/>
        </w:rPr>
        <w:t>投标人须知前附表</w:t>
      </w:r>
      <w:r>
        <w:rPr>
          <w:rFonts w:hint="eastAsia" w:ascii="宋体" w:hAnsi="宋体" w:cs="宋体"/>
          <w:sz w:val="24"/>
          <w:lang w:eastAsia="zh-TW"/>
        </w:rPr>
        <w:t>中规定</w:t>
      </w:r>
      <w:r>
        <w:rPr>
          <w:rFonts w:hint="eastAsia" w:ascii="宋体" w:hAnsi="宋体" w:cs="宋体"/>
          <w:sz w:val="24"/>
        </w:rPr>
        <w:t>缴纳</w:t>
      </w:r>
      <w:r>
        <w:rPr>
          <w:rFonts w:hint="eastAsia" w:ascii="宋体" w:hAnsi="宋体" w:cs="宋体"/>
          <w:sz w:val="24"/>
          <w:lang w:eastAsia="zh-TW"/>
        </w:rPr>
        <w:t>投标保证金</w:t>
      </w:r>
      <w:r>
        <w:rPr>
          <w:rFonts w:hint="eastAsia" w:ascii="宋体" w:hAnsi="宋体" w:cs="宋体"/>
          <w:sz w:val="24"/>
        </w:rPr>
        <w:t>，</w:t>
      </w:r>
      <w:r>
        <w:rPr>
          <w:rFonts w:hint="eastAsia" w:ascii="宋体" w:hAnsi="宋体" w:cs="宋体"/>
          <w:sz w:val="24"/>
          <w:lang w:eastAsia="zh-TW"/>
        </w:rPr>
        <w:t>并作为其投标</w:t>
      </w:r>
      <w:r>
        <w:rPr>
          <w:rFonts w:hint="eastAsia" w:ascii="宋体" w:hAnsi="宋体" w:cs="宋体"/>
          <w:sz w:val="24"/>
        </w:rPr>
        <w:t>文件的组成</w:t>
      </w:r>
      <w:r>
        <w:rPr>
          <w:rFonts w:hint="eastAsia" w:ascii="宋体" w:hAnsi="宋体" w:cs="宋体"/>
          <w:sz w:val="24"/>
          <w:lang w:eastAsia="zh-TW"/>
        </w:rPr>
        <w:t>部分。</w:t>
      </w:r>
      <w:r>
        <w:rPr>
          <w:rFonts w:hint="eastAsia" w:ascii="宋体" w:hAnsi="宋体" w:cs="宋体"/>
          <w:sz w:val="24"/>
        </w:rPr>
        <w:t>投标保证金有效期应当与投标有效期一致。</w:t>
      </w:r>
    </w:p>
    <w:p w14:paraId="4720006F">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59921A37">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未中标的投标人保证金，在中标通知书发出之日起5个工作日内，但因投标人自身原因导致无法及时退还的除外。</w:t>
      </w:r>
    </w:p>
    <w:p w14:paraId="124EC802">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中标人的投标保证金，在中标人与采购人签订采购合同之日起5个工作日内，或者转为中标人的履约保证金，但因投标人自身原因导致无法及时退还的除外。</w:t>
      </w:r>
    </w:p>
    <w:p w14:paraId="1195E31A">
      <w:pPr>
        <w:numPr>
          <w:ilvl w:val="1"/>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下列任一情形发生时，投标保证金将不予退还：</w:t>
      </w:r>
    </w:p>
    <w:p w14:paraId="7EE5B3B6">
      <w:pPr>
        <w:numPr>
          <w:ilvl w:val="2"/>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投标人在招标文件中规定的投标有效期内撤销其投标文件；</w:t>
      </w:r>
    </w:p>
    <w:p w14:paraId="61045AC3">
      <w:pPr>
        <w:numPr>
          <w:ilvl w:val="2"/>
          <w:numId w:val="46"/>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中标后无正当理由放弃中标或中标人拒绝与采购人签订合同；</w:t>
      </w:r>
    </w:p>
    <w:p w14:paraId="43DFC889">
      <w:pPr>
        <w:numPr>
          <w:ilvl w:val="0"/>
          <w:numId w:val="46"/>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投标有效期</w:t>
      </w:r>
    </w:p>
    <w:p w14:paraId="7150E494">
      <w:pPr>
        <w:numPr>
          <w:ilvl w:val="1"/>
          <w:numId w:val="46"/>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投标应自</w:t>
      </w:r>
      <w:r>
        <w:rPr>
          <w:rFonts w:hint="eastAsia" w:ascii="宋体" w:hAnsi="宋体" w:cs="宋体"/>
          <w:b/>
          <w:sz w:val="24"/>
          <w:lang w:eastAsia="zh-TW"/>
        </w:rPr>
        <w:t>投标</w:t>
      </w:r>
      <w:r>
        <w:rPr>
          <w:rFonts w:hint="eastAsia" w:ascii="宋体" w:hAnsi="宋体" w:cs="宋体"/>
          <w:b/>
          <w:sz w:val="24"/>
        </w:rPr>
        <w:t>邀请</w:t>
      </w:r>
      <w:r>
        <w:rPr>
          <w:rFonts w:hint="eastAsia" w:ascii="宋体" w:hAnsi="宋体" w:cs="宋体"/>
          <w:sz w:val="24"/>
          <w:lang w:eastAsia="zh-TW"/>
        </w:rPr>
        <w:t>中规定的提交投标文件的截止之日起算，并</w:t>
      </w:r>
      <w:r>
        <w:rPr>
          <w:rFonts w:hint="eastAsia" w:ascii="宋体" w:hAnsi="宋体" w:cs="宋体"/>
          <w:sz w:val="24"/>
        </w:rPr>
        <w:t>与</w:t>
      </w:r>
      <w:r>
        <w:rPr>
          <w:rFonts w:hint="eastAsia" w:ascii="宋体" w:hAnsi="宋体" w:cs="宋体"/>
          <w:b/>
          <w:sz w:val="24"/>
          <w:lang w:eastAsia="zh-TW"/>
        </w:rPr>
        <w:t>投标人须知前附表</w:t>
      </w:r>
      <w:r>
        <w:rPr>
          <w:rFonts w:hint="eastAsia" w:ascii="宋体" w:hAnsi="宋体" w:cs="宋体"/>
          <w:sz w:val="24"/>
          <w:lang w:eastAsia="zh-TW"/>
        </w:rPr>
        <w:t>中所述期限内保持有效。</w:t>
      </w:r>
    </w:p>
    <w:p w14:paraId="08C9A460">
      <w:pPr>
        <w:numPr>
          <w:ilvl w:val="1"/>
          <w:numId w:val="46"/>
        </w:numPr>
        <w:autoSpaceDE w:val="0"/>
        <w:autoSpaceDN w:val="0"/>
        <w:snapToGrid w:val="0"/>
        <w:spacing w:line="360" w:lineRule="auto"/>
        <w:rPr>
          <w:rFonts w:ascii="宋体" w:hAnsi="宋体"/>
          <w:sz w:val="24"/>
        </w:rPr>
      </w:pPr>
      <w:r>
        <w:rPr>
          <w:rFonts w:hint="eastAsia" w:ascii="宋体" w:hAnsi="宋体" w:cs="宋体"/>
          <w:sz w:val="24"/>
          <w:lang w:eastAsia="zh-TW"/>
        </w:rPr>
        <w:t>特殊情况下</w:t>
      </w:r>
      <w:r>
        <w:rPr>
          <w:rFonts w:hint="eastAsia" w:ascii="宋体" w:hAnsi="宋体" w:cs="宋体"/>
          <w:sz w:val="24"/>
        </w:rPr>
        <w:t>，</w:t>
      </w:r>
      <w:r>
        <w:rPr>
          <w:rFonts w:hint="eastAsia" w:ascii="宋体" w:hAnsi="宋体" w:cs="宋体"/>
          <w:sz w:val="24"/>
          <w:lang w:eastAsia="zh-TW"/>
        </w:rPr>
        <w:t>在原投标有效期截止之前</w:t>
      </w:r>
      <w:r>
        <w:rPr>
          <w:rFonts w:hint="eastAsia" w:ascii="宋体" w:hAnsi="宋体" w:cs="宋体"/>
          <w:sz w:val="24"/>
        </w:rPr>
        <w:t>，</w:t>
      </w:r>
      <w:r>
        <w:rPr>
          <w:rFonts w:hint="eastAsia" w:ascii="宋体" w:hAnsi="宋体" w:cs="宋体"/>
          <w:sz w:val="24"/>
          <w:lang w:eastAsia="zh-TW"/>
        </w:rPr>
        <w:t>采购代理机构可要求投标人延长投标有效期。这种要求与答复均应以书面形式提交。投标人可拒绝采购代理机构的这种要求</w:t>
      </w:r>
      <w:r>
        <w:rPr>
          <w:rFonts w:hint="eastAsia" w:ascii="宋体" w:hAnsi="宋体" w:cs="宋体"/>
          <w:sz w:val="24"/>
        </w:rPr>
        <w:t>，</w:t>
      </w:r>
      <w:r>
        <w:rPr>
          <w:rFonts w:hint="eastAsia" w:ascii="宋体" w:hAnsi="宋体" w:cs="宋体"/>
          <w:sz w:val="24"/>
          <w:lang w:eastAsia="zh-TW"/>
        </w:rPr>
        <w:t>其投标保证金将</w:t>
      </w:r>
      <w:r>
        <w:rPr>
          <w:rFonts w:hint="eastAsia" w:ascii="宋体" w:hAnsi="宋体" w:cs="宋体"/>
          <w:sz w:val="24"/>
        </w:rPr>
        <w:t>予以退还，</w:t>
      </w:r>
      <w:r>
        <w:rPr>
          <w:rFonts w:hint="eastAsia" w:ascii="宋体" w:hAnsi="宋体" w:cs="宋体"/>
          <w:sz w:val="24"/>
          <w:lang w:eastAsia="zh-TW"/>
        </w:rPr>
        <w:t>但其投标在原投标有效期期满后将不再有效。同意延长投标有效期的投标人将不会被要求和允许修正其投标</w:t>
      </w:r>
      <w:r>
        <w:rPr>
          <w:rFonts w:hint="eastAsia" w:ascii="宋体" w:hAnsi="宋体" w:cs="宋体"/>
          <w:sz w:val="24"/>
        </w:rPr>
        <w:t>，</w:t>
      </w:r>
      <w:r>
        <w:rPr>
          <w:rFonts w:hint="eastAsia" w:ascii="宋体" w:hAnsi="宋体" w:cs="宋体"/>
          <w:sz w:val="24"/>
          <w:lang w:eastAsia="zh-TW"/>
        </w:rPr>
        <w:t>而只会被要求相应地延长其投标保证金的有效期。在这种情况下</w:t>
      </w:r>
      <w:r>
        <w:rPr>
          <w:rFonts w:hint="eastAsia" w:ascii="宋体" w:hAnsi="宋体" w:cs="宋体"/>
          <w:sz w:val="24"/>
        </w:rPr>
        <w:t>，</w:t>
      </w:r>
      <w:r>
        <w:rPr>
          <w:rFonts w:hint="eastAsia" w:ascii="宋体" w:hAnsi="宋体" w:cs="宋体"/>
          <w:sz w:val="24"/>
          <w:lang w:eastAsia="zh-TW"/>
        </w:rPr>
        <w:t>本须知有关投标保证金的退还和</w:t>
      </w:r>
      <w:r>
        <w:rPr>
          <w:rFonts w:hint="eastAsia" w:ascii="宋体" w:hAnsi="宋体" w:cs="宋体"/>
          <w:sz w:val="24"/>
        </w:rPr>
        <w:t>不予退还</w:t>
      </w:r>
      <w:r>
        <w:rPr>
          <w:rFonts w:hint="eastAsia" w:ascii="宋体" w:hAnsi="宋体" w:cs="宋体"/>
          <w:sz w:val="24"/>
          <w:lang w:eastAsia="zh-TW"/>
        </w:rPr>
        <w:t>的规定将在延长了的有效期内继续有效。</w:t>
      </w:r>
    </w:p>
    <w:p w14:paraId="1CC0EEAC">
      <w:pPr>
        <w:numPr>
          <w:ilvl w:val="0"/>
          <w:numId w:val="43"/>
        </w:numPr>
        <w:tabs>
          <w:tab w:val="left" w:pos="4395"/>
        </w:tabs>
        <w:autoSpaceDE w:val="0"/>
        <w:autoSpaceDN w:val="0"/>
        <w:snapToGrid w:val="0"/>
        <w:spacing w:line="360" w:lineRule="auto"/>
        <w:ind w:left="708" w:hanging="708" w:hangingChars="252"/>
        <w:jc w:val="center"/>
        <w:outlineLvl w:val="2"/>
        <w:rPr>
          <w:rFonts w:ascii="宋体" w:hAnsi="宋体"/>
          <w:b/>
          <w:sz w:val="28"/>
          <w:szCs w:val="28"/>
          <w:lang w:eastAsia="zh-TW"/>
        </w:rPr>
      </w:pPr>
      <w:bookmarkStart w:id="60" w:name="_Toc435174936"/>
      <w:bookmarkStart w:id="61" w:name="_Toc438223139"/>
      <w:bookmarkStart w:id="62" w:name="_Toc27214"/>
      <w:bookmarkStart w:id="63" w:name="_Toc435516653"/>
      <w:r>
        <w:rPr>
          <w:rFonts w:hint="eastAsia" w:ascii="宋体" w:hAnsi="宋体"/>
          <w:b/>
          <w:sz w:val="28"/>
          <w:szCs w:val="28"/>
          <w:lang w:eastAsia="zh-TW"/>
        </w:rPr>
        <w:t>投标文件的递交</w:t>
      </w:r>
      <w:bookmarkEnd w:id="60"/>
      <w:bookmarkEnd w:id="61"/>
      <w:bookmarkEnd w:id="62"/>
      <w:bookmarkEnd w:id="63"/>
    </w:p>
    <w:p w14:paraId="38885E5D">
      <w:pPr>
        <w:numPr>
          <w:ilvl w:val="0"/>
          <w:numId w:val="49"/>
        </w:numPr>
        <w:autoSpaceDE w:val="0"/>
        <w:autoSpaceDN w:val="0"/>
        <w:snapToGrid w:val="0"/>
        <w:spacing w:line="360" w:lineRule="auto"/>
        <w:outlineLvl w:val="3"/>
        <w:rPr>
          <w:rFonts w:ascii="宋体" w:hAnsi="宋体"/>
          <w:b/>
          <w:bCs/>
          <w:sz w:val="24"/>
        </w:rPr>
      </w:pPr>
      <w:r>
        <w:rPr>
          <w:rFonts w:hint="eastAsia" w:ascii="宋体" w:hAnsi="宋体"/>
          <w:b/>
          <w:bCs/>
          <w:sz w:val="24"/>
        </w:rPr>
        <w:t>投标文件递交</w:t>
      </w:r>
    </w:p>
    <w:p w14:paraId="7658E90B">
      <w:pPr>
        <w:numPr>
          <w:ilvl w:val="1"/>
          <w:numId w:val="49"/>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投标人</w:t>
      </w:r>
      <w:r>
        <w:rPr>
          <w:rFonts w:hint="eastAsia" w:ascii="宋体" w:hAnsi="宋体" w:cs="宋体"/>
          <w:sz w:val="24"/>
        </w:rPr>
        <w:t>的投标文件</w:t>
      </w:r>
      <w:r>
        <w:rPr>
          <w:rFonts w:hint="eastAsia" w:ascii="宋体" w:hAnsi="宋体" w:cs="宋体"/>
          <w:sz w:val="24"/>
          <w:lang w:eastAsia="zh-TW"/>
        </w:rPr>
        <w:t>应</w:t>
      </w:r>
      <w:r>
        <w:rPr>
          <w:rFonts w:hint="eastAsia" w:ascii="宋体" w:hAnsi="宋体" w:cs="宋体"/>
          <w:sz w:val="24"/>
        </w:rPr>
        <w:t>在</w:t>
      </w:r>
      <w:r>
        <w:rPr>
          <w:rFonts w:hint="eastAsia" w:ascii="宋体" w:hAnsi="宋体"/>
          <w:sz w:val="24"/>
        </w:rPr>
        <w:t>本项目投标截止时间前送达开标地点。</w:t>
      </w:r>
    </w:p>
    <w:p w14:paraId="2A354A86">
      <w:pPr>
        <w:numPr>
          <w:ilvl w:val="1"/>
          <w:numId w:val="49"/>
        </w:numPr>
        <w:autoSpaceDE w:val="0"/>
        <w:autoSpaceDN w:val="0"/>
        <w:snapToGrid w:val="0"/>
        <w:spacing w:line="360" w:lineRule="auto"/>
        <w:rPr>
          <w:rFonts w:ascii="宋体" w:hAnsi="宋体" w:cs="黑体"/>
          <w:b/>
          <w:bCs/>
          <w:strike/>
          <w:sz w:val="24"/>
        </w:rPr>
      </w:pPr>
      <w:r>
        <w:rPr>
          <w:rFonts w:hint="eastAsia" w:ascii="宋体" w:hAnsi="宋体" w:cs="宋体"/>
          <w:sz w:val="24"/>
          <w:lang w:eastAsia="zh-TW"/>
        </w:rPr>
        <w:t>逾期送达或者未按照招标文件要求密封的投标文件，采购人、采购代理机构应当拒收。</w:t>
      </w:r>
    </w:p>
    <w:p w14:paraId="15300A3F">
      <w:pPr>
        <w:numPr>
          <w:ilvl w:val="0"/>
          <w:numId w:val="49"/>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投标文件的修改和撤回、撤销</w:t>
      </w:r>
    </w:p>
    <w:p w14:paraId="032443CE">
      <w:pPr>
        <w:numPr>
          <w:ilvl w:val="1"/>
          <w:numId w:val="49"/>
        </w:numPr>
        <w:autoSpaceDE w:val="0"/>
        <w:autoSpaceDN w:val="0"/>
        <w:snapToGrid w:val="0"/>
        <w:spacing w:line="360" w:lineRule="auto"/>
        <w:rPr>
          <w:rFonts w:ascii="宋体" w:hAnsi="宋体" w:cs="黑体"/>
          <w:b/>
          <w:bCs/>
          <w:sz w:val="24"/>
        </w:rPr>
      </w:pPr>
      <w:r>
        <w:rPr>
          <w:rFonts w:hint="eastAsia" w:ascii="宋体" w:hAnsi="宋体" w:cs="宋体"/>
          <w:sz w:val="24"/>
          <w:lang w:eastAsia="zh-TW"/>
        </w:rPr>
        <w:t>投标人在投标截止时间前，可以对所递交的投标文件进行补充、修改或者撤回，并书面通知采购代理机构。补充、修改的内容应当按招标文件要求签署、盖章</w:t>
      </w:r>
      <w:r>
        <w:rPr>
          <w:rFonts w:hint="eastAsia" w:ascii="宋体" w:hAnsi="宋体" w:cs="宋体"/>
          <w:sz w:val="24"/>
        </w:rPr>
        <w:t>和</w:t>
      </w:r>
      <w:r>
        <w:rPr>
          <w:rFonts w:hint="eastAsia" w:ascii="宋体" w:hAnsi="宋体" w:cs="宋体"/>
          <w:sz w:val="24"/>
          <w:lang w:eastAsia="zh-TW"/>
        </w:rPr>
        <w:t>密封后，并作为投标文件的组成部分。在投标截止时间之后，投标人不得对其投标文件做任何修改和补充。</w:t>
      </w:r>
    </w:p>
    <w:p w14:paraId="4BD57FD2">
      <w:pPr>
        <w:numPr>
          <w:ilvl w:val="1"/>
          <w:numId w:val="49"/>
        </w:numPr>
        <w:autoSpaceDE w:val="0"/>
        <w:autoSpaceDN w:val="0"/>
        <w:snapToGrid w:val="0"/>
        <w:spacing w:line="360" w:lineRule="auto"/>
        <w:rPr>
          <w:rFonts w:ascii="宋体" w:hAnsi="宋体" w:cs="黑体"/>
          <w:b/>
          <w:bCs/>
          <w:sz w:val="24"/>
        </w:rPr>
      </w:pPr>
      <w:r>
        <w:rPr>
          <w:rFonts w:hint="eastAsia" w:ascii="宋体" w:hAnsi="宋体"/>
          <w:bCs/>
          <w:sz w:val="24"/>
        </w:rPr>
        <w:t>投标人在投标截止后或在招标文件中规定的投标有效期内不可撤销其投标。</w:t>
      </w:r>
    </w:p>
    <w:p w14:paraId="6165EA0C">
      <w:pPr>
        <w:numPr>
          <w:ilvl w:val="1"/>
          <w:numId w:val="49"/>
        </w:numPr>
        <w:autoSpaceDE w:val="0"/>
        <w:autoSpaceDN w:val="0"/>
        <w:snapToGrid w:val="0"/>
        <w:spacing w:line="360" w:lineRule="auto"/>
        <w:rPr>
          <w:rFonts w:ascii="宋体" w:hAnsi="宋体" w:cs="黑体"/>
          <w:b/>
          <w:bCs/>
          <w:strike/>
          <w:sz w:val="24"/>
        </w:rPr>
      </w:pPr>
      <w:r>
        <w:rPr>
          <w:rFonts w:hint="eastAsia" w:ascii="宋体" w:hAnsi="宋体"/>
          <w:sz w:val="24"/>
        </w:rPr>
        <w:t>除投标人不足3家不得开标的情形外，投标人所提交的投标文件在本项目投标截止时间后均不予退还。</w:t>
      </w:r>
    </w:p>
    <w:p w14:paraId="61510BAF">
      <w:pPr>
        <w:numPr>
          <w:ilvl w:val="0"/>
          <w:numId w:val="43"/>
        </w:numPr>
        <w:tabs>
          <w:tab w:val="left" w:pos="4395"/>
        </w:tabs>
        <w:autoSpaceDE w:val="0"/>
        <w:autoSpaceDN w:val="0"/>
        <w:snapToGrid w:val="0"/>
        <w:spacing w:line="360" w:lineRule="auto"/>
        <w:ind w:left="708" w:hanging="708" w:hangingChars="252"/>
        <w:jc w:val="center"/>
        <w:outlineLvl w:val="2"/>
        <w:rPr>
          <w:rFonts w:ascii="宋体" w:hAnsi="宋体"/>
          <w:b/>
          <w:sz w:val="28"/>
          <w:szCs w:val="28"/>
          <w:lang w:eastAsia="zh-TW"/>
        </w:rPr>
      </w:pPr>
      <w:bookmarkStart w:id="64" w:name="_Toc7673"/>
      <w:r>
        <w:rPr>
          <w:rFonts w:hint="eastAsia" w:ascii="宋体" w:hAnsi="宋体"/>
          <w:b/>
          <w:sz w:val="28"/>
          <w:szCs w:val="28"/>
          <w:lang w:eastAsia="zh-TW"/>
        </w:rPr>
        <w:t>开标、评标、定标与合同签订</w:t>
      </w:r>
      <w:bookmarkEnd w:id="64"/>
    </w:p>
    <w:p w14:paraId="5B4018F7">
      <w:pPr>
        <w:numPr>
          <w:ilvl w:val="0"/>
          <w:numId w:val="50"/>
        </w:numPr>
        <w:autoSpaceDE w:val="0"/>
        <w:autoSpaceDN w:val="0"/>
        <w:snapToGrid w:val="0"/>
        <w:spacing w:line="360" w:lineRule="auto"/>
        <w:outlineLvl w:val="3"/>
        <w:rPr>
          <w:rFonts w:ascii="宋体" w:hAnsi="宋体"/>
          <w:b/>
          <w:bCs/>
          <w:sz w:val="24"/>
        </w:rPr>
      </w:pPr>
      <w:r>
        <w:rPr>
          <w:rFonts w:hint="eastAsia" w:ascii="宋体" w:hAnsi="宋体"/>
          <w:b/>
          <w:bCs/>
          <w:sz w:val="24"/>
        </w:rPr>
        <w:t>开标</w:t>
      </w:r>
    </w:p>
    <w:p w14:paraId="271DD921">
      <w:pPr>
        <w:pStyle w:val="84"/>
        <w:widowControl/>
        <w:numPr>
          <w:ilvl w:val="1"/>
          <w:numId w:val="43"/>
        </w:numPr>
        <w:snapToGrid w:val="0"/>
        <w:spacing w:line="360" w:lineRule="auto"/>
        <w:ind w:left="426" w:firstLineChars="0"/>
        <w:jc w:val="left"/>
        <w:rPr>
          <w:rFonts w:hAnsi="宋体"/>
          <w:sz w:val="24"/>
        </w:rPr>
      </w:pPr>
      <w:r>
        <w:rPr>
          <w:rFonts w:hint="eastAsia" w:ascii="宋体" w:hAnsi="宋体" w:cs="宋体"/>
          <w:sz w:val="24"/>
          <w:lang w:eastAsia="zh-TW"/>
        </w:rPr>
        <w:t>采购代理机构在投标邀请中规定的日期、时</w:t>
      </w:r>
      <w:r>
        <w:rPr>
          <w:rFonts w:hint="eastAsia" w:ascii="宋体" w:hAnsi="宋体" w:cs="宋体"/>
          <w:sz w:val="24"/>
        </w:rPr>
        <w:t>间</w:t>
      </w:r>
      <w:r>
        <w:rPr>
          <w:rFonts w:hint="eastAsia" w:ascii="宋体" w:hAnsi="宋体" w:cs="宋体"/>
          <w:sz w:val="24"/>
          <w:lang w:eastAsia="zh-TW"/>
        </w:rPr>
        <w:t>和地点组织</w:t>
      </w:r>
      <w:r>
        <w:rPr>
          <w:rFonts w:hint="eastAsia" w:ascii="宋体" w:hAnsi="宋体" w:cs="宋体"/>
          <w:sz w:val="24"/>
        </w:rPr>
        <w:t>开标会议</w:t>
      </w:r>
      <w:r>
        <w:rPr>
          <w:rFonts w:hint="eastAsia" w:ascii="宋体" w:hAnsi="宋体" w:cs="宋体"/>
          <w:sz w:val="24"/>
          <w:lang w:eastAsia="zh-TW"/>
        </w:rPr>
        <w:t>。</w:t>
      </w:r>
      <w:r>
        <w:rPr>
          <w:rFonts w:hint="eastAsia" w:ascii="宋体" w:hAnsi="宋体" w:cs="宋体"/>
          <w:sz w:val="24"/>
        </w:rPr>
        <w:t>开标时邀请所有投标人代表参加。</w:t>
      </w:r>
    </w:p>
    <w:p w14:paraId="591155AA">
      <w:pPr>
        <w:pStyle w:val="84"/>
        <w:widowControl/>
        <w:numPr>
          <w:ilvl w:val="1"/>
          <w:numId w:val="43"/>
        </w:numPr>
        <w:snapToGrid w:val="0"/>
        <w:spacing w:line="360" w:lineRule="auto"/>
        <w:ind w:left="426" w:hanging="426" w:firstLineChars="0"/>
        <w:jc w:val="left"/>
        <w:rPr>
          <w:rFonts w:ascii="宋体" w:hAnsi="宋体" w:cs="宋体"/>
          <w:sz w:val="24"/>
          <w:lang w:eastAsia="zh-TW"/>
        </w:rPr>
      </w:pPr>
      <w:r>
        <w:rPr>
          <w:rFonts w:hint="eastAsia" w:ascii="宋体" w:hAnsi="宋体" w:cs="宋体"/>
          <w:sz w:val="24"/>
          <w:lang w:eastAsia="zh-TW"/>
        </w:rPr>
        <w:t>开标时，由投标人或者其推选的代表检查投标文件的密封情况；经确认无误后，由采购人或者采购代理机构工作人员当众拆封，宣布投标人名称、投标价格和招标文件规定的需要宣布的其他内容。</w:t>
      </w:r>
    </w:p>
    <w:p w14:paraId="4B066478">
      <w:pPr>
        <w:pStyle w:val="84"/>
        <w:widowControl/>
        <w:numPr>
          <w:ilvl w:val="1"/>
          <w:numId w:val="43"/>
        </w:numPr>
        <w:snapToGrid w:val="0"/>
        <w:spacing w:line="360" w:lineRule="auto"/>
        <w:ind w:left="426" w:hanging="426" w:firstLineChars="0"/>
        <w:jc w:val="left"/>
        <w:rPr>
          <w:rFonts w:ascii="宋体" w:hAnsi="宋体" w:cs="宋体"/>
          <w:sz w:val="24"/>
          <w:lang w:eastAsia="zh-TW"/>
        </w:rPr>
      </w:pPr>
      <w:r>
        <w:rPr>
          <w:rFonts w:hint="eastAsia" w:ascii="宋体" w:hAnsi="宋体" w:cs="宋体"/>
          <w:sz w:val="24"/>
          <w:lang w:eastAsia="zh-TW"/>
        </w:rPr>
        <w:t>开标过程应当由采购人或者采购代理机构负责记录，由参加开标的各投标人代表和相关工作人员签字确认。</w:t>
      </w:r>
    </w:p>
    <w:p w14:paraId="0D15DBF4">
      <w:pPr>
        <w:pStyle w:val="84"/>
        <w:widowControl/>
        <w:numPr>
          <w:ilvl w:val="1"/>
          <w:numId w:val="43"/>
        </w:numPr>
        <w:snapToGrid w:val="0"/>
        <w:spacing w:line="360" w:lineRule="auto"/>
        <w:ind w:left="426" w:hanging="426" w:firstLineChars="0"/>
        <w:jc w:val="left"/>
        <w:rPr>
          <w:rFonts w:ascii="宋体" w:hAnsi="宋体" w:cs="宋体"/>
          <w:sz w:val="24"/>
          <w:lang w:eastAsia="zh-TW"/>
        </w:rPr>
      </w:pPr>
      <w:r>
        <w:rPr>
          <w:rFonts w:hint="eastAsia" w:ascii="宋体" w:hAnsi="宋体" w:cs="宋体"/>
          <w:sz w:val="24"/>
          <w:lang w:eastAsia="zh-TW"/>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0FAFB455">
      <w:pPr>
        <w:pStyle w:val="84"/>
        <w:widowControl/>
        <w:numPr>
          <w:ilvl w:val="1"/>
          <w:numId w:val="43"/>
        </w:numPr>
        <w:snapToGrid w:val="0"/>
        <w:spacing w:line="360" w:lineRule="auto"/>
        <w:ind w:left="426" w:hanging="426" w:firstLineChars="0"/>
        <w:jc w:val="left"/>
        <w:rPr>
          <w:rFonts w:ascii="宋体" w:hAnsi="宋体" w:cs="宋体"/>
          <w:sz w:val="24"/>
          <w:lang w:eastAsia="zh-TW"/>
        </w:rPr>
      </w:pPr>
      <w:r>
        <w:rPr>
          <w:rFonts w:hint="eastAsia" w:ascii="宋体" w:hAnsi="宋体" w:cs="宋体"/>
          <w:sz w:val="24"/>
          <w:lang w:eastAsia="zh-TW"/>
        </w:rPr>
        <w:t>投标人未参加开标的，视同认可开标结果。</w:t>
      </w:r>
    </w:p>
    <w:p w14:paraId="71532229">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评标：</w:t>
      </w:r>
    </w:p>
    <w:p w14:paraId="568125A2">
      <w:pPr>
        <w:pStyle w:val="84"/>
        <w:widowControl/>
        <w:numPr>
          <w:ilvl w:val="0"/>
          <w:numId w:val="51"/>
        </w:numPr>
        <w:snapToGrid w:val="0"/>
        <w:spacing w:line="360" w:lineRule="auto"/>
        <w:ind w:left="426" w:hanging="426" w:firstLineChars="0"/>
        <w:jc w:val="left"/>
        <w:rPr>
          <w:rFonts w:ascii="宋体" w:hAnsi="宋体"/>
          <w:b/>
          <w:bCs/>
          <w:sz w:val="24"/>
        </w:rPr>
      </w:pPr>
      <w:r>
        <w:rPr>
          <w:rFonts w:hint="eastAsia" w:ascii="宋体" w:hAnsi="宋体"/>
          <w:b/>
          <w:bCs/>
          <w:sz w:val="24"/>
        </w:rPr>
        <w:t>评标委员会组成及职责</w:t>
      </w:r>
    </w:p>
    <w:p w14:paraId="7CB7DB80">
      <w:pPr>
        <w:pStyle w:val="84"/>
        <w:widowControl/>
        <w:numPr>
          <w:ilvl w:val="0"/>
          <w:numId w:val="52"/>
        </w:numPr>
        <w:snapToGrid w:val="0"/>
        <w:spacing w:line="360" w:lineRule="auto"/>
        <w:ind w:left="426" w:firstLineChars="0"/>
        <w:jc w:val="left"/>
        <w:rPr>
          <w:rFonts w:ascii="宋体" w:hAnsi="宋体" w:cs="宋体"/>
          <w:sz w:val="24"/>
          <w:lang w:eastAsia="zh-TW"/>
        </w:rPr>
      </w:pPr>
      <w:r>
        <w:rPr>
          <w:rFonts w:hint="eastAsia" w:ascii="宋体" w:hAnsi="宋体" w:cs="宋体"/>
          <w:sz w:val="24"/>
        </w:rPr>
        <w:t>本次招标</w:t>
      </w:r>
      <w:r>
        <w:rPr>
          <w:rFonts w:hint="eastAsia" w:ascii="宋体" w:hAnsi="宋体" w:cs="宋体"/>
          <w:sz w:val="24"/>
          <w:lang w:eastAsia="zh-TW"/>
        </w:rPr>
        <w:t>依法组建评标委员会，评标委员会成员人数</w:t>
      </w:r>
      <w:r>
        <w:rPr>
          <w:rFonts w:hint="eastAsia" w:ascii="宋体" w:hAnsi="宋体" w:cs="宋体"/>
          <w:b/>
          <w:sz w:val="24"/>
        </w:rPr>
        <w:t>详见投标人须知前附表</w:t>
      </w:r>
      <w:r>
        <w:rPr>
          <w:rFonts w:hint="eastAsia" w:ascii="宋体" w:hAnsi="宋体" w:cs="宋体"/>
          <w:sz w:val="24"/>
          <w:lang w:eastAsia="zh-TW"/>
        </w:rPr>
        <w:t>。</w:t>
      </w:r>
    </w:p>
    <w:p w14:paraId="79854B84">
      <w:pPr>
        <w:pStyle w:val="84"/>
        <w:widowControl/>
        <w:numPr>
          <w:ilvl w:val="0"/>
          <w:numId w:val="52"/>
        </w:numPr>
        <w:snapToGrid w:val="0"/>
        <w:spacing w:line="360" w:lineRule="auto"/>
        <w:ind w:left="709" w:hanging="703" w:firstLineChars="0"/>
        <w:jc w:val="left"/>
        <w:rPr>
          <w:rFonts w:ascii="宋体" w:hAnsi="宋体" w:cs="宋体"/>
          <w:sz w:val="24"/>
          <w:lang w:eastAsia="zh-TW"/>
        </w:rPr>
      </w:pPr>
      <w:r>
        <w:rPr>
          <w:rFonts w:hint="eastAsia" w:ascii="宋体" w:hAnsi="宋体" w:cs="宋体"/>
          <w:sz w:val="24"/>
          <w:lang w:eastAsia="zh-TW"/>
        </w:rPr>
        <w:t>评标委员会成员名单在评标结果公告前应当保密。评审专家有下列情形之一的，受到邀请应主动提出回避，采购当事人也可以要求该评审专家回避：</w:t>
      </w:r>
    </w:p>
    <w:p w14:paraId="7959DB05">
      <w:pPr>
        <w:pStyle w:val="84"/>
        <w:widowControl/>
        <w:numPr>
          <w:ilvl w:val="1"/>
          <w:numId w:val="53"/>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参加采购活动前3年内与供应商存在劳动关系；</w:t>
      </w:r>
    </w:p>
    <w:p w14:paraId="7E63F4FD">
      <w:pPr>
        <w:pStyle w:val="84"/>
        <w:widowControl/>
        <w:numPr>
          <w:ilvl w:val="1"/>
          <w:numId w:val="53"/>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参加采购活动前3年内担任供应商的董事、监事；</w:t>
      </w:r>
    </w:p>
    <w:p w14:paraId="4323DFC5">
      <w:pPr>
        <w:pStyle w:val="84"/>
        <w:widowControl/>
        <w:numPr>
          <w:ilvl w:val="1"/>
          <w:numId w:val="53"/>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参加采购活动前3年内是供应商的控股股东或者实际控制人；</w:t>
      </w:r>
    </w:p>
    <w:p w14:paraId="659E04F6">
      <w:pPr>
        <w:pStyle w:val="84"/>
        <w:widowControl/>
        <w:numPr>
          <w:ilvl w:val="1"/>
          <w:numId w:val="53"/>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与供应商的法定代表人或者负责人有夫妻、直系血亲、三代以内旁系血亲或者近姻亲关系；</w:t>
      </w:r>
    </w:p>
    <w:p w14:paraId="0ADB0467">
      <w:pPr>
        <w:pStyle w:val="84"/>
        <w:widowControl/>
        <w:numPr>
          <w:ilvl w:val="1"/>
          <w:numId w:val="53"/>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与供应商有其他可能影响采购活动公平、公正进行的关系。</w:t>
      </w:r>
    </w:p>
    <w:p w14:paraId="03BA300D">
      <w:pPr>
        <w:pStyle w:val="84"/>
        <w:widowControl/>
        <w:numPr>
          <w:ilvl w:val="0"/>
          <w:numId w:val="52"/>
        </w:numPr>
        <w:snapToGrid w:val="0"/>
        <w:spacing w:line="360" w:lineRule="auto"/>
        <w:ind w:left="709" w:hanging="703" w:firstLineChars="0"/>
        <w:jc w:val="left"/>
        <w:rPr>
          <w:rFonts w:ascii="宋体" w:hAnsi="宋体" w:cs="宋体"/>
          <w:sz w:val="24"/>
          <w:lang w:eastAsia="zh-TW"/>
        </w:rPr>
      </w:pPr>
      <w:r>
        <w:rPr>
          <w:rFonts w:hint="eastAsia" w:ascii="宋体" w:hAnsi="宋体" w:cs="宋体"/>
          <w:sz w:val="24"/>
          <w:lang w:eastAsia="zh-TW"/>
        </w:rPr>
        <w:t>评标委员会成员和参与评标的有关工作人员不得透露对投标文件的评审和比较、中标候选人的推荐情况以及与评标有关的其他情况。</w:t>
      </w:r>
    </w:p>
    <w:p w14:paraId="2FA00851">
      <w:pPr>
        <w:pStyle w:val="84"/>
        <w:widowControl/>
        <w:numPr>
          <w:ilvl w:val="0"/>
          <w:numId w:val="52"/>
        </w:numPr>
        <w:snapToGrid w:val="0"/>
        <w:spacing w:line="360" w:lineRule="auto"/>
        <w:ind w:left="709" w:hanging="703" w:firstLineChars="0"/>
        <w:jc w:val="left"/>
        <w:rPr>
          <w:rFonts w:ascii="宋体" w:hAnsi="宋体" w:cs="宋体"/>
          <w:sz w:val="24"/>
          <w:lang w:eastAsia="zh-TW"/>
        </w:rPr>
      </w:pPr>
      <w:r>
        <w:rPr>
          <w:rFonts w:hint="eastAsia" w:ascii="宋体" w:hAnsi="宋体" w:cs="宋体"/>
          <w:sz w:val="24"/>
          <w:lang w:eastAsia="zh-TW"/>
        </w:rPr>
        <w:t>评标委员会负责具体评标事务，并独立履行下列职责：</w:t>
      </w:r>
    </w:p>
    <w:p w14:paraId="5CB26BCD">
      <w:pPr>
        <w:pStyle w:val="84"/>
        <w:widowControl/>
        <w:numPr>
          <w:ilvl w:val="0"/>
          <w:numId w:val="54"/>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审查、评价投标文件是否符合招标文件的商务、技术等实质性要求；</w:t>
      </w:r>
    </w:p>
    <w:p w14:paraId="5D8EA9DA">
      <w:pPr>
        <w:pStyle w:val="84"/>
        <w:widowControl/>
        <w:numPr>
          <w:ilvl w:val="0"/>
          <w:numId w:val="54"/>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要求投标人对投标文件有关事项作出澄清或者说明；</w:t>
      </w:r>
    </w:p>
    <w:p w14:paraId="5158233F">
      <w:pPr>
        <w:pStyle w:val="84"/>
        <w:widowControl/>
        <w:numPr>
          <w:ilvl w:val="0"/>
          <w:numId w:val="54"/>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对投标文件进行比较和评价；</w:t>
      </w:r>
    </w:p>
    <w:p w14:paraId="147D47EC">
      <w:pPr>
        <w:pStyle w:val="84"/>
        <w:widowControl/>
        <w:numPr>
          <w:ilvl w:val="0"/>
          <w:numId w:val="54"/>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确定中标候选人名单，以及根据采购人委托直接确定中标人；</w:t>
      </w:r>
    </w:p>
    <w:p w14:paraId="175FC447">
      <w:pPr>
        <w:pStyle w:val="84"/>
        <w:widowControl/>
        <w:numPr>
          <w:ilvl w:val="0"/>
          <w:numId w:val="54"/>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向采购人、采购代理机构或者有关部门报告评标中发现的违法行为。</w:t>
      </w:r>
    </w:p>
    <w:p w14:paraId="41316BE6">
      <w:pPr>
        <w:pStyle w:val="84"/>
        <w:widowControl/>
        <w:numPr>
          <w:ilvl w:val="0"/>
          <w:numId w:val="52"/>
        </w:numPr>
        <w:snapToGrid w:val="0"/>
        <w:spacing w:line="360" w:lineRule="auto"/>
        <w:ind w:left="709" w:hanging="703" w:firstLineChars="0"/>
        <w:jc w:val="left"/>
        <w:rPr>
          <w:rFonts w:ascii="宋体" w:hAnsi="宋体" w:cs="宋体"/>
          <w:sz w:val="24"/>
          <w:lang w:eastAsia="zh-TW"/>
        </w:rPr>
      </w:pPr>
      <w:r>
        <w:rPr>
          <w:rFonts w:hint="eastAsia" w:ascii="宋体" w:hAnsi="宋体" w:cs="宋体"/>
          <w:sz w:val="24"/>
          <w:lang w:eastAsia="zh-TW"/>
        </w:rPr>
        <w:t>对于投标文件中含义不明确、同类问题表述不一致或者有明显文字和计算错误的内容，评标委员会应当以书面形式要求投标人作出必要的澄清、说明或者补正。</w:t>
      </w:r>
    </w:p>
    <w:p w14:paraId="47F305F3">
      <w:pPr>
        <w:pStyle w:val="84"/>
        <w:widowControl/>
        <w:numPr>
          <w:ilvl w:val="0"/>
          <w:numId w:val="52"/>
        </w:numPr>
        <w:snapToGrid w:val="0"/>
        <w:spacing w:line="360" w:lineRule="auto"/>
        <w:ind w:left="709" w:hanging="703" w:firstLineChars="0"/>
        <w:jc w:val="left"/>
        <w:rPr>
          <w:rFonts w:ascii="宋体" w:hAnsi="宋体" w:cs="宋体"/>
          <w:sz w:val="24"/>
          <w:lang w:eastAsia="zh-TW"/>
        </w:rPr>
      </w:pPr>
      <w:r>
        <w:rPr>
          <w:rFonts w:hint="eastAsia" w:ascii="宋体" w:hAnsi="宋体" w:cs="宋体"/>
          <w:sz w:val="24"/>
          <w:lang w:eastAsia="zh-TW"/>
        </w:rPr>
        <w:t>投标人的澄清、说明或者补正应当采用书面形式，并加盖公章，或者由法定代表人或其授权的代表签字。投标人的澄清、说明或者补正不得超出投标文件的范围或者改变投标文件的实质性内容。投标人的澄清文件是其投标文件的组成部分。</w:t>
      </w:r>
    </w:p>
    <w:p w14:paraId="120FF873">
      <w:pPr>
        <w:pStyle w:val="84"/>
        <w:widowControl/>
        <w:numPr>
          <w:ilvl w:val="0"/>
          <w:numId w:val="52"/>
        </w:numPr>
        <w:snapToGrid w:val="0"/>
        <w:spacing w:line="360" w:lineRule="auto"/>
        <w:ind w:left="709" w:hanging="703" w:firstLineChars="0"/>
        <w:jc w:val="left"/>
        <w:rPr>
          <w:rFonts w:ascii="宋体" w:hAnsi="宋体" w:cs="宋体"/>
          <w:sz w:val="24"/>
          <w:lang w:eastAsia="zh-TW"/>
        </w:rPr>
      </w:pPr>
      <w:r>
        <w:rPr>
          <w:rFonts w:hint="eastAsia" w:ascii="宋体" w:hAnsi="宋体" w:cs="宋体"/>
          <w:sz w:val="24"/>
          <w:lang w:eastAsia="zh-TW"/>
        </w:rPr>
        <w:t>评标委员会决定投标的响应性只根据投标文件中提供的材料内容，而不依据外部的材料证据。</w:t>
      </w:r>
    </w:p>
    <w:p w14:paraId="4BFD3A73">
      <w:pPr>
        <w:pStyle w:val="84"/>
        <w:widowControl/>
        <w:numPr>
          <w:ilvl w:val="0"/>
          <w:numId w:val="51"/>
        </w:numPr>
        <w:snapToGrid w:val="0"/>
        <w:spacing w:line="360" w:lineRule="auto"/>
        <w:ind w:left="426" w:hanging="426" w:firstLineChars="0"/>
        <w:jc w:val="left"/>
        <w:rPr>
          <w:rFonts w:ascii="宋体" w:hAnsi="宋体"/>
          <w:b/>
          <w:bCs/>
          <w:sz w:val="24"/>
        </w:rPr>
      </w:pPr>
      <w:r>
        <w:rPr>
          <w:rFonts w:hint="eastAsia" w:ascii="宋体" w:hAnsi="宋体"/>
          <w:b/>
          <w:bCs/>
          <w:sz w:val="24"/>
        </w:rPr>
        <w:t>评标方法</w:t>
      </w:r>
    </w:p>
    <w:p w14:paraId="17142AA8">
      <w:pPr>
        <w:pStyle w:val="84"/>
        <w:widowControl/>
        <w:numPr>
          <w:ilvl w:val="0"/>
          <w:numId w:val="55"/>
        </w:numPr>
        <w:snapToGrid w:val="0"/>
        <w:spacing w:line="360" w:lineRule="auto"/>
        <w:ind w:left="426" w:hanging="426" w:firstLineChars="0"/>
        <w:jc w:val="left"/>
        <w:rPr>
          <w:rFonts w:ascii="宋体" w:hAnsi="宋体"/>
          <w:sz w:val="24"/>
        </w:rPr>
      </w:pPr>
      <w:r>
        <w:rPr>
          <w:rFonts w:hint="eastAsia" w:ascii="宋体" w:hAnsi="宋体"/>
          <w:sz w:val="24"/>
        </w:rPr>
        <w:t>本项目按照</w:t>
      </w:r>
      <w:r>
        <w:rPr>
          <w:rFonts w:hint="eastAsia" w:ascii="宋体" w:hAnsi="宋体"/>
          <w:b/>
          <w:sz w:val="24"/>
        </w:rPr>
        <w:t>投标人须知前附表</w:t>
      </w:r>
      <w:r>
        <w:rPr>
          <w:rFonts w:hint="eastAsia" w:ascii="宋体" w:hAnsi="宋体"/>
          <w:sz w:val="24"/>
        </w:rPr>
        <w:t>规定的评标方法进行评审。</w:t>
      </w:r>
    </w:p>
    <w:p w14:paraId="65D21F48">
      <w:pPr>
        <w:pStyle w:val="84"/>
        <w:widowControl/>
        <w:numPr>
          <w:ilvl w:val="0"/>
          <w:numId w:val="55"/>
        </w:numPr>
        <w:snapToGrid w:val="0"/>
        <w:spacing w:line="360" w:lineRule="auto"/>
        <w:ind w:left="426" w:hanging="426" w:firstLineChars="0"/>
        <w:jc w:val="left"/>
        <w:rPr>
          <w:rFonts w:ascii="宋体" w:hAnsi="宋体"/>
          <w:sz w:val="24"/>
        </w:rPr>
      </w:pPr>
      <w:r>
        <w:rPr>
          <w:rFonts w:hint="eastAsia" w:hAnsi="宋体"/>
          <w:sz w:val="24"/>
        </w:rPr>
        <w:t>综合评分法：</w:t>
      </w:r>
    </w:p>
    <w:p w14:paraId="7461A86C">
      <w:pPr>
        <w:pStyle w:val="84"/>
        <w:widowControl/>
        <w:numPr>
          <w:ilvl w:val="0"/>
          <w:numId w:val="56"/>
        </w:numPr>
        <w:tabs>
          <w:tab w:val="left" w:pos="567"/>
        </w:tabs>
        <w:snapToGrid w:val="0"/>
        <w:spacing w:line="360" w:lineRule="auto"/>
        <w:ind w:left="567" w:hanging="283" w:firstLineChars="0"/>
        <w:jc w:val="left"/>
        <w:rPr>
          <w:rFonts w:ascii="宋体" w:hAnsi="宋体"/>
          <w:bCs/>
          <w:sz w:val="24"/>
        </w:rPr>
      </w:pPr>
      <w:r>
        <w:rPr>
          <w:rFonts w:hint="eastAsia" w:ascii="宋体" w:hAnsi="宋体"/>
          <w:bCs/>
          <w:sz w:val="24"/>
        </w:rPr>
        <w:t>综合评分法，是指投标文件满足招标文件全部实质性要求，且按照评审因素的量化指标评审得分最高的投标人为中标候选人的评标方法。</w:t>
      </w:r>
    </w:p>
    <w:p w14:paraId="00F6687A">
      <w:pPr>
        <w:pStyle w:val="84"/>
        <w:widowControl/>
        <w:numPr>
          <w:ilvl w:val="0"/>
          <w:numId w:val="56"/>
        </w:numPr>
        <w:tabs>
          <w:tab w:val="left" w:pos="567"/>
        </w:tabs>
        <w:snapToGrid w:val="0"/>
        <w:spacing w:line="360" w:lineRule="auto"/>
        <w:ind w:hanging="136" w:firstLineChars="0"/>
        <w:jc w:val="left"/>
        <w:rPr>
          <w:rFonts w:ascii="宋体" w:hAnsi="宋体"/>
          <w:bCs/>
          <w:sz w:val="24"/>
        </w:rPr>
      </w:pPr>
      <w:r>
        <w:rPr>
          <w:rFonts w:hint="eastAsia" w:ascii="宋体" w:hAnsi="宋体"/>
          <w:bCs/>
          <w:sz w:val="24"/>
        </w:rPr>
        <w:t>评标步骤：</w:t>
      </w:r>
    </w:p>
    <w:p w14:paraId="03BCED2D">
      <w:pPr>
        <w:pStyle w:val="84"/>
        <w:widowControl/>
        <w:numPr>
          <w:ilvl w:val="0"/>
          <w:numId w:val="57"/>
        </w:numPr>
        <w:tabs>
          <w:tab w:val="left" w:pos="567"/>
        </w:tabs>
        <w:snapToGrid w:val="0"/>
        <w:spacing w:line="360" w:lineRule="auto"/>
        <w:ind w:left="567" w:hanging="284" w:firstLineChars="0"/>
        <w:jc w:val="left"/>
        <w:rPr>
          <w:rFonts w:ascii="宋体" w:cs="宋体"/>
          <w:sz w:val="24"/>
        </w:rPr>
      </w:pPr>
      <w:r>
        <w:rPr>
          <w:rFonts w:hint="eastAsia" w:ascii="宋体" w:hAnsi="宋体"/>
          <w:bCs/>
          <w:sz w:val="24"/>
        </w:rPr>
        <w:t>资格性审查：</w:t>
      </w:r>
      <w:r>
        <w:rPr>
          <w:rFonts w:hint="eastAsia" w:ascii="宋体" w:cs="宋体"/>
          <w:sz w:val="24"/>
        </w:rPr>
        <w:t>开标结束后，采购人或者采购代理机构依法对投标人的资格进行审查，详见《资格性审查表》。未通过资格性审查的投标人，不进入符合性审查。</w:t>
      </w:r>
    </w:p>
    <w:p w14:paraId="6144C7EF">
      <w:pPr>
        <w:pStyle w:val="84"/>
        <w:widowControl/>
        <w:numPr>
          <w:ilvl w:val="0"/>
          <w:numId w:val="57"/>
        </w:numPr>
        <w:tabs>
          <w:tab w:val="left" w:pos="426"/>
          <w:tab w:val="left" w:pos="567"/>
        </w:tabs>
        <w:snapToGrid w:val="0"/>
        <w:spacing w:line="360" w:lineRule="auto"/>
        <w:ind w:left="567" w:hanging="284" w:firstLineChars="0"/>
        <w:jc w:val="left"/>
        <w:rPr>
          <w:rFonts w:ascii="宋体" w:cs="宋体"/>
          <w:sz w:val="24"/>
        </w:rPr>
      </w:pPr>
      <w:r>
        <w:rPr>
          <w:rFonts w:hint="eastAsia" w:ascii="宋体" w:cs="宋体"/>
          <w:sz w:val="24"/>
        </w:rPr>
        <w:t>符合性审查：评标委员会应当对通过资格性审查的投标人的投标文件进行符合性审查，详见《符合性审查表》，以确定其是否满足招标文件的实质性要求。未通过符合性审查的投标人，不进入技术、商务和价格评审。</w:t>
      </w:r>
    </w:p>
    <w:p w14:paraId="194195A7">
      <w:pPr>
        <w:pStyle w:val="84"/>
        <w:widowControl/>
        <w:numPr>
          <w:ilvl w:val="0"/>
          <w:numId w:val="57"/>
        </w:numPr>
        <w:tabs>
          <w:tab w:val="left" w:pos="567"/>
        </w:tabs>
        <w:snapToGrid w:val="0"/>
        <w:spacing w:line="360" w:lineRule="auto"/>
        <w:ind w:left="567" w:hanging="283" w:firstLineChars="0"/>
        <w:jc w:val="left"/>
        <w:rPr>
          <w:rFonts w:ascii="宋体" w:cs="宋体"/>
          <w:sz w:val="24"/>
        </w:rPr>
      </w:pPr>
      <w:r>
        <w:rPr>
          <w:rFonts w:hint="eastAsia" w:ascii="宋体" w:cs="宋体"/>
          <w:sz w:val="24"/>
        </w:rPr>
        <w:t>详细评审：评标委员会对符合性审查合格的投标文件进行技术、商务评估，综合比较与评价。具体技术、商务、价格部分的评审因素详见《综合评分表》。</w:t>
      </w:r>
    </w:p>
    <w:p w14:paraId="6138942E">
      <w:pPr>
        <w:pStyle w:val="84"/>
        <w:widowControl/>
        <w:numPr>
          <w:ilvl w:val="0"/>
          <w:numId w:val="57"/>
        </w:numPr>
        <w:snapToGrid w:val="0"/>
        <w:spacing w:line="360" w:lineRule="auto"/>
        <w:ind w:left="567" w:hanging="283" w:firstLineChars="0"/>
        <w:jc w:val="left"/>
        <w:rPr>
          <w:rFonts w:ascii="宋体" w:hAnsi="宋体"/>
          <w:sz w:val="24"/>
        </w:rPr>
      </w:pPr>
      <w:r>
        <w:rPr>
          <w:rFonts w:hint="eastAsia" w:ascii="宋体" w:hAnsi="宋体"/>
          <w:sz w:val="24"/>
        </w:rPr>
        <w:t>评标过程中，不得去掉报价中的最高报价和最低报价。</w:t>
      </w:r>
    </w:p>
    <w:p w14:paraId="4DCD3B46">
      <w:pPr>
        <w:pStyle w:val="84"/>
        <w:widowControl/>
        <w:numPr>
          <w:ilvl w:val="0"/>
          <w:numId w:val="57"/>
        </w:numPr>
        <w:snapToGrid w:val="0"/>
        <w:spacing w:line="360" w:lineRule="auto"/>
        <w:ind w:left="567" w:hanging="283" w:firstLineChars="0"/>
        <w:jc w:val="left"/>
        <w:rPr>
          <w:rFonts w:ascii="宋体" w:hAnsi="宋体"/>
          <w:sz w:val="24"/>
        </w:rPr>
      </w:pPr>
      <w:r>
        <w:rPr>
          <w:rFonts w:hint="eastAsia" w:ascii="宋体" w:hAnsi="宋体"/>
          <w:sz w:val="24"/>
        </w:rPr>
        <w:t>评标时，评标委员会各成员应当独立对每个投标人的投标文件进行评价，并汇总每个投标人的得分。</w:t>
      </w:r>
    </w:p>
    <w:p w14:paraId="324F7CD1">
      <w:pPr>
        <w:pStyle w:val="84"/>
        <w:widowControl/>
        <w:numPr>
          <w:ilvl w:val="0"/>
          <w:numId w:val="57"/>
        </w:numPr>
        <w:snapToGrid w:val="0"/>
        <w:spacing w:line="360" w:lineRule="auto"/>
        <w:ind w:left="567" w:hanging="283" w:firstLineChars="0"/>
        <w:jc w:val="left"/>
        <w:rPr>
          <w:rFonts w:ascii="宋体" w:hAnsi="宋体"/>
          <w:sz w:val="24"/>
        </w:rPr>
      </w:pPr>
      <w:r>
        <w:rPr>
          <w:rFonts w:hint="eastAsia" w:ascii="宋体" w:hAnsi="宋体"/>
          <w:sz w:val="24"/>
        </w:rPr>
        <w:t>综合得分=技术得分+商务得分+价格得分。</w:t>
      </w:r>
    </w:p>
    <w:p w14:paraId="0AA084E3">
      <w:pPr>
        <w:pStyle w:val="84"/>
        <w:widowControl/>
        <w:numPr>
          <w:ilvl w:val="0"/>
          <w:numId w:val="55"/>
        </w:numPr>
        <w:snapToGrid w:val="0"/>
        <w:spacing w:line="360" w:lineRule="auto"/>
        <w:ind w:left="426" w:hanging="426" w:firstLineChars="0"/>
        <w:jc w:val="left"/>
        <w:rPr>
          <w:rFonts w:hAnsi="宋体"/>
          <w:sz w:val="24"/>
        </w:rPr>
      </w:pPr>
      <w:r>
        <w:rPr>
          <w:rFonts w:hint="eastAsia" w:hAnsi="宋体"/>
          <w:sz w:val="24"/>
        </w:rPr>
        <w:t>最低评标价法</w:t>
      </w:r>
    </w:p>
    <w:p w14:paraId="44D29AE4">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最低评标价法，是指投标文件满足招标文件全部实质性要求，且投标报价最低的投标人为中标候选人的评标方法。</w:t>
      </w:r>
    </w:p>
    <w:p w14:paraId="27720267">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评标步骤：</w:t>
      </w:r>
    </w:p>
    <w:p w14:paraId="7272784B">
      <w:pPr>
        <w:pStyle w:val="84"/>
        <w:widowControl/>
        <w:numPr>
          <w:ilvl w:val="0"/>
          <w:numId w:val="58"/>
        </w:numPr>
        <w:snapToGrid w:val="0"/>
        <w:spacing w:line="360" w:lineRule="auto"/>
        <w:ind w:left="851" w:hanging="425" w:firstLineChars="0"/>
        <w:jc w:val="left"/>
        <w:rPr>
          <w:rFonts w:ascii="宋体" w:hAnsi="宋体" w:cs="宋体"/>
          <w:sz w:val="24"/>
          <w:lang w:eastAsia="zh-TW"/>
        </w:rPr>
      </w:pPr>
      <w:r>
        <w:rPr>
          <w:rFonts w:hint="eastAsia" w:ascii="宋体" w:hAnsi="宋体" w:cs="宋体"/>
          <w:sz w:val="24"/>
          <w:lang w:eastAsia="zh-TW"/>
        </w:rPr>
        <w:t>资格性审查：开标结束后，采购人或者采购代理机构应当依法对投标人的资格进行审查，详见《资格性审查表》。未通过资格性审查的投标人，不进入符合性审查。</w:t>
      </w:r>
    </w:p>
    <w:p w14:paraId="042ED600">
      <w:pPr>
        <w:pStyle w:val="84"/>
        <w:widowControl/>
        <w:numPr>
          <w:ilvl w:val="0"/>
          <w:numId w:val="58"/>
        </w:numPr>
        <w:snapToGrid w:val="0"/>
        <w:spacing w:line="360" w:lineRule="auto"/>
        <w:ind w:left="851" w:hanging="425" w:firstLineChars="0"/>
        <w:jc w:val="left"/>
        <w:rPr>
          <w:rFonts w:ascii="宋体" w:hAnsi="宋体" w:cs="宋体"/>
          <w:sz w:val="24"/>
          <w:lang w:eastAsia="zh-TW"/>
        </w:rPr>
      </w:pPr>
      <w:r>
        <w:rPr>
          <w:rFonts w:hint="eastAsia" w:ascii="宋体" w:hAnsi="宋体" w:cs="宋体"/>
          <w:sz w:val="24"/>
          <w:lang w:eastAsia="zh-TW"/>
        </w:rPr>
        <w:t>符合性审查：评标委员会应当对通过资格性审查的投标人的投标文件进行符合性审查，详见《符合性审查表》，以确定其是否满足招标文件的实质性要求。未通过符合性审查的投标人，不进入价格评审。</w:t>
      </w:r>
    </w:p>
    <w:p w14:paraId="3C88626B">
      <w:pPr>
        <w:pStyle w:val="84"/>
        <w:widowControl/>
        <w:numPr>
          <w:ilvl w:val="0"/>
          <w:numId w:val="55"/>
        </w:numPr>
        <w:snapToGrid w:val="0"/>
        <w:spacing w:line="360" w:lineRule="auto"/>
        <w:ind w:left="426" w:hanging="426" w:firstLineChars="0"/>
        <w:jc w:val="left"/>
        <w:rPr>
          <w:rFonts w:hAnsi="宋体"/>
          <w:sz w:val="24"/>
        </w:rPr>
      </w:pPr>
      <w:r>
        <w:rPr>
          <w:rFonts w:hint="eastAsia" w:ascii="宋体" w:hAnsi="宋体" w:cs="宋体"/>
          <w:sz w:val="24"/>
        </w:rPr>
        <w:t>除非</w:t>
      </w:r>
      <w:r>
        <w:rPr>
          <w:rFonts w:hint="eastAsia" w:ascii="宋体" w:hAnsi="宋体" w:cs="黑体"/>
          <w:b/>
          <w:sz w:val="24"/>
        </w:rPr>
        <w:t>投标人须知前附表</w:t>
      </w:r>
      <w:r>
        <w:rPr>
          <w:rFonts w:hint="eastAsia" w:ascii="宋体" w:hAnsi="宋体" w:cs="宋体"/>
          <w:sz w:val="24"/>
        </w:rPr>
        <w:t>中另有规定，</w:t>
      </w:r>
      <w:r>
        <w:rPr>
          <w:rFonts w:hint="eastAsia" w:hAnsi="宋体"/>
          <w:sz w:val="24"/>
        </w:rPr>
        <w:t>投标文件报价出现前后不一致的，按照下列规定修正：</w:t>
      </w:r>
    </w:p>
    <w:p w14:paraId="3C870129">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投标文件中开标一览表（报价表）内容与投标文件中相应内容不一致的，以开标一览表（报价表）为准；</w:t>
      </w:r>
    </w:p>
    <w:p w14:paraId="5349FB27">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大写金额和小写金额不一致的，以大写金额为准；</w:t>
      </w:r>
    </w:p>
    <w:p w14:paraId="7CEF6C91">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单价金额小数点或者百分比有明显错位的，以开标一览表的总价为准，并修改单价；</w:t>
      </w:r>
    </w:p>
    <w:p w14:paraId="50D471AE">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总价金额与按单价汇总金额不一致的，以单价金额计算结果为准。</w:t>
      </w:r>
    </w:p>
    <w:p w14:paraId="410FF6DB">
      <w:pPr>
        <w:widowControl/>
        <w:snapToGrid w:val="0"/>
        <w:spacing w:line="360" w:lineRule="auto"/>
        <w:ind w:firstLine="600" w:firstLineChars="250"/>
        <w:jc w:val="left"/>
        <w:rPr>
          <w:rFonts w:ascii="宋体" w:hAnsi="宋体" w:cs="宋体"/>
          <w:b/>
          <w:sz w:val="24"/>
        </w:rPr>
      </w:pPr>
      <w:r>
        <w:rPr>
          <w:rFonts w:hint="eastAsia" w:ascii="宋体" w:hAnsi="宋体" w:cs="宋体"/>
          <w:sz w:val="24"/>
          <w:lang w:eastAsia="zh-TW"/>
        </w:rPr>
        <w:t>同时出现两种以上不一致的，按照前款规定的顺序修正。修正后的报价按照</w:t>
      </w:r>
      <w:r>
        <w:rPr>
          <w:rFonts w:hint="eastAsia" w:ascii="宋体" w:hAnsi="宋体" w:cs="宋体"/>
          <w:sz w:val="24"/>
        </w:rPr>
        <w:t>本章“</w:t>
      </w:r>
      <w:r>
        <w:rPr>
          <w:rFonts w:hint="eastAsia" w:ascii="宋体" w:hAnsi="宋体" w:cs="宋体"/>
          <w:b/>
          <w:sz w:val="24"/>
        </w:rPr>
        <w:t>评标委员会组成及职责”</w:t>
      </w:r>
      <w:r>
        <w:rPr>
          <w:rFonts w:hint="eastAsia" w:ascii="宋体" w:hAnsi="宋体" w:cs="宋体"/>
          <w:sz w:val="24"/>
        </w:rPr>
        <w:t>第（6）点</w:t>
      </w:r>
      <w:r>
        <w:rPr>
          <w:rFonts w:hint="eastAsia" w:ascii="宋体" w:hAnsi="宋体" w:cs="宋体"/>
          <w:sz w:val="24"/>
          <w:lang w:eastAsia="zh-TW"/>
        </w:rPr>
        <w:t>的规定经投标人确认后产生约束力，投标人不确认的，其</w:t>
      </w:r>
      <w:r>
        <w:rPr>
          <w:rFonts w:hint="eastAsia" w:ascii="宋体" w:hAnsi="宋体" w:cs="宋体"/>
          <w:b/>
          <w:sz w:val="24"/>
          <w:lang w:eastAsia="zh-TW"/>
        </w:rPr>
        <w:t>投标无效</w:t>
      </w:r>
      <w:r>
        <w:rPr>
          <w:rFonts w:hint="eastAsia" w:ascii="宋体" w:hAnsi="宋体" w:cs="宋体"/>
          <w:b/>
          <w:sz w:val="24"/>
        </w:rPr>
        <w:t>。</w:t>
      </w:r>
    </w:p>
    <w:p w14:paraId="54F2B08D">
      <w:pPr>
        <w:pStyle w:val="84"/>
        <w:widowControl/>
        <w:numPr>
          <w:ilvl w:val="0"/>
          <w:numId w:val="55"/>
        </w:numPr>
        <w:snapToGrid w:val="0"/>
        <w:spacing w:line="360" w:lineRule="auto"/>
        <w:ind w:left="709" w:hanging="709" w:firstLineChars="0"/>
        <w:jc w:val="left"/>
        <w:rPr>
          <w:rFonts w:hAnsi="宋体"/>
          <w:sz w:val="24"/>
        </w:rPr>
      </w:pPr>
      <w:r>
        <w:rPr>
          <w:rFonts w:hint="eastAsia" w:hAnsi="宋体"/>
          <w:sz w:val="24"/>
        </w:rPr>
        <w:t>价格评审：除了算术修正和落实政府采购政策需进行的价格扣除外，不能对投标人的投标价格进行任何调整，详见《价格扣除》。</w:t>
      </w:r>
    </w:p>
    <w:p w14:paraId="26139A83">
      <w:pPr>
        <w:pStyle w:val="84"/>
        <w:widowControl/>
        <w:numPr>
          <w:ilvl w:val="0"/>
          <w:numId w:val="55"/>
        </w:numPr>
        <w:snapToGrid w:val="0"/>
        <w:spacing w:line="360" w:lineRule="auto"/>
        <w:ind w:left="709" w:hanging="709" w:firstLineChars="0"/>
        <w:jc w:val="left"/>
        <w:rPr>
          <w:rFonts w:hAnsi="宋体"/>
          <w:sz w:val="24"/>
        </w:rPr>
      </w:pPr>
      <w:r>
        <w:rPr>
          <w:rFonts w:hint="eastAsia" w:hAnsi="宋体"/>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32D9CEE">
      <w:pPr>
        <w:pStyle w:val="84"/>
        <w:widowControl/>
        <w:numPr>
          <w:ilvl w:val="0"/>
          <w:numId w:val="55"/>
        </w:numPr>
        <w:snapToGrid w:val="0"/>
        <w:spacing w:line="360" w:lineRule="auto"/>
        <w:ind w:left="709" w:hanging="709" w:firstLineChars="0"/>
        <w:jc w:val="left"/>
        <w:rPr>
          <w:rFonts w:hAnsi="宋体"/>
          <w:sz w:val="24"/>
        </w:rPr>
      </w:pPr>
      <w:r>
        <w:rPr>
          <w:rFonts w:hint="eastAsia" w:hAnsi="宋体"/>
          <w:sz w:val="24"/>
        </w:rPr>
        <w:t>评标委员会成员对需要共同认定的事项存在争议的，应当按照少数服从多数的原则作出结论。持不同意见的评标委员会成员应当在评标报告上签署不同意见及理由，否则视为同意评标报告。</w:t>
      </w:r>
    </w:p>
    <w:p w14:paraId="51170DA1">
      <w:pPr>
        <w:numPr>
          <w:ilvl w:val="0"/>
          <w:numId w:val="50"/>
        </w:numPr>
        <w:autoSpaceDE w:val="0"/>
        <w:autoSpaceDN w:val="0"/>
        <w:snapToGrid w:val="0"/>
        <w:spacing w:line="360" w:lineRule="auto"/>
        <w:ind w:left="487" w:hanging="487" w:hangingChars="202"/>
        <w:outlineLvl w:val="3"/>
        <w:rPr>
          <w:rFonts w:hAnsi="宋体"/>
          <w:b/>
          <w:sz w:val="24"/>
        </w:rPr>
      </w:pPr>
      <w:r>
        <w:rPr>
          <w:rFonts w:hint="eastAsia" w:hAnsi="宋体"/>
          <w:b/>
          <w:sz w:val="24"/>
        </w:rPr>
        <w:t>推荐中标候选人</w:t>
      </w:r>
    </w:p>
    <w:p w14:paraId="0877A825">
      <w:pPr>
        <w:pStyle w:val="84"/>
        <w:widowControl/>
        <w:numPr>
          <w:ilvl w:val="0"/>
          <w:numId w:val="59"/>
        </w:numPr>
        <w:spacing w:line="360" w:lineRule="auto"/>
        <w:ind w:left="426" w:hanging="426" w:firstLineChars="0"/>
        <w:jc w:val="left"/>
        <w:rPr>
          <w:rFonts w:ascii="宋体" w:hAnsi="宋体" w:cs="宋体"/>
          <w:sz w:val="24"/>
          <w:lang w:eastAsia="zh-TW"/>
        </w:rPr>
      </w:pPr>
      <w:r>
        <w:rPr>
          <w:rFonts w:hint="eastAsia" w:hAnsi="宋体"/>
          <w:b/>
          <w:sz w:val="24"/>
        </w:rPr>
        <w:t>综合评分法</w:t>
      </w:r>
    </w:p>
    <w:p w14:paraId="5BD454F4">
      <w:pPr>
        <w:pStyle w:val="84"/>
        <w:widowControl/>
        <w:numPr>
          <w:ilvl w:val="1"/>
          <w:numId w:val="59"/>
        </w:numPr>
        <w:spacing w:line="360" w:lineRule="auto"/>
        <w:ind w:left="567" w:hanging="567" w:firstLineChars="0"/>
        <w:jc w:val="left"/>
        <w:rPr>
          <w:rFonts w:ascii="宋体" w:hAnsi="宋体" w:cs="宋体"/>
          <w:sz w:val="24"/>
          <w:lang w:eastAsia="zh-TW"/>
        </w:rPr>
      </w:pPr>
      <w:r>
        <w:rPr>
          <w:rFonts w:hint="eastAsia" w:ascii="宋体" w:hAnsi="宋体" w:cs="宋体"/>
          <w:sz w:val="24"/>
          <w:lang w:eastAsia="zh-TW"/>
        </w:rPr>
        <w:t>使用综合评分法的采购项目，单一产品采购</w:t>
      </w:r>
      <w:r>
        <w:rPr>
          <w:rFonts w:hint="eastAsia" w:ascii="宋体" w:hAnsi="宋体"/>
          <w:sz w:val="24"/>
        </w:rPr>
        <w:t>项目</w:t>
      </w:r>
      <w:r>
        <w:rPr>
          <w:rFonts w:hint="eastAsia" w:ascii="宋体" w:hAnsi="宋体" w:cs="宋体"/>
          <w:sz w:val="24"/>
          <w:lang w:eastAsia="zh-TW"/>
        </w:rPr>
        <w:t>提供相同品牌产品或</w:t>
      </w:r>
      <w:r>
        <w:rPr>
          <w:rFonts w:hint="eastAsia" w:ascii="宋体" w:hAnsi="宋体"/>
          <w:sz w:val="24"/>
        </w:rPr>
        <w:t>非单一产品采购项目多家投标人提供的任意一个核心产品品牌相同的，</w:t>
      </w:r>
      <w:r>
        <w:rPr>
          <w:rFonts w:hint="eastAsia" w:ascii="宋体" w:hAnsi="宋体" w:cs="宋体"/>
          <w:sz w:val="24"/>
          <w:lang w:eastAsia="zh-TW"/>
        </w:rPr>
        <w:t>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委托评标委员会采取随机抽取方式确定，其他同品牌投标人不作为中标候选人。</w:t>
      </w:r>
    </w:p>
    <w:p w14:paraId="7E7E6A65">
      <w:pPr>
        <w:pStyle w:val="84"/>
        <w:widowControl/>
        <w:numPr>
          <w:ilvl w:val="1"/>
          <w:numId w:val="59"/>
        </w:numPr>
        <w:spacing w:line="360" w:lineRule="auto"/>
        <w:ind w:left="567" w:hanging="567" w:firstLineChars="0"/>
        <w:jc w:val="left"/>
        <w:rPr>
          <w:rFonts w:ascii="宋体" w:hAnsi="宋体" w:cs="宋体"/>
          <w:sz w:val="24"/>
          <w:lang w:eastAsia="zh-TW"/>
        </w:rPr>
      </w:pPr>
      <w:r>
        <w:rPr>
          <w:rFonts w:hint="eastAsia" w:ascii="宋体" w:hAnsi="宋体"/>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6B43DB0">
      <w:pPr>
        <w:pStyle w:val="84"/>
        <w:widowControl/>
        <w:numPr>
          <w:ilvl w:val="0"/>
          <w:numId w:val="59"/>
        </w:numPr>
        <w:snapToGrid w:val="0"/>
        <w:spacing w:line="360" w:lineRule="auto"/>
        <w:ind w:left="426" w:hanging="426" w:firstLineChars="0"/>
        <w:jc w:val="left"/>
        <w:rPr>
          <w:rFonts w:ascii="宋体" w:hAnsi="宋体"/>
          <w:b/>
          <w:sz w:val="24"/>
        </w:rPr>
      </w:pPr>
      <w:r>
        <w:rPr>
          <w:rFonts w:hint="eastAsia" w:ascii="宋体" w:hAnsi="宋体"/>
          <w:b/>
          <w:sz w:val="24"/>
        </w:rPr>
        <w:t>最低评标价法：</w:t>
      </w:r>
    </w:p>
    <w:p w14:paraId="2A2D3747">
      <w:pPr>
        <w:pStyle w:val="84"/>
        <w:widowControl/>
        <w:numPr>
          <w:ilvl w:val="1"/>
          <w:numId w:val="59"/>
        </w:numPr>
        <w:snapToGrid w:val="0"/>
        <w:spacing w:line="360" w:lineRule="auto"/>
        <w:ind w:left="567" w:hanging="567" w:firstLineChars="0"/>
        <w:jc w:val="left"/>
        <w:rPr>
          <w:rFonts w:ascii="宋体" w:hAnsi="宋体" w:cs="宋体"/>
          <w:sz w:val="24"/>
          <w:lang w:eastAsia="zh-TW"/>
        </w:rPr>
      </w:pPr>
      <w:r>
        <w:rPr>
          <w:rFonts w:hint="eastAsia" w:ascii="宋体" w:hAnsi="宋体" w:cs="宋体"/>
          <w:sz w:val="24"/>
          <w:lang w:eastAsia="zh-TW"/>
        </w:rPr>
        <w:t>采用最低评标价法的采购项目，单一产品采购</w:t>
      </w:r>
      <w:r>
        <w:rPr>
          <w:rFonts w:hint="eastAsia" w:ascii="宋体" w:hAnsi="宋体"/>
          <w:sz w:val="24"/>
        </w:rPr>
        <w:t>项目</w:t>
      </w:r>
      <w:r>
        <w:rPr>
          <w:rFonts w:hint="eastAsia" w:ascii="宋体" w:hAnsi="宋体" w:cs="宋体"/>
          <w:sz w:val="24"/>
          <w:lang w:eastAsia="zh-TW"/>
        </w:rPr>
        <w:t>提供相同品牌产品的不同投标人参加同一合同项下投标的或</w:t>
      </w:r>
      <w:r>
        <w:rPr>
          <w:rFonts w:hint="eastAsia" w:ascii="宋体" w:hAnsi="宋体"/>
          <w:sz w:val="24"/>
        </w:rPr>
        <w:t>非单一产品采购项目多家投标人提供的任意一个核心产品品牌相同的</w:t>
      </w:r>
      <w:r>
        <w:rPr>
          <w:rFonts w:hint="eastAsia" w:ascii="宋体" w:hAnsi="宋体" w:cs="宋体"/>
          <w:sz w:val="24"/>
          <w:lang w:eastAsia="zh-TW"/>
        </w:rPr>
        <w:t>，以其中通过资格审查、符合性审查且报价最低的参加评标；报价相同的，由评标委员会采取随机抽取方式确定，</w:t>
      </w:r>
      <w:r>
        <w:rPr>
          <w:rFonts w:hint="eastAsia" w:ascii="宋体" w:hAnsi="宋体" w:cs="宋体"/>
          <w:b/>
          <w:sz w:val="24"/>
          <w:lang w:eastAsia="zh-TW"/>
        </w:rPr>
        <w:t>其他投标无效</w:t>
      </w:r>
      <w:r>
        <w:rPr>
          <w:rFonts w:hint="eastAsia" w:ascii="宋体" w:hAnsi="宋体" w:cs="宋体"/>
          <w:sz w:val="24"/>
          <w:lang w:eastAsia="zh-TW"/>
        </w:rPr>
        <w:t>。</w:t>
      </w:r>
    </w:p>
    <w:p w14:paraId="7E8E12F0">
      <w:pPr>
        <w:pStyle w:val="84"/>
        <w:widowControl/>
        <w:numPr>
          <w:ilvl w:val="1"/>
          <w:numId w:val="59"/>
        </w:numPr>
        <w:snapToGrid w:val="0"/>
        <w:spacing w:line="360" w:lineRule="auto"/>
        <w:ind w:left="567" w:hanging="567" w:firstLineChars="0"/>
        <w:jc w:val="left"/>
        <w:rPr>
          <w:rFonts w:ascii="宋体" w:hAnsi="宋体" w:cs="宋体"/>
          <w:sz w:val="24"/>
          <w:lang w:eastAsia="zh-TW"/>
        </w:rPr>
      </w:pPr>
      <w:r>
        <w:rPr>
          <w:rFonts w:hint="eastAsia" w:ascii="宋体" w:hAnsi="宋体"/>
          <w:sz w:val="24"/>
        </w:rPr>
        <w:t>采用最低评标价法的，评标结果按投标报价由低到高顺序排列。投标报价相同的并列。投标文件满足招标文件全部实质性要求且投标报价最低的投标人为排名第一的中标候选人。</w:t>
      </w:r>
    </w:p>
    <w:p w14:paraId="62628006">
      <w:pPr>
        <w:pStyle w:val="84"/>
        <w:widowControl/>
        <w:numPr>
          <w:ilvl w:val="0"/>
          <w:numId w:val="59"/>
        </w:numPr>
        <w:snapToGrid w:val="0"/>
        <w:spacing w:line="360" w:lineRule="auto"/>
        <w:ind w:left="426" w:hanging="426" w:firstLineChars="0"/>
        <w:jc w:val="left"/>
        <w:rPr>
          <w:rFonts w:ascii="宋体" w:hAnsi="宋体"/>
          <w:sz w:val="24"/>
        </w:rPr>
      </w:pPr>
      <w:r>
        <w:rPr>
          <w:rFonts w:hint="eastAsia" w:ascii="宋体" w:hAnsi="宋体"/>
          <w:sz w:val="24"/>
        </w:rPr>
        <w:t>本项目按照</w:t>
      </w:r>
      <w:r>
        <w:rPr>
          <w:rFonts w:hint="eastAsia" w:ascii="宋体" w:hAnsi="宋体"/>
          <w:b/>
          <w:sz w:val="24"/>
        </w:rPr>
        <w:t>投标人须知前附表</w:t>
      </w:r>
      <w:r>
        <w:rPr>
          <w:rFonts w:hint="eastAsia" w:ascii="宋体" w:hAnsi="宋体"/>
          <w:sz w:val="24"/>
        </w:rPr>
        <w:t>规定的方式推荐中标候选人。</w:t>
      </w:r>
    </w:p>
    <w:p w14:paraId="105B4036">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确定中标人</w:t>
      </w:r>
    </w:p>
    <w:p w14:paraId="5B24FAE1">
      <w:pPr>
        <w:pStyle w:val="84"/>
        <w:widowControl/>
        <w:numPr>
          <w:ilvl w:val="0"/>
          <w:numId w:val="60"/>
        </w:numPr>
        <w:snapToGrid w:val="0"/>
        <w:spacing w:line="360" w:lineRule="auto"/>
        <w:ind w:left="426" w:hanging="426" w:firstLineChars="0"/>
        <w:jc w:val="left"/>
        <w:rPr>
          <w:rFonts w:ascii="宋体" w:hAnsi="宋体"/>
          <w:strike/>
          <w:sz w:val="24"/>
        </w:rPr>
      </w:pPr>
      <w:r>
        <w:rPr>
          <w:rFonts w:hint="eastAsia" w:ascii="宋体" w:hAnsi="宋体"/>
          <w:sz w:val="24"/>
        </w:rPr>
        <w:t>中标候选人并列的，按</w:t>
      </w:r>
      <w:r>
        <w:rPr>
          <w:rFonts w:hint="eastAsia" w:ascii="宋体" w:hAnsi="宋体"/>
          <w:b/>
          <w:sz w:val="24"/>
        </w:rPr>
        <w:t>投标人须知前附表</w:t>
      </w:r>
      <w:r>
        <w:rPr>
          <w:rFonts w:hint="eastAsia" w:ascii="宋体" w:hAnsi="宋体"/>
          <w:sz w:val="24"/>
        </w:rPr>
        <w:t>规定确定中标人。</w:t>
      </w:r>
    </w:p>
    <w:p w14:paraId="255765FD">
      <w:pPr>
        <w:pStyle w:val="84"/>
        <w:widowControl/>
        <w:numPr>
          <w:ilvl w:val="0"/>
          <w:numId w:val="60"/>
        </w:numPr>
        <w:snapToGrid w:val="0"/>
        <w:spacing w:line="360" w:lineRule="auto"/>
        <w:ind w:left="426" w:hanging="426" w:firstLineChars="0"/>
        <w:jc w:val="left"/>
        <w:rPr>
          <w:rFonts w:ascii="宋体" w:hAnsi="宋体"/>
          <w:sz w:val="24"/>
        </w:rPr>
      </w:pPr>
      <w:r>
        <w:rPr>
          <w:rFonts w:hint="eastAsia" w:ascii="宋体" w:hAnsi="宋体"/>
          <w:sz w:val="24"/>
        </w:rPr>
        <w:t>采购代理机构</w:t>
      </w:r>
      <w:r>
        <w:rPr>
          <w:rFonts w:ascii="宋体" w:hAnsi="宋体"/>
          <w:sz w:val="24"/>
        </w:rPr>
        <w:t>提</w:t>
      </w:r>
      <w:r>
        <w:rPr>
          <w:rFonts w:hint="eastAsia" w:ascii="宋体" w:hAnsi="宋体"/>
          <w:sz w:val="24"/>
        </w:rPr>
        <w:t>交</w:t>
      </w:r>
      <w:r>
        <w:rPr>
          <w:rFonts w:ascii="宋体" w:hAnsi="宋体"/>
          <w:sz w:val="24"/>
        </w:rPr>
        <w:t>评</w:t>
      </w:r>
      <w:r>
        <w:rPr>
          <w:rFonts w:hint="eastAsia" w:ascii="宋体" w:hAnsi="宋体"/>
          <w:sz w:val="24"/>
        </w:rPr>
        <w:t>标</w:t>
      </w:r>
      <w:r>
        <w:rPr>
          <w:rFonts w:ascii="宋体" w:hAnsi="宋体"/>
          <w:sz w:val="24"/>
        </w:rPr>
        <w:t>报告报</w:t>
      </w:r>
      <w:r>
        <w:rPr>
          <w:rFonts w:hint="eastAsia" w:ascii="宋体" w:hAnsi="宋体"/>
          <w:sz w:val="24"/>
        </w:rPr>
        <w:t>采购</w:t>
      </w:r>
      <w:r>
        <w:rPr>
          <w:rFonts w:ascii="宋体" w:hAnsi="宋体"/>
          <w:sz w:val="24"/>
        </w:rPr>
        <w:t>人</w:t>
      </w:r>
      <w:r>
        <w:rPr>
          <w:rFonts w:hint="eastAsia" w:ascii="宋体" w:hAnsi="宋体"/>
          <w:sz w:val="24"/>
        </w:rPr>
        <w:t>确认，采购人在收到评标报告5个工作日内确定中标人，按照评标报告中确定的中标候选人顺序确定中标人，也可以事先授权评标委员会直接确定中标人。</w:t>
      </w:r>
    </w:p>
    <w:p w14:paraId="4717008A">
      <w:pPr>
        <w:pStyle w:val="84"/>
        <w:widowControl/>
        <w:numPr>
          <w:ilvl w:val="0"/>
          <w:numId w:val="60"/>
        </w:numPr>
        <w:snapToGrid w:val="0"/>
        <w:spacing w:line="360" w:lineRule="auto"/>
        <w:ind w:left="426" w:hanging="426" w:firstLineChars="0"/>
        <w:jc w:val="left"/>
        <w:rPr>
          <w:rFonts w:ascii="宋体" w:hAnsi="宋体"/>
          <w:sz w:val="24"/>
        </w:rPr>
      </w:pPr>
      <w:r>
        <w:rPr>
          <w:rFonts w:hint="eastAsia" w:ascii="宋体" w:hAnsi="宋体"/>
          <w:sz w:val="24"/>
        </w:rPr>
        <w:t>中标人拒绝与采购人签订合同的，采购人可以按照评标报告推荐的中标候选人名单排序，确定下一候选人为中标人，也可以重新开展采购活动。</w:t>
      </w:r>
    </w:p>
    <w:p w14:paraId="22789B08">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中标公告及中标通知书</w:t>
      </w:r>
    </w:p>
    <w:p w14:paraId="04F67965">
      <w:pPr>
        <w:numPr>
          <w:ilvl w:val="1"/>
          <w:numId w:val="50"/>
        </w:numPr>
        <w:autoSpaceDE w:val="0"/>
        <w:autoSpaceDN w:val="0"/>
        <w:snapToGrid w:val="0"/>
        <w:spacing w:line="360" w:lineRule="auto"/>
        <w:rPr>
          <w:rFonts w:ascii="宋体" w:hAnsi="宋体" w:cs="黑体"/>
          <w:b/>
          <w:bCs/>
          <w:sz w:val="24"/>
        </w:rPr>
      </w:pPr>
      <w:r>
        <w:rPr>
          <w:rFonts w:hint="eastAsia" w:ascii="宋体" w:hAnsi="宋体" w:cs="宋体"/>
          <w:sz w:val="24"/>
          <w:lang w:eastAsia="zh-TW"/>
        </w:rPr>
        <w:t>中标人确定后</w:t>
      </w:r>
      <w:r>
        <w:rPr>
          <w:rFonts w:hint="eastAsia" w:ascii="宋体" w:hAnsi="宋体" w:cs="宋体"/>
          <w:sz w:val="24"/>
        </w:rPr>
        <w:t>，</w:t>
      </w:r>
      <w:r>
        <w:rPr>
          <w:rFonts w:hint="eastAsia" w:ascii="宋体" w:hAnsi="宋体" w:cs="宋体"/>
          <w:sz w:val="24"/>
          <w:lang w:eastAsia="zh-TW"/>
        </w:rPr>
        <w:t>采购代理机构将在</w:t>
      </w:r>
      <w:r>
        <w:rPr>
          <w:rFonts w:hint="eastAsia" w:ascii="宋体" w:hAnsi="宋体" w:cs="宋体"/>
          <w:sz w:val="24"/>
        </w:rPr>
        <w:t>发布采购信息公告的法定媒体</w:t>
      </w:r>
      <w:r>
        <w:rPr>
          <w:rFonts w:hint="eastAsia" w:ascii="宋体" w:hAnsi="宋体" w:cs="宋体"/>
          <w:sz w:val="24"/>
          <w:lang w:eastAsia="zh-TW"/>
        </w:rPr>
        <w:t>上发布中标公告，并向中标人发出《中标通知书》，向采购人及未中标人发出《招标结果通知书》，《中标通知书》对中标人和采购人具有同等法律效力。</w:t>
      </w:r>
    </w:p>
    <w:p w14:paraId="5C35BE73">
      <w:pPr>
        <w:numPr>
          <w:ilvl w:val="1"/>
          <w:numId w:val="50"/>
        </w:numPr>
        <w:autoSpaceDE w:val="0"/>
        <w:autoSpaceDN w:val="0"/>
        <w:snapToGrid w:val="0"/>
        <w:spacing w:line="360" w:lineRule="auto"/>
        <w:rPr>
          <w:rFonts w:ascii="宋体" w:hAnsi="宋体" w:cs="黑体"/>
          <w:b/>
          <w:bCs/>
          <w:sz w:val="24"/>
        </w:rPr>
      </w:pPr>
      <w:r>
        <w:rPr>
          <w:rFonts w:hint="eastAsia" w:ascii="宋体" w:hAnsi="宋体"/>
          <w:sz w:val="24"/>
        </w:rPr>
        <w:t>《中标通知书》将作为授予合同资格的合法依据，是合同的一个组成部分。</w:t>
      </w:r>
    </w:p>
    <w:p w14:paraId="4996F2F6">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采购代理服务费</w:t>
      </w:r>
    </w:p>
    <w:p w14:paraId="10678538">
      <w:pPr>
        <w:numPr>
          <w:ilvl w:val="1"/>
          <w:numId w:val="50"/>
        </w:numPr>
        <w:autoSpaceDE w:val="0"/>
        <w:autoSpaceDN w:val="0"/>
        <w:snapToGrid w:val="0"/>
        <w:spacing w:line="360" w:lineRule="auto"/>
        <w:rPr>
          <w:rFonts w:ascii="宋体" w:hAnsi="宋体" w:cs="黑体"/>
          <w:b/>
          <w:bCs/>
          <w:sz w:val="24"/>
        </w:rPr>
      </w:pPr>
      <w:r>
        <w:rPr>
          <w:rFonts w:hint="eastAsia" w:ascii="宋体" w:hAnsi="宋体" w:cs="宋体"/>
          <w:sz w:val="24"/>
        </w:rPr>
        <w:t>中标人应按照招标文件</w:t>
      </w:r>
      <w:r>
        <w:rPr>
          <w:rFonts w:hint="eastAsia" w:ascii="宋体" w:hAnsi="宋体" w:cs="宋体"/>
          <w:b/>
          <w:sz w:val="24"/>
        </w:rPr>
        <w:t>投标人须知前附表</w:t>
      </w:r>
      <w:r>
        <w:rPr>
          <w:rFonts w:hint="eastAsia" w:ascii="宋体" w:hAnsi="宋体" w:cs="宋体"/>
          <w:sz w:val="24"/>
        </w:rPr>
        <w:t>中的规定缴纳采购代理服务费。</w:t>
      </w:r>
    </w:p>
    <w:p w14:paraId="72811D6D">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合同的订立</w:t>
      </w:r>
    </w:p>
    <w:p w14:paraId="468C222A">
      <w:pPr>
        <w:numPr>
          <w:ilvl w:val="1"/>
          <w:numId w:val="50"/>
        </w:numPr>
        <w:autoSpaceDE w:val="0"/>
        <w:autoSpaceDN w:val="0"/>
        <w:snapToGrid w:val="0"/>
        <w:spacing w:line="360" w:lineRule="auto"/>
        <w:rPr>
          <w:rFonts w:ascii="宋体" w:hAnsi="宋体" w:cs="黑体"/>
          <w:b/>
          <w:bCs/>
          <w:sz w:val="24"/>
        </w:rPr>
      </w:pPr>
      <w:r>
        <w:rPr>
          <w:rFonts w:hint="eastAsia" w:ascii="宋体" w:hAnsi="宋体" w:cs="宋体"/>
          <w:sz w:val="24"/>
          <w:lang w:eastAsia="zh-TW"/>
        </w:rPr>
        <w:t>采购人应当自中标通知书发出之日起三十日内，按照招标文件和中标人投标文件的约定，与中标人签订书面合同。所签订的合同不得对招标文件和中标人投标文件作实质性修改</w:t>
      </w:r>
      <w:r>
        <w:rPr>
          <w:rFonts w:hint="eastAsia" w:ascii="宋体" w:hAnsi="宋体" w:cs="宋体"/>
          <w:sz w:val="24"/>
        </w:rPr>
        <w:t>。</w:t>
      </w:r>
    </w:p>
    <w:p w14:paraId="2EED45D0">
      <w:pPr>
        <w:numPr>
          <w:ilvl w:val="1"/>
          <w:numId w:val="50"/>
        </w:numPr>
        <w:autoSpaceDE w:val="0"/>
        <w:autoSpaceDN w:val="0"/>
        <w:snapToGrid w:val="0"/>
        <w:spacing w:line="360" w:lineRule="auto"/>
        <w:rPr>
          <w:rFonts w:ascii="宋体" w:hAnsi="宋体" w:cs="宋体"/>
          <w:sz w:val="24"/>
        </w:rPr>
      </w:pPr>
      <w:r>
        <w:rPr>
          <w:rFonts w:hint="eastAsia" w:ascii="宋体" w:hAnsi="宋体" w:cs="宋体"/>
          <w:sz w:val="24"/>
          <w:lang w:eastAsia="zh-TW"/>
        </w:rPr>
        <w:t>采购人或者采购代理机构</w:t>
      </w:r>
      <w:r>
        <w:rPr>
          <w:rFonts w:hint="eastAsia" w:ascii="宋体" w:hAnsi="宋体" w:cs="宋体"/>
          <w:sz w:val="24"/>
        </w:rPr>
        <w:t xml:space="preserve">不得向中标人提出任何不合理的要求，作为签订合同的条件，不得与中标人私下订立背离合同实质性内容的协议。 </w:t>
      </w:r>
    </w:p>
    <w:p w14:paraId="196165D0">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合同的履行</w:t>
      </w:r>
    </w:p>
    <w:p w14:paraId="58A00222">
      <w:pPr>
        <w:numPr>
          <w:ilvl w:val="1"/>
          <w:numId w:val="50"/>
        </w:numPr>
        <w:autoSpaceDE w:val="0"/>
        <w:autoSpaceDN w:val="0"/>
        <w:snapToGrid w:val="0"/>
        <w:spacing w:line="360" w:lineRule="auto"/>
        <w:rPr>
          <w:rFonts w:ascii="宋体" w:hAnsi="宋体" w:cs="宋体"/>
          <w:sz w:val="24"/>
          <w:lang w:eastAsia="zh-TW"/>
        </w:rPr>
      </w:pPr>
      <w:r>
        <w:rPr>
          <w:rFonts w:hint="eastAsia" w:ascii="宋体" w:hAnsi="宋体" w:cs="宋体"/>
          <w:sz w:val="24"/>
          <w:lang w:eastAsia="zh-TW"/>
        </w:rPr>
        <w:t>采购合同履行中，采购人需追加与合同标的相同的货物、工程或者服务的，在不改变合同其他条款的前提下，可以与供应商签订补充合同，但所补充合同的采购金额不得超过原合同采购金额的百分之十。</w:t>
      </w:r>
    </w:p>
    <w:p w14:paraId="0E55CCBE">
      <w:pPr>
        <w:numPr>
          <w:ilvl w:val="1"/>
          <w:numId w:val="50"/>
        </w:numPr>
        <w:autoSpaceDE w:val="0"/>
        <w:autoSpaceDN w:val="0"/>
        <w:snapToGrid w:val="0"/>
        <w:spacing w:line="360" w:lineRule="auto"/>
        <w:rPr>
          <w:rFonts w:ascii="宋体" w:hAnsi="宋体" w:cs="宋体"/>
          <w:sz w:val="24"/>
          <w:lang w:eastAsia="zh-TW"/>
        </w:rPr>
      </w:pPr>
      <w:r>
        <w:rPr>
          <w:rFonts w:hint="eastAsia" w:ascii="宋体" w:hAnsi="宋体" w:cs="宋体"/>
          <w:sz w:val="24"/>
        </w:rPr>
        <w:t>中标人不得将采购合同转包。</w:t>
      </w:r>
    </w:p>
    <w:p w14:paraId="68389A74">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法律法规规定的其他属于投标无效的</w:t>
      </w:r>
    </w:p>
    <w:p w14:paraId="2040E42A">
      <w:pPr>
        <w:pStyle w:val="84"/>
        <w:widowControl/>
        <w:numPr>
          <w:ilvl w:val="1"/>
          <w:numId w:val="50"/>
        </w:numPr>
        <w:snapToGrid w:val="0"/>
        <w:spacing w:line="360" w:lineRule="auto"/>
        <w:ind w:firstLineChars="0"/>
        <w:jc w:val="left"/>
        <w:rPr>
          <w:rFonts w:ascii="宋体" w:hAnsi="宋体"/>
          <w:b/>
          <w:sz w:val="24"/>
        </w:rPr>
      </w:pPr>
      <w:r>
        <w:rPr>
          <w:rFonts w:hint="eastAsia" w:ascii="宋体" w:hAnsi="宋体"/>
          <w:b/>
          <w:sz w:val="24"/>
        </w:rPr>
        <w:t>有下列情形之一的，视为投标人串通投标，其投标无效：</w:t>
      </w:r>
    </w:p>
    <w:p w14:paraId="2503D0AC">
      <w:pPr>
        <w:pStyle w:val="84"/>
        <w:widowControl/>
        <w:numPr>
          <w:ilvl w:val="2"/>
          <w:numId w:val="50"/>
        </w:numPr>
        <w:snapToGrid w:val="0"/>
        <w:spacing w:line="360" w:lineRule="auto"/>
        <w:ind w:firstLineChars="0"/>
        <w:jc w:val="left"/>
        <w:rPr>
          <w:rFonts w:ascii="宋体" w:hAnsi="宋体"/>
          <w:sz w:val="24"/>
        </w:rPr>
      </w:pPr>
      <w:r>
        <w:rPr>
          <w:rFonts w:hint="eastAsia" w:ascii="宋体" w:hAnsi="宋体"/>
          <w:sz w:val="24"/>
        </w:rPr>
        <w:t>不同投标人的投标文件由同一单位或者个人编制；</w:t>
      </w:r>
    </w:p>
    <w:p w14:paraId="4AA02A50">
      <w:pPr>
        <w:pStyle w:val="84"/>
        <w:widowControl/>
        <w:numPr>
          <w:ilvl w:val="2"/>
          <w:numId w:val="50"/>
        </w:numPr>
        <w:snapToGrid w:val="0"/>
        <w:spacing w:line="360" w:lineRule="auto"/>
        <w:ind w:firstLineChars="0"/>
        <w:jc w:val="left"/>
        <w:rPr>
          <w:rFonts w:ascii="宋体" w:hAnsi="宋体"/>
          <w:sz w:val="24"/>
        </w:rPr>
      </w:pPr>
      <w:r>
        <w:rPr>
          <w:rFonts w:hint="eastAsia" w:ascii="宋体" w:hAnsi="宋体"/>
          <w:sz w:val="24"/>
        </w:rPr>
        <w:t>不同投标人委托同一单位或者个人办理投标事宜；</w:t>
      </w:r>
    </w:p>
    <w:p w14:paraId="0B252D3D">
      <w:pPr>
        <w:pStyle w:val="84"/>
        <w:widowControl/>
        <w:numPr>
          <w:ilvl w:val="2"/>
          <w:numId w:val="50"/>
        </w:numPr>
        <w:snapToGrid w:val="0"/>
        <w:spacing w:line="360" w:lineRule="auto"/>
        <w:ind w:firstLineChars="0"/>
        <w:jc w:val="left"/>
        <w:rPr>
          <w:rFonts w:ascii="宋体" w:hAnsi="宋体"/>
          <w:sz w:val="24"/>
        </w:rPr>
      </w:pPr>
      <w:r>
        <w:rPr>
          <w:rFonts w:hint="eastAsia" w:ascii="宋体" w:hAnsi="宋体"/>
          <w:sz w:val="24"/>
        </w:rPr>
        <w:t>不同投标人的投标文件载明的项目管理成员或者联系人员为同一人；</w:t>
      </w:r>
    </w:p>
    <w:p w14:paraId="3F3280CE">
      <w:pPr>
        <w:pStyle w:val="84"/>
        <w:widowControl/>
        <w:numPr>
          <w:ilvl w:val="2"/>
          <w:numId w:val="50"/>
        </w:numPr>
        <w:snapToGrid w:val="0"/>
        <w:spacing w:line="360" w:lineRule="auto"/>
        <w:ind w:firstLineChars="0"/>
        <w:jc w:val="left"/>
        <w:rPr>
          <w:rFonts w:ascii="宋体" w:hAnsi="宋体"/>
          <w:sz w:val="24"/>
        </w:rPr>
      </w:pPr>
      <w:r>
        <w:rPr>
          <w:rFonts w:hint="eastAsia" w:ascii="宋体" w:hAnsi="宋体"/>
          <w:sz w:val="24"/>
        </w:rPr>
        <w:t>不同投标人的投标文件异常一致或者投标报价呈规律性差异；</w:t>
      </w:r>
    </w:p>
    <w:p w14:paraId="597D3C97">
      <w:pPr>
        <w:pStyle w:val="84"/>
        <w:widowControl/>
        <w:numPr>
          <w:ilvl w:val="2"/>
          <w:numId w:val="50"/>
        </w:numPr>
        <w:snapToGrid w:val="0"/>
        <w:spacing w:line="360" w:lineRule="auto"/>
        <w:ind w:firstLineChars="0"/>
        <w:jc w:val="left"/>
        <w:rPr>
          <w:rFonts w:ascii="宋体" w:hAnsi="宋体"/>
          <w:sz w:val="24"/>
        </w:rPr>
      </w:pPr>
      <w:r>
        <w:rPr>
          <w:rFonts w:hint="eastAsia" w:ascii="宋体" w:hAnsi="宋体"/>
          <w:sz w:val="24"/>
        </w:rPr>
        <w:t>不同投标人的投标文件相互混装；</w:t>
      </w:r>
    </w:p>
    <w:p w14:paraId="2E717D0F">
      <w:pPr>
        <w:pStyle w:val="84"/>
        <w:widowControl/>
        <w:numPr>
          <w:ilvl w:val="2"/>
          <w:numId w:val="50"/>
        </w:numPr>
        <w:snapToGrid w:val="0"/>
        <w:spacing w:line="360" w:lineRule="auto"/>
        <w:ind w:firstLineChars="0"/>
        <w:jc w:val="left"/>
        <w:rPr>
          <w:rFonts w:ascii="宋体" w:hAnsi="宋体"/>
          <w:sz w:val="24"/>
        </w:rPr>
      </w:pPr>
      <w:r>
        <w:rPr>
          <w:rFonts w:hint="eastAsia" w:ascii="宋体" w:hAnsi="宋体"/>
          <w:sz w:val="24"/>
        </w:rPr>
        <w:t>不同投标人的投标保证金从同一单位或者个人的账户转出。</w:t>
      </w:r>
    </w:p>
    <w:p w14:paraId="08C4B887">
      <w:pPr>
        <w:numPr>
          <w:ilvl w:val="0"/>
          <w:numId w:val="50"/>
        </w:numPr>
        <w:autoSpaceDE w:val="0"/>
        <w:autoSpaceDN w:val="0"/>
        <w:snapToGrid w:val="0"/>
        <w:spacing w:line="360" w:lineRule="auto"/>
        <w:ind w:left="487" w:hanging="487" w:hangingChars="202"/>
        <w:outlineLvl w:val="3"/>
        <w:rPr>
          <w:rFonts w:ascii="宋体" w:hAnsi="宋体"/>
          <w:b/>
          <w:bCs/>
          <w:sz w:val="24"/>
        </w:rPr>
      </w:pPr>
      <w:r>
        <w:rPr>
          <w:rFonts w:ascii="宋体" w:hAnsi="宋体"/>
          <w:b/>
          <w:bCs/>
          <w:sz w:val="24"/>
        </w:rPr>
        <w:t>废标</w:t>
      </w:r>
    </w:p>
    <w:p w14:paraId="45EB0D79">
      <w:pPr>
        <w:pStyle w:val="84"/>
        <w:widowControl/>
        <w:numPr>
          <w:ilvl w:val="0"/>
          <w:numId w:val="61"/>
        </w:numPr>
        <w:tabs>
          <w:tab w:val="left" w:pos="567"/>
        </w:tabs>
        <w:snapToGrid w:val="0"/>
        <w:spacing w:line="360" w:lineRule="auto"/>
        <w:ind w:firstLineChars="0"/>
        <w:jc w:val="left"/>
        <w:rPr>
          <w:rFonts w:ascii="宋体" w:hAnsi="宋体"/>
          <w:sz w:val="24"/>
        </w:rPr>
      </w:pPr>
      <w:r>
        <w:rPr>
          <w:rFonts w:ascii="宋体" w:hAnsi="宋体"/>
          <w:sz w:val="24"/>
        </w:rPr>
        <w:t>在招标采购中，出现下列情形之一的，应予废标</w:t>
      </w:r>
      <w:r>
        <w:rPr>
          <w:rFonts w:hint="eastAsia" w:ascii="宋体" w:hAnsi="宋体"/>
          <w:sz w:val="24"/>
        </w:rPr>
        <w:t>：</w:t>
      </w:r>
    </w:p>
    <w:p w14:paraId="33CF6472">
      <w:pPr>
        <w:pStyle w:val="84"/>
        <w:widowControl/>
        <w:numPr>
          <w:ilvl w:val="3"/>
          <w:numId w:val="50"/>
        </w:numPr>
        <w:tabs>
          <w:tab w:val="left" w:pos="426"/>
          <w:tab w:val="clear" w:pos="851"/>
        </w:tabs>
        <w:snapToGrid w:val="0"/>
        <w:spacing w:line="360" w:lineRule="auto"/>
        <w:ind w:left="426" w:hanging="425" w:firstLineChars="0"/>
        <w:jc w:val="left"/>
        <w:rPr>
          <w:rFonts w:ascii="宋体" w:hAnsi="宋体"/>
          <w:sz w:val="24"/>
        </w:rPr>
      </w:pPr>
      <w:r>
        <w:rPr>
          <w:rFonts w:ascii="宋体" w:hAnsi="宋体"/>
          <w:sz w:val="24"/>
        </w:rPr>
        <w:t>符合专业条件的供应商或者对</w:t>
      </w:r>
      <w:r>
        <w:rPr>
          <w:rFonts w:hint="eastAsia" w:ascii="宋体" w:hAnsi="宋体"/>
          <w:sz w:val="24"/>
        </w:rPr>
        <w:t>招标</w:t>
      </w:r>
      <w:r>
        <w:rPr>
          <w:rFonts w:ascii="宋体" w:hAnsi="宋体"/>
          <w:sz w:val="24"/>
        </w:rPr>
        <w:t>文件作实质响应的供应商不足三家的；</w:t>
      </w:r>
    </w:p>
    <w:p w14:paraId="6DC0BAA1">
      <w:pPr>
        <w:pStyle w:val="84"/>
        <w:widowControl/>
        <w:numPr>
          <w:ilvl w:val="3"/>
          <w:numId w:val="50"/>
        </w:numPr>
        <w:tabs>
          <w:tab w:val="left" w:pos="426"/>
          <w:tab w:val="clear" w:pos="851"/>
        </w:tabs>
        <w:snapToGrid w:val="0"/>
        <w:spacing w:line="360" w:lineRule="auto"/>
        <w:ind w:left="426" w:hanging="425" w:firstLineChars="0"/>
        <w:jc w:val="left"/>
        <w:rPr>
          <w:rFonts w:ascii="宋体" w:hAnsi="宋体"/>
          <w:sz w:val="24"/>
        </w:rPr>
      </w:pPr>
      <w:r>
        <w:rPr>
          <w:rFonts w:ascii="宋体" w:hAnsi="宋体"/>
          <w:sz w:val="24"/>
        </w:rPr>
        <w:t>出现影响采购公正的违法、违规行为的；</w:t>
      </w:r>
    </w:p>
    <w:p w14:paraId="39F2CF32">
      <w:pPr>
        <w:pStyle w:val="84"/>
        <w:widowControl/>
        <w:numPr>
          <w:ilvl w:val="3"/>
          <w:numId w:val="50"/>
        </w:numPr>
        <w:tabs>
          <w:tab w:val="left" w:pos="426"/>
          <w:tab w:val="clear" w:pos="851"/>
        </w:tabs>
        <w:snapToGrid w:val="0"/>
        <w:spacing w:line="360" w:lineRule="auto"/>
        <w:ind w:left="426" w:hanging="425" w:firstLineChars="0"/>
        <w:jc w:val="left"/>
        <w:rPr>
          <w:rFonts w:ascii="宋体" w:hAnsi="宋体"/>
          <w:sz w:val="24"/>
        </w:rPr>
      </w:pPr>
      <w:r>
        <w:rPr>
          <w:rFonts w:ascii="宋体" w:hAnsi="宋体"/>
          <w:sz w:val="24"/>
        </w:rPr>
        <w:t>投标人的报价均超过了采购预算，采购人不能支付的；</w:t>
      </w:r>
    </w:p>
    <w:p w14:paraId="70CB494B">
      <w:pPr>
        <w:pStyle w:val="84"/>
        <w:widowControl/>
        <w:numPr>
          <w:ilvl w:val="3"/>
          <w:numId w:val="50"/>
        </w:numPr>
        <w:tabs>
          <w:tab w:val="left" w:pos="426"/>
          <w:tab w:val="clear" w:pos="851"/>
        </w:tabs>
        <w:snapToGrid w:val="0"/>
        <w:spacing w:line="360" w:lineRule="auto"/>
        <w:ind w:left="426" w:hanging="425" w:firstLineChars="0"/>
        <w:jc w:val="left"/>
        <w:rPr>
          <w:rFonts w:ascii="宋体" w:hAnsi="宋体"/>
          <w:sz w:val="24"/>
        </w:rPr>
      </w:pPr>
      <w:r>
        <w:rPr>
          <w:rFonts w:ascii="宋体" w:hAnsi="宋体"/>
          <w:sz w:val="24"/>
        </w:rPr>
        <w:t>因重大变故，采购任务取消的</w:t>
      </w:r>
      <w:r>
        <w:rPr>
          <w:rFonts w:hint="eastAsia" w:ascii="宋体" w:hAnsi="宋体"/>
          <w:sz w:val="24"/>
        </w:rPr>
        <w:t>。</w:t>
      </w:r>
    </w:p>
    <w:p w14:paraId="63BAD565">
      <w:pPr>
        <w:numPr>
          <w:ilvl w:val="0"/>
          <w:numId w:val="43"/>
        </w:numPr>
        <w:tabs>
          <w:tab w:val="left" w:pos="4395"/>
        </w:tabs>
        <w:autoSpaceDE w:val="0"/>
        <w:autoSpaceDN w:val="0"/>
        <w:snapToGrid w:val="0"/>
        <w:spacing w:before="156" w:beforeLines="50" w:line="360" w:lineRule="auto"/>
        <w:ind w:left="708" w:hanging="708" w:hangingChars="252"/>
        <w:jc w:val="center"/>
        <w:outlineLvl w:val="2"/>
        <w:rPr>
          <w:rFonts w:ascii="宋体" w:hAnsi="宋体"/>
          <w:b/>
          <w:sz w:val="28"/>
          <w:szCs w:val="28"/>
          <w:lang w:eastAsia="zh-TW"/>
        </w:rPr>
      </w:pPr>
      <w:bookmarkStart w:id="65" w:name="_Toc485"/>
      <w:r>
        <w:rPr>
          <w:rFonts w:hint="eastAsia" w:ascii="宋体" w:hAnsi="宋体"/>
          <w:b/>
          <w:sz w:val="28"/>
          <w:szCs w:val="28"/>
          <w:lang w:eastAsia="zh-TW"/>
        </w:rPr>
        <w:t>询问、质疑</w:t>
      </w:r>
      <w:bookmarkEnd w:id="65"/>
    </w:p>
    <w:p w14:paraId="10F69291">
      <w:pPr>
        <w:numPr>
          <w:ilvl w:val="0"/>
          <w:numId w:val="62"/>
        </w:numPr>
        <w:autoSpaceDE w:val="0"/>
        <w:autoSpaceDN w:val="0"/>
        <w:snapToGrid w:val="0"/>
        <w:spacing w:line="360" w:lineRule="auto"/>
        <w:outlineLvl w:val="3"/>
        <w:rPr>
          <w:rFonts w:ascii="宋体" w:hAnsi="宋体"/>
          <w:b/>
          <w:bCs/>
          <w:sz w:val="24"/>
        </w:rPr>
      </w:pPr>
      <w:r>
        <w:rPr>
          <w:rFonts w:hint="eastAsia" w:ascii="宋体" w:hAnsi="宋体"/>
          <w:b/>
          <w:bCs/>
          <w:sz w:val="24"/>
        </w:rPr>
        <w:t>询问</w:t>
      </w:r>
    </w:p>
    <w:p w14:paraId="6020BCDC">
      <w:pPr>
        <w:numPr>
          <w:ilvl w:val="1"/>
          <w:numId w:val="62"/>
        </w:numPr>
        <w:autoSpaceDE w:val="0"/>
        <w:autoSpaceDN w:val="0"/>
        <w:snapToGrid w:val="0"/>
        <w:spacing w:line="360" w:lineRule="auto"/>
        <w:ind w:left="648" w:hanging="648" w:hangingChars="270"/>
        <w:rPr>
          <w:rFonts w:ascii="宋体" w:hAnsi="宋体" w:cs="黑体"/>
          <w:b/>
          <w:bCs/>
          <w:sz w:val="24"/>
        </w:rPr>
      </w:pPr>
      <w:r>
        <w:rPr>
          <w:rFonts w:hint="eastAsia" w:ascii="宋体" w:hAnsi="宋体" w:cs="黑体"/>
          <w:bCs/>
          <w:sz w:val="24"/>
        </w:rPr>
        <w:t>供应商对采购活动事项有疑问的，可以向</w:t>
      </w:r>
      <w:r>
        <w:rPr>
          <w:rFonts w:hint="eastAsia" w:ascii="宋体" w:hAnsi="宋体" w:cs="宋体"/>
          <w:sz w:val="24"/>
          <w:lang w:eastAsia="zh-TW"/>
        </w:rPr>
        <w:t>采购人或者采购代理机构</w:t>
      </w:r>
      <w:r>
        <w:rPr>
          <w:rFonts w:hint="eastAsia" w:ascii="宋体" w:hAnsi="宋体" w:cs="黑体"/>
          <w:bCs/>
          <w:sz w:val="24"/>
        </w:rPr>
        <w:t>提出询问，询问可以口头方式提出，也可以书面方式提出。</w:t>
      </w:r>
    </w:p>
    <w:p w14:paraId="3F4C69CF">
      <w:pPr>
        <w:numPr>
          <w:ilvl w:val="1"/>
          <w:numId w:val="62"/>
        </w:numPr>
        <w:autoSpaceDE w:val="0"/>
        <w:autoSpaceDN w:val="0"/>
        <w:snapToGrid w:val="0"/>
        <w:spacing w:line="360" w:lineRule="auto"/>
        <w:ind w:left="648" w:hanging="648" w:hangingChars="270"/>
        <w:rPr>
          <w:rFonts w:ascii="宋体" w:hAnsi="宋体" w:cs="黑体"/>
          <w:b/>
          <w:bCs/>
          <w:sz w:val="24"/>
        </w:rPr>
      </w:pPr>
      <w:r>
        <w:rPr>
          <w:rFonts w:hint="eastAsia" w:ascii="宋体" w:hAnsi="宋体" w:cs="黑体"/>
          <w:bCs/>
          <w:sz w:val="24"/>
        </w:rPr>
        <w:t>如采用书面方式提出询问，供应商为自然人的，询问函应当由本人签字；供应商为法人或者其他组织的，应当由法定代表人、主要负责人或授权代表签字或者盖个人名章，并加盖公章。投标人递交询问函时非法定代表人亲自办理的需提供法定代表人授权委托书（应载明授权代表的姓名或者名称、代理事项、具体权限、期限和相关事项）及授权代表身份证复印件。</w:t>
      </w:r>
    </w:p>
    <w:p w14:paraId="3D84BFFF">
      <w:pPr>
        <w:numPr>
          <w:ilvl w:val="1"/>
          <w:numId w:val="62"/>
        </w:numPr>
        <w:autoSpaceDE w:val="0"/>
        <w:autoSpaceDN w:val="0"/>
        <w:snapToGrid w:val="0"/>
        <w:spacing w:line="360" w:lineRule="auto"/>
        <w:ind w:left="648" w:hanging="648" w:hangingChars="270"/>
        <w:rPr>
          <w:rFonts w:ascii="宋体" w:hAnsi="宋体" w:cs="黑体"/>
          <w:b/>
          <w:bCs/>
          <w:sz w:val="24"/>
        </w:rPr>
      </w:pPr>
      <w:r>
        <w:rPr>
          <w:rFonts w:hint="eastAsia" w:ascii="宋体" w:hAnsi="宋体" w:cs="宋体"/>
          <w:sz w:val="24"/>
          <w:lang w:eastAsia="zh-TW"/>
        </w:rPr>
        <w:t>采购人或者采购代理机构</w:t>
      </w:r>
      <w:r>
        <w:rPr>
          <w:rFonts w:hint="eastAsia" w:ascii="宋体" w:hAnsi="宋体" w:cs="黑体"/>
          <w:bCs/>
          <w:sz w:val="24"/>
        </w:rPr>
        <w:t>在三个工作日内对供应商依法提出的询问作出答复。</w:t>
      </w:r>
    </w:p>
    <w:p w14:paraId="4AED39C9">
      <w:pPr>
        <w:numPr>
          <w:ilvl w:val="1"/>
          <w:numId w:val="62"/>
        </w:numPr>
        <w:autoSpaceDE w:val="0"/>
        <w:autoSpaceDN w:val="0"/>
        <w:snapToGrid w:val="0"/>
        <w:spacing w:line="360" w:lineRule="auto"/>
        <w:ind w:left="566" w:hanging="566" w:hangingChars="236"/>
        <w:rPr>
          <w:rFonts w:ascii="宋体" w:hAnsi="宋体" w:cs="黑体"/>
          <w:bCs/>
          <w:sz w:val="24"/>
        </w:rPr>
      </w:pPr>
      <w:r>
        <w:rPr>
          <w:rFonts w:hint="eastAsia" w:hAnsi="宋体"/>
          <w:snapToGrid w:val="0"/>
          <w:sz w:val="24"/>
        </w:rPr>
        <w:t>采购人或采购代理机构接收以书面形式递交的询问函，接收询问函的联系人、联系方式和通讯地址详见</w:t>
      </w:r>
      <w:r>
        <w:rPr>
          <w:rFonts w:hint="eastAsia" w:hAnsi="宋体"/>
          <w:b/>
          <w:snapToGrid w:val="0"/>
          <w:sz w:val="24"/>
        </w:rPr>
        <w:t>投标人须知前附表</w:t>
      </w:r>
      <w:r>
        <w:rPr>
          <w:rFonts w:hint="eastAsia" w:ascii="宋体" w:hAnsi="宋体"/>
          <w:sz w:val="24"/>
        </w:rPr>
        <w:t>。</w:t>
      </w:r>
    </w:p>
    <w:p w14:paraId="6C45E846">
      <w:pPr>
        <w:numPr>
          <w:ilvl w:val="0"/>
          <w:numId w:val="62"/>
        </w:numPr>
        <w:autoSpaceDE w:val="0"/>
        <w:autoSpaceDN w:val="0"/>
        <w:snapToGrid w:val="0"/>
        <w:spacing w:line="360" w:lineRule="auto"/>
        <w:ind w:left="487" w:hanging="487" w:hangingChars="202"/>
        <w:outlineLvl w:val="3"/>
        <w:rPr>
          <w:rFonts w:ascii="宋体" w:hAnsi="宋体"/>
          <w:b/>
          <w:bCs/>
          <w:sz w:val="24"/>
        </w:rPr>
      </w:pPr>
      <w:r>
        <w:rPr>
          <w:rFonts w:hint="eastAsia" w:ascii="宋体" w:hAnsi="宋体"/>
          <w:b/>
          <w:bCs/>
          <w:sz w:val="24"/>
        </w:rPr>
        <w:t>质疑</w:t>
      </w:r>
    </w:p>
    <w:p w14:paraId="66B9AF38">
      <w:pPr>
        <w:numPr>
          <w:ilvl w:val="1"/>
          <w:numId w:val="62"/>
        </w:numPr>
        <w:autoSpaceDE w:val="0"/>
        <w:autoSpaceDN w:val="0"/>
        <w:snapToGrid w:val="0"/>
        <w:spacing w:line="360" w:lineRule="auto"/>
        <w:ind w:left="566" w:hanging="566" w:hangingChars="236"/>
        <w:rPr>
          <w:rFonts w:ascii="宋体" w:hAnsi="宋体" w:cs="黑体"/>
          <w:b/>
          <w:bCs/>
          <w:sz w:val="24"/>
        </w:rPr>
      </w:pPr>
      <w:r>
        <w:rPr>
          <w:rFonts w:hint="eastAsia" w:ascii="宋体" w:hAnsi="宋体" w:cs="黑体"/>
          <w:bCs/>
          <w:sz w:val="24"/>
        </w:rPr>
        <w:t>质疑期限：</w:t>
      </w:r>
    </w:p>
    <w:p w14:paraId="2120359C">
      <w:pPr>
        <w:numPr>
          <w:ilvl w:val="2"/>
          <w:numId w:val="62"/>
        </w:numPr>
        <w:autoSpaceDE w:val="0"/>
        <w:autoSpaceDN w:val="0"/>
        <w:snapToGrid w:val="0"/>
        <w:spacing w:line="360" w:lineRule="auto"/>
        <w:ind w:left="566" w:hanging="566" w:hangingChars="236"/>
        <w:rPr>
          <w:rFonts w:ascii="宋体" w:hAnsi="宋体" w:cs="黑体"/>
          <w:b/>
          <w:bCs/>
          <w:sz w:val="24"/>
        </w:rPr>
      </w:pPr>
      <w:r>
        <w:rPr>
          <w:rFonts w:hint="eastAsia" w:ascii="宋体" w:hAnsi="宋体" w:cs="黑体"/>
          <w:bCs/>
          <w:sz w:val="24"/>
        </w:rPr>
        <w:t>供应商认为</w:t>
      </w:r>
      <w:r>
        <w:rPr>
          <w:rFonts w:hint="eastAsia" w:ascii="宋体" w:hAnsi="宋体" w:cs="黑体"/>
          <w:bCs/>
          <w:sz w:val="24"/>
          <w:u w:val="double"/>
        </w:rPr>
        <w:t>招标文件的内容</w:t>
      </w:r>
      <w:r>
        <w:rPr>
          <w:rFonts w:hint="eastAsia" w:ascii="宋体" w:hAnsi="宋体" w:cs="黑体"/>
          <w:bCs/>
          <w:sz w:val="24"/>
        </w:rPr>
        <w:t>损害其权益的，应在收到招标文件之日或者招标文件公告期届满之日起七个工作日内。</w:t>
      </w:r>
    </w:p>
    <w:p w14:paraId="0FCB68B0">
      <w:pPr>
        <w:numPr>
          <w:ilvl w:val="2"/>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黑体"/>
          <w:bCs/>
          <w:sz w:val="24"/>
        </w:rPr>
        <w:t>供应商依法获取招标文件之日早于招标文件公告期限届满之日的，则以供应商依法获取招标文件之日为质疑时效期间的起算日期；否则，以招标文件公告期限届满之日为质疑时效期间的起算日期。</w:t>
      </w:r>
    </w:p>
    <w:p w14:paraId="6164B7FD">
      <w:pPr>
        <w:numPr>
          <w:ilvl w:val="2"/>
          <w:numId w:val="62"/>
        </w:numPr>
        <w:autoSpaceDE w:val="0"/>
        <w:autoSpaceDN w:val="0"/>
        <w:snapToGrid w:val="0"/>
        <w:spacing w:line="360" w:lineRule="auto"/>
        <w:ind w:left="566" w:hanging="566" w:hangingChars="236"/>
        <w:rPr>
          <w:rFonts w:ascii="宋体" w:hAnsi="宋体" w:cs="黑体"/>
          <w:b/>
          <w:bCs/>
          <w:sz w:val="24"/>
        </w:rPr>
      </w:pPr>
      <w:r>
        <w:rPr>
          <w:rFonts w:hint="eastAsia" w:ascii="宋体" w:hAnsi="宋体" w:cs="黑体"/>
          <w:bCs/>
          <w:sz w:val="24"/>
        </w:rPr>
        <w:t>供应商认为</w:t>
      </w:r>
      <w:r>
        <w:rPr>
          <w:rFonts w:hint="eastAsia" w:ascii="宋体" w:hAnsi="宋体" w:cs="黑体"/>
          <w:bCs/>
          <w:sz w:val="24"/>
          <w:u w:val="double"/>
        </w:rPr>
        <w:t>采购过程</w:t>
      </w:r>
      <w:r>
        <w:rPr>
          <w:rFonts w:hint="eastAsia" w:ascii="宋体" w:hAnsi="宋体" w:cs="黑体"/>
          <w:bCs/>
          <w:sz w:val="24"/>
        </w:rPr>
        <w:t>损害其权益的，应在各采购程序环节结束之日起七个工作日内。</w:t>
      </w:r>
    </w:p>
    <w:p w14:paraId="2CB3BE34">
      <w:pPr>
        <w:numPr>
          <w:ilvl w:val="2"/>
          <w:numId w:val="62"/>
        </w:numPr>
        <w:autoSpaceDE w:val="0"/>
        <w:autoSpaceDN w:val="0"/>
        <w:snapToGrid w:val="0"/>
        <w:spacing w:line="360" w:lineRule="auto"/>
        <w:ind w:left="566" w:hanging="566" w:hangingChars="236"/>
        <w:rPr>
          <w:rFonts w:ascii="宋体" w:hAnsi="宋体" w:cs="黑体"/>
          <w:b/>
          <w:bCs/>
          <w:sz w:val="24"/>
        </w:rPr>
      </w:pPr>
      <w:r>
        <w:rPr>
          <w:rFonts w:hint="eastAsia" w:ascii="宋体" w:hAnsi="宋体" w:cs="黑体"/>
          <w:bCs/>
          <w:sz w:val="24"/>
        </w:rPr>
        <w:t>供应商认为</w:t>
      </w:r>
      <w:r>
        <w:rPr>
          <w:rFonts w:hint="eastAsia" w:ascii="宋体" w:hAnsi="宋体" w:cs="黑体"/>
          <w:bCs/>
          <w:sz w:val="24"/>
          <w:u w:val="double"/>
        </w:rPr>
        <w:t>中标或者成交结果</w:t>
      </w:r>
      <w:r>
        <w:rPr>
          <w:rFonts w:hint="eastAsia" w:ascii="宋体" w:hAnsi="宋体" w:cs="黑体"/>
          <w:bCs/>
          <w:sz w:val="24"/>
        </w:rPr>
        <w:t>损害其权益的，应在中标或者成交结果公告期限届满之日起七个工作日内。</w:t>
      </w:r>
    </w:p>
    <w:p w14:paraId="06C1A30A">
      <w:pPr>
        <w:numPr>
          <w:ilvl w:val="1"/>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黑体"/>
          <w:bCs/>
          <w:sz w:val="24"/>
        </w:rPr>
        <w:t>提交要求：</w:t>
      </w:r>
    </w:p>
    <w:p w14:paraId="6582FC0F">
      <w:pPr>
        <w:numPr>
          <w:ilvl w:val="2"/>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黑体"/>
          <w:bCs/>
          <w:sz w:val="24"/>
        </w:rPr>
        <w:t>以</w:t>
      </w:r>
      <w:r>
        <w:rPr>
          <w:rFonts w:ascii="宋体" w:hAnsi="宋体" w:cs="黑体"/>
          <w:bCs/>
          <w:sz w:val="24"/>
        </w:rPr>
        <w:t>书面纸质质疑函原件（不包括电报、电传、传真、电子数据交换和电子邮件等形式提出的质疑函</w:t>
      </w:r>
      <w:r>
        <w:rPr>
          <w:rFonts w:hint="eastAsia" w:ascii="宋体" w:hAnsi="宋体" w:cs="黑体"/>
          <w:bCs/>
          <w:sz w:val="24"/>
        </w:rPr>
        <w:t>）向采购人或者采购代理机构</w:t>
      </w:r>
      <w:r>
        <w:rPr>
          <w:rFonts w:hint="eastAsia" w:ascii="宋体" w:hAnsi="宋体" w:cs="宋体"/>
          <w:sz w:val="24"/>
        </w:rPr>
        <w:t>一次性提出针对同一采购程序环节的</w:t>
      </w:r>
      <w:r>
        <w:rPr>
          <w:rFonts w:hint="eastAsia" w:ascii="宋体" w:hAnsi="宋体" w:cs="黑体"/>
          <w:bCs/>
          <w:sz w:val="24"/>
        </w:rPr>
        <w:t>质疑。</w:t>
      </w:r>
    </w:p>
    <w:p w14:paraId="073815A1">
      <w:pPr>
        <w:numPr>
          <w:ilvl w:val="2"/>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黑体"/>
          <w:bCs/>
          <w:sz w:val="24"/>
        </w:rPr>
        <w:t>以联合体形式参加采购活动的，其质疑应当由组成联合体的所有供应商共同提出。</w:t>
      </w:r>
    </w:p>
    <w:p w14:paraId="725789F6">
      <w:pPr>
        <w:numPr>
          <w:ilvl w:val="2"/>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黑体"/>
          <w:bCs/>
          <w:sz w:val="24"/>
        </w:rPr>
        <w:t>质疑函应当包括下列内容：</w:t>
      </w:r>
    </w:p>
    <w:p w14:paraId="7DC0F505">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供应商的姓名或者名称、地址、邮编、联系人及联系电话；</w:t>
      </w:r>
    </w:p>
    <w:p w14:paraId="1BC7D6E7">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质疑项目的名称及编号；</w:t>
      </w:r>
    </w:p>
    <w:p w14:paraId="57F21096">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具体、明确的质疑事项和与质疑事项相关的请求；</w:t>
      </w:r>
    </w:p>
    <w:p w14:paraId="18534B3E">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事实依据；</w:t>
      </w:r>
    </w:p>
    <w:p w14:paraId="3829605C">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必要的法律依据；</w:t>
      </w:r>
    </w:p>
    <w:p w14:paraId="20339B1E">
      <w:pPr>
        <w:pStyle w:val="84"/>
        <w:widowControl/>
        <w:numPr>
          <w:ilvl w:val="1"/>
          <w:numId w:val="55"/>
        </w:numPr>
        <w:tabs>
          <w:tab w:val="left" w:pos="709"/>
        </w:tabs>
        <w:snapToGrid w:val="0"/>
        <w:spacing w:line="360" w:lineRule="auto"/>
        <w:ind w:left="426" w:hanging="283" w:firstLineChars="0"/>
        <w:jc w:val="left"/>
        <w:rPr>
          <w:rFonts w:ascii="宋体" w:hAnsi="宋体"/>
          <w:bCs/>
          <w:sz w:val="24"/>
        </w:rPr>
      </w:pPr>
      <w:r>
        <w:rPr>
          <w:rFonts w:hint="eastAsia" w:ascii="宋体" w:hAnsi="宋体"/>
          <w:bCs/>
          <w:sz w:val="24"/>
        </w:rPr>
        <w:t>提出质疑的日期。</w:t>
      </w:r>
    </w:p>
    <w:p w14:paraId="1225CC44">
      <w:pPr>
        <w:numPr>
          <w:ilvl w:val="2"/>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黑体"/>
          <w:bCs/>
          <w:sz w:val="24"/>
        </w:rPr>
        <w:t>供应商为自然人的，质疑函应当由本人签字；供应商为法人或者其他组织的，应当由法定代表人、主要负责人或授权代表签字或者盖个人名章，并加盖公章。供应商递交质疑函时非法定代表人亲自办理的，应提供法定代表人授权委托书和授权代表身份证复印件，其授权委托书应载明授权代表的姓名或者名称、代理事项、具体权限、期限和相关事项。</w:t>
      </w:r>
    </w:p>
    <w:p w14:paraId="2F1EB7B8">
      <w:pPr>
        <w:numPr>
          <w:ilvl w:val="1"/>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黑体"/>
          <w:bCs/>
          <w:sz w:val="24"/>
        </w:rPr>
        <w:t>供应商捏造事实、提供虚假材料或者以非法手段取得证明材料不能作为质疑的证明材料。</w:t>
      </w:r>
    </w:p>
    <w:p w14:paraId="76BD18F0">
      <w:pPr>
        <w:numPr>
          <w:ilvl w:val="1"/>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cs="宋体"/>
          <w:sz w:val="24"/>
          <w:lang w:eastAsia="zh-TW"/>
        </w:rPr>
        <w:t>采购人或者采购代理机构</w:t>
      </w:r>
      <w:r>
        <w:rPr>
          <w:rFonts w:hint="eastAsia" w:ascii="宋体" w:hAnsi="宋体"/>
          <w:sz w:val="24"/>
        </w:rPr>
        <w:t>在收到投标人的书面质疑后7个工作日内作出答复，并以书面形式通知质疑供应商和其他有关供应商，但答复内容不涉及商业秘密。质疑供应商须提供相关证明材料，包括但不限于权益受损害的情况说明及受损害的原因、证据内容等，并对质疑内容的真实性承担责任。</w:t>
      </w:r>
    </w:p>
    <w:p w14:paraId="00997CFA">
      <w:pPr>
        <w:numPr>
          <w:ilvl w:val="1"/>
          <w:numId w:val="62"/>
        </w:numPr>
        <w:autoSpaceDE w:val="0"/>
        <w:autoSpaceDN w:val="0"/>
        <w:snapToGrid w:val="0"/>
        <w:spacing w:line="360" w:lineRule="auto"/>
        <w:ind w:left="566" w:hanging="566" w:hangingChars="236"/>
        <w:rPr>
          <w:rFonts w:ascii="宋体" w:hAnsi="宋体" w:cs="黑体"/>
          <w:bCs/>
          <w:sz w:val="24"/>
        </w:rPr>
      </w:pPr>
      <w:r>
        <w:rPr>
          <w:rFonts w:hint="eastAsia" w:hAnsi="宋体"/>
          <w:snapToGrid w:val="0"/>
          <w:sz w:val="24"/>
        </w:rPr>
        <w:t>采购人或采购代理机构接收以书面形式递交的质疑函，接收质疑函的联系人、联系方式和通讯地址详见</w:t>
      </w:r>
      <w:r>
        <w:rPr>
          <w:rFonts w:hint="eastAsia" w:hAnsi="宋体"/>
          <w:b/>
          <w:snapToGrid w:val="0"/>
          <w:sz w:val="24"/>
        </w:rPr>
        <w:t>投标人须知前附表</w:t>
      </w:r>
      <w:r>
        <w:rPr>
          <w:rFonts w:hint="eastAsia" w:ascii="宋体" w:hAnsi="宋体"/>
          <w:sz w:val="24"/>
        </w:rPr>
        <w:t>。</w:t>
      </w:r>
    </w:p>
    <w:p w14:paraId="6FE17045">
      <w:pPr>
        <w:numPr>
          <w:ilvl w:val="1"/>
          <w:numId w:val="62"/>
        </w:numPr>
        <w:autoSpaceDE w:val="0"/>
        <w:autoSpaceDN w:val="0"/>
        <w:snapToGrid w:val="0"/>
        <w:spacing w:line="360" w:lineRule="auto"/>
        <w:ind w:left="566" w:hanging="566" w:hangingChars="236"/>
        <w:rPr>
          <w:rFonts w:ascii="宋体" w:hAnsi="宋体" w:cs="黑体"/>
          <w:bCs/>
          <w:sz w:val="24"/>
        </w:rPr>
      </w:pPr>
      <w:r>
        <w:rPr>
          <w:rFonts w:hint="eastAsia" w:ascii="宋体" w:hAnsi="宋体"/>
          <w:sz w:val="24"/>
        </w:rPr>
        <w:t>具体询问、质疑函的格式详见本须知附件。</w:t>
      </w:r>
    </w:p>
    <w:p w14:paraId="0D66B9A5">
      <w:pPr>
        <w:widowControl/>
        <w:jc w:val="left"/>
        <w:rPr>
          <w:rFonts w:ascii="宋体" w:hAnsi="宋体" w:cs="宋体"/>
          <w:szCs w:val="21"/>
        </w:rPr>
      </w:pPr>
      <w:r>
        <w:rPr>
          <w:rFonts w:ascii="宋体" w:hAnsi="宋体" w:cs="宋体"/>
          <w:szCs w:val="21"/>
        </w:rPr>
        <w:br w:type="page"/>
      </w:r>
    </w:p>
    <w:p w14:paraId="7B30A276">
      <w:pPr>
        <w:autoSpaceDE w:val="0"/>
        <w:autoSpaceDN w:val="0"/>
        <w:snapToGrid w:val="0"/>
        <w:spacing w:line="360" w:lineRule="auto"/>
        <w:rPr>
          <w:rFonts w:ascii="宋体" w:hAnsi="宋体"/>
          <w:b/>
          <w:sz w:val="24"/>
        </w:rPr>
      </w:pPr>
      <w:r>
        <w:rPr>
          <w:rFonts w:hint="eastAsia" w:ascii="宋体" w:hAnsi="宋体"/>
          <w:b/>
          <w:bCs/>
          <w:sz w:val="24"/>
        </w:rPr>
        <w:t>附件：询问函、质疑函格式</w:t>
      </w:r>
    </w:p>
    <w:p w14:paraId="29F8C56C">
      <w:pPr>
        <w:snapToGrid w:val="0"/>
        <w:spacing w:line="360" w:lineRule="auto"/>
        <w:rPr>
          <w:rFonts w:ascii="宋体" w:hAnsi="宋体"/>
          <w:b/>
          <w:sz w:val="24"/>
        </w:rPr>
      </w:pPr>
      <w:r>
        <w:rPr>
          <w:rFonts w:hint="eastAsia" w:ascii="宋体" w:hAnsi="宋体"/>
          <w:b/>
          <w:sz w:val="24"/>
        </w:rPr>
        <w:t>说明：本部分格式为投标人提交询问函、质疑函时使用，不属于投标文件格式的组成部分。</w:t>
      </w:r>
    </w:p>
    <w:p w14:paraId="68AEF114">
      <w:pPr>
        <w:pStyle w:val="35"/>
        <w:snapToGrid w:val="0"/>
        <w:spacing w:before="0" w:beforeAutospacing="0" w:after="0" w:afterAutospacing="0" w:line="360" w:lineRule="auto"/>
        <w:jc w:val="both"/>
      </w:pPr>
    </w:p>
    <w:p w14:paraId="52D9CBE7">
      <w:pPr>
        <w:pStyle w:val="35"/>
        <w:snapToGrid w:val="0"/>
        <w:spacing w:before="0" w:beforeAutospacing="0" w:after="0" w:afterAutospacing="0" w:line="360" w:lineRule="auto"/>
        <w:jc w:val="both"/>
        <w:rPr>
          <w:b/>
        </w:rPr>
      </w:pPr>
      <w:r>
        <w:rPr>
          <w:rFonts w:hint="eastAsia"/>
          <w:b/>
        </w:rPr>
        <w:t>1.询问函格式</w:t>
      </w:r>
    </w:p>
    <w:p w14:paraId="758CEBC5">
      <w:pPr>
        <w:pStyle w:val="35"/>
        <w:spacing w:before="0" w:beforeAutospacing="0" w:after="0" w:afterAutospacing="0" w:line="360" w:lineRule="auto"/>
        <w:jc w:val="center"/>
        <w:rPr>
          <w:rStyle w:val="41"/>
        </w:rPr>
      </w:pPr>
      <w:r>
        <w:rPr>
          <w:rStyle w:val="41"/>
          <w:rFonts w:hint="eastAsia"/>
        </w:rPr>
        <w:t>询问函</w:t>
      </w:r>
    </w:p>
    <w:p w14:paraId="301F6D49">
      <w:pPr>
        <w:widowControl/>
        <w:snapToGrid w:val="0"/>
        <w:spacing w:line="360" w:lineRule="auto"/>
        <w:rPr>
          <w:rFonts w:ascii="宋体" w:hAnsi="宋体"/>
          <w:sz w:val="24"/>
        </w:rPr>
      </w:pPr>
      <w:r>
        <w:rPr>
          <w:rFonts w:hint="eastAsia" w:ascii="宋体" w:hAnsi="宋体"/>
          <w:sz w:val="24"/>
          <w:u w:val="single"/>
        </w:rPr>
        <w:t>佛山采联采购招标有限公司</w:t>
      </w:r>
      <w:r>
        <w:rPr>
          <w:rFonts w:hint="eastAsia" w:ascii="宋体" w:hAnsi="宋体"/>
          <w:sz w:val="24"/>
        </w:rPr>
        <w:t>：</w:t>
      </w:r>
    </w:p>
    <w:p w14:paraId="43A9C636">
      <w:pPr>
        <w:widowControl/>
        <w:tabs>
          <w:tab w:val="left" w:pos="6300"/>
        </w:tabs>
        <w:snapToGrid w:val="0"/>
        <w:spacing w:line="360" w:lineRule="auto"/>
        <w:ind w:firstLine="480" w:firstLineChars="200"/>
        <w:rPr>
          <w:rFonts w:ascii="宋体" w:hAnsi="宋体"/>
          <w:sz w:val="24"/>
        </w:rPr>
      </w:pPr>
      <w:r>
        <w:rPr>
          <w:rFonts w:hint="eastAsia" w:ascii="宋体" w:hAnsi="宋体"/>
          <w:sz w:val="24"/>
        </w:rPr>
        <w:t>我单位已报名并准备参与</w:t>
      </w:r>
      <w:r>
        <w:rPr>
          <w:rFonts w:hint="eastAsia" w:ascii="宋体" w:hAnsi="宋体"/>
          <w:sz w:val="24"/>
          <w:u w:val="single"/>
          <w:lang w:eastAsia="zh-CN"/>
        </w:rPr>
        <w:t>中华人民共和国佛山出入境边防检查站2026年度节日慰问品采购项目</w:t>
      </w:r>
      <w:r>
        <w:rPr>
          <w:rFonts w:hint="eastAsia" w:ascii="宋体" w:hAnsi="宋体"/>
          <w:sz w:val="24"/>
        </w:rPr>
        <w:t>（项目采购编号：）的投标（或报价）活动，现有以下几个内容（或条款）存在疑问（或无法理解），特提出询问。</w:t>
      </w:r>
    </w:p>
    <w:p w14:paraId="660F2720">
      <w:pPr>
        <w:widowControl/>
        <w:tabs>
          <w:tab w:val="center" w:pos="5019"/>
        </w:tabs>
        <w:snapToGrid w:val="0"/>
        <w:spacing w:line="360" w:lineRule="auto"/>
        <w:ind w:firstLine="480" w:firstLineChars="200"/>
        <w:rPr>
          <w:rFonts w:ascii="宋体" w:hAnsi="宋体"/>
          <w:sz w:val="24"/>
        </w:rPr>
      </w:pPr>
      <w:r>
        <w:rPr>
          <w:rFonts w:hint="eastAsia" w:ascii="宋体" w:hAnsi="宋体"/>
          <w:sz w:val="24"/>
        </w:rPr>
        <w:t>一、_____________________（事项一）</w:t>
      </w:r>
      <w:r>
        <w:rPr>
          <w:rFonts w:ascii="宋体" w:hAnsi="宋体"/>
          <w:sz w:val="24"/>
        </w:rPr>
        <w:tab/>
      </w:r>
    </w:p>
    <w:p w14:paraId="0ABBCCE9">
      <w:pPr>
        <w:widowControl/>
        <w:tabs>
          <w:tab w:val="left" w:pos="6300"/>
        </w:tabs>
        <w:snapToGrid w:val="0"/>
        <w:spacing w:line="360" w:lineRule="auto"/>
        <w:ind w:firstLine="480" w:firstLineChars="200"/>
        <w:rPr>
          <w:rFonts w:ascii="宋体" w:hAnsi="宋体"/>
          <w:sz w:val="24"/>
        </w:rPr>
      </w:pPr>
      <w:r>
        <w:rPr>
          <w:rFonts w:hint="eastAsia" w:ascii="宋体" w:hAnsi="宋体"/>
          <w:sz w:val="24"/>
        </w:rPr>
        <w:t>（1）____________________（问题或条款内容）</w:t>
      </w:r>
    </w:p>
    <w:p w14:paraId="46116273">
      <w:pPr>
        <w:widowControl/>
        <w:tabs>
          <w:tab w:val="left" w:pos="6300"/>
        </w:tabs>
        <w:snapToGrid w:val="0"/>
        <w:spacing w:line="360" w:lineRule="auto"/>
        <w:ind w:firstLine="480" w:firstLineChars="200"/>
        <w:rPr>
          <w:rFonts w:ascii="宋体" w:hAnsi="宋体"/>
          <w:sz w:val="24"/>
        </w:rPr>
      </w:pPr>
      <w:r>
        <w:rPr>
          <w:rFonts w:hint="eastAsia" w:ascii="宋体" w:hAnsi="宋体"/>
          <w:sz w:val="24"/>
        </w:rPr>
        <w:t>（2）____________________（说明疑问或无法理解原因）</w:t>
      </w:r>
    </w:p>
    <w:p w14:paraId="110C0082">
      <w:pPr>
        <w:widowControl/>
        <w:tabs>
          <w:tab w:val="left" w:pos="6300"/>
        </w:tabs>
        <w:snapToGrid w:val="0"/>
        <w:spacing w:line="360" w:lineRule="auto"/>
        <w:ind w:firstLine="480" w:firstLineChars="200"/>
        <w:rPr>
          <w:rFonts w:ascii="宋体" w:hAnsi="宋体"/>
          <w:sz w:val="24"/>
        </w:rPr>
      </w:pPr>
      <w:r>
        <w:rPr>
          <w:rFonts w:hint="eastAsia" w:ascii="宋体" w:hAnsi="宋体"/>
          <w:sz w:val="24"/>
        </w:rPr>
        <w:t>（3）____________________（建议）</w:t>
      </w:r>
    </w:p>
    <w:p w14:paraId="67949380">
      <w:pPr>
        <w:widowControl/>
        <w:tabs>
          <w:tab w:val="left" w:pos="6300"/>
        </w:tabs>
        <w:snapToGrid w:val="0"/>
        <w:spacing w:line="360" w:lineRule="auto"/>
        <w:ind w:firstLine="480" w:firstLineChars="200"/>
        <w:rPr>
          <w:rFonts w:ascii="宋体" w:hAnsi="宋体"/>
          <w:sz w:val="24"/>
        </w:rPr>
      </w:pPr>
      <w:r>
        <w:rPr>
          <w:rFonts w:hint="eastAsia" w:ascii="宋体" w:hAnsi="宋体"/>
          <w:sz w:val="24"/>
        </w:rPr>
        <w:t>二、_____________________（事项二）</w:t>
      </w:r>
    </w:p>
    <w:p w14:paraId="5EA4F951">
      <w:pPr>
        <w:widowControl/>
        <w:tabs>
          <w:tab w:val="left" w:pos="6300"/>
        </w:tabs>
        <w:snapToGrid w:val="0"/>
        <w:spacing w:line="360" w:lineRule="auto"/>
        <w:ind w:firstLine="480" w:firstLineChars="200"/>
        <w:rPr>
          <w:rFonts w:ascii="宋体" w:hAnsi="宋体"/>
          <w:sz w:val="24"/>
        </w:rPr>
      </w:pPr>
      <w:r>
        <w:rPr>
          <w:rFonts w:hint="eastAsia" w:ascii="宋体" w:hAnsi="宋体"/>
          <w:sz w:val="24"/>
        </w:rPr>
        <w:t>……</w:t>
      </w:r>
    </w:p>
    <w:p w14:paraId="7B83826E">
      <w:pPr>
        <w:widowControl/>
        <w:tabs>
          <w:tab w:val="left" w:pos="6300"/>
        </w:tabs>
        <w:snapToGrid w:val="0"/>
        <w:spacing w:line="360" w:lineRule="auto"/>
        <w:jc w:val="left"/>
        <w:rPr>
          <w:rFonts w:ascii="宋体" w:hAnsi="宋体"/>
          <w:b/>
          <w:sz w:val="24"/>
        </w:rPr>
      </w:pPr>
      <w:r>
        <w:rPr>
          <w:rFonts w:hint="eastAsia" w:ascii="宋体" w:hAnsi="宋体"/>
          <w:b/>
          <w:sz w:val="24"/>
        </w:rPr>
        <w:t>随附相关证明材料如下：（目录）。</w:t>
      </w:r>
    </w:p>
    <w:p w14:paraId="66921C15">
      <w:pPr>
        <w:widowControl/>
        <w:tabs>
          <w:tab w:val="left" w:pos="6300"/>
        </w:tabs>
        <w:snapToGrid w:val="0"/>
        <w:spacing w:line="360" w:lineRule="auto"/>
        <w:ind w:firstLine="1440" w:firstLineChars="600"/>
        <w:rPr>
          <w:rFonts w:ascii="宋体" w:hAnsi="宋体"/>
          <w:sz w:val="24"/>
        </w:rPr>
      </w:pPr>
    </w:p>
    <w:p w14:paraId="3F8062DC">
      <w:pPr>
        <w:widowControl/>
        <w:tabs>
          <w:tab w:val="left" w:pos="6300"/>
        </w:tabs>
        <w:snapToGrid w:val="0"/>
        <w:spacing w:line="360" w:lineRule="auto"/>
        <w:jc w:val="left"/>
        <w:rPr>
          <w:rFonts w:ascii="宋体" w:hAnsi="宋体"/>
          <w:sz w:val="24"/>
        </w:rPr>
      </w:pPr>
      <w:r>
        <w:rPr>
          <w:rFonts w:hint="eastAsia" w:ascii="宋体" w:hAnsi="宋体"/>
          <w:sz w:val="24"/>
        </w:rPr>
        <w:t>询问人（公章）：</w:t>
      </w:r>
    </w:p>
    <w:p w14:paraId="47E5A74D">
      <w:pPr>
        <w:widowControl/>
        <w:tabs>
          <w:tab w:val="left" w:pos="6300"/>
        </w:tabs>
        <w:snapToGrid w:val="0"/>
        <w:spacing w:line="360" w:lineRule="auto"/>
        <w:jc w:val="left"/>
        <w:rPr>
          <w:rFonts w:ascii="宋体" w:hAnsi="宋体"/>
          <w:sz w:val="24"/>
        </w:rPr>
      </w:pPr>
      <w:r>
        <w:rPr>
          <w:rFonts w:hint="eastAsia" w:ascii="宋体" w:hAnsi="宋体"/>
          <w:sz w:val="24"/>
        </w:rPr>
        <w:t>法定代表人（授权代表）：</w:t>
      </w:r>
    </w:p>
    <w:p w14:paraId="3FBC950A">
      <w:pPr>
        <w:tabs>
          <w:tab w:val="left" w:pos="6300"/>
        </w:tabs>
        <w:snapToGrid w:val="0"/>
        <w:spacing w:line="360" w:lineRule="auto"/>
        <w:jc w:val="left"/>
        <w:rPr>
          <w:rFonts w:ascii="宋体" w:hAnsi="宋体"/>
          <w:sz w:val="24"/>
        </w:rPr>
      </w:pPr>
      <w:r>
        <w:rPr>
          <w:rFonts w:hint="eastAsia" w:ascii="宋体" w:hAnsi="宋体"/>
          <w:sz w:val="24"/>
        </w:rPr>
        <w:t>地址/邮编：</w:t>
      </w:r>
    </w:p>
    <w:p w14:paraId="75020116">
      <w:pPr>
        <w:tabs>
          <w:tab w:val="left" w:pos="6300"/>
        </w:tabs>
        <w:snapToGrid w:val="0"/>
        <w:spacing w:line="360" w:lineRule="auto"/>
        <w:jc w:val="left"/>
        <w:rPr>
          <w:rFonts w:ascii="宋体" w:hAnsi="宋体"/>
          <w:sz w:val="24"/>
        </w:rPr>
      </w:pPr>
      <w:r>
        <w:rPr>
          <w:rFonts w:hint="eastAsia" w:ascii="宋体" w:hAnsi="宋体"/>
          <w:sz w:val="24"/>
        </w:rPr>
        <w:t>电话/传真：</w:t>
      </w:r>
    </w:p>
    <w:p w14:paraId="293FD34F">
      <w:pPr>
        <w:tabs>
          <w:tab w:val="left" w:pos="6300"/>
        </w:tabs>
        <w:snapToGrid w:val="0"/>
        <w:spacing w:line="360" w:lineRule="auto"/>
        <w:jc w:val="left"/>
        <w:rPr>
          <w:rFonts w:ascii="宋体" w:hAnsi="宋体"/>
          <w:sz w:val="24"/>
        </w:rPr>
      </w:pPr>
      <w:r>
        <w:rPr>
          <w:rFonts w:hint="eastAsia" w:ascii="宋体" w:hAnsi="宋体"/>
          <w:bCs/>
          <w:sz w:val="24"/>
        </w:rPr>
        <w:t>电子邮箱：</w:t>
      </w:r>
      <w:r>
        <w:rPr>
          <w:rFonts w:ascii="宋体" w:hAnsi="宋体"/>
          <w:sz w:val="24"/>
        </w:rPr>
        <w:t xml:space="preserve"> </w:t>
      </w:r>
    </w:p>
    <w:p w14:paraId="19EDF585">
      <w:pPr>
        <w:wordWrap w:val="0"/>
        <w:spacing w:line="360" w:lineRule="auto"/>
        <w:jc w:val="left"/>
        <w:rPr>
          <w:rFonts w:ascii="宋体" w:hAnsi="宋体"/>
          <w:sz w:val="24"/>
        </w:rPr>
      </w:pPr>
      <w:r>
        <w:rPr>
          <w:rFonts w:hint="eastAsia" w:ascii="宋体" w:hAnsi="宋体"/>
          <w:sz w:val="24"/>
        </w:rPr>
        <w:t>日期：  年   月  日</w:t>
      </w:r>
    </w:p>
    <w:p w14:paraId="466FFD56">
      <w:pPr>
        <w:snapToGrid w:val="0"/>
        <w:spacing w:line="360" w:lineRule="auto"/>
        <w:ind w:firstLine="482" w:firstLineChars="201"/>
        <w:rPr>
          <w:rFonts w:ascii="宋体" w:hAnsi="宋体"/>
          <w:sz w:val="24"/>
        </w:rPr>
      </w:pPr>
    </w:p>
    <w:p w14:paraId="06F59CCE">
      <w:pPr>
        <w:pStyle w:val="35"/>
        <w:snapToGrid w:val="0"/>
        <w:spacing w:before="0" w:beforeAutospacing="0" w:after="0" w:afterAutospacing="0" w:line="360" w:lineRule="auto"/>
        <w:jc w:val="both"/>
      </w:pPr>
      <w:r>
        <w:br w:type="page"/>
      </w:r>
      <w:r>
        <w:rPr>
          <w:rFonts w:hint="eastAsia"/>
          <w:b/>
        </w:rPr>
        <w:t>2.质疑函格式</w:t>
      </w:r>
    </w:p>
    <w:p w14:paraId="0B9B0BA1">
      <w:pPr>
        <w:jc w:val="center"/>
        <w:rPr>
          <w:rFonts w:ascii="宋体" w:hAnsi="宋体" w:cs="仿宋"/>
          <w:b/>
          <w:bCs/>
          <w:sz w:val="24"/>
        </w:rPr>
      </w:pPr>
      <w:r>
        <w:rPr>
          <w:rFonts w:hint="eastAsia" w:ascii="宋体" w:hAnsi="宋体" w:cs="仿宋"/>
          <w:b/>
          <w:bCs/>
          <w:sz w:val="24"/>
        </w:rPr>
        <w:t>质疑函范本</w:t>
      </w:r>
    </w:p>
    <w:p w14:paraId="40F210F0">
      <w:pPr>
        <w:snapToGrid w:val="0"/>
        <w:spacing w:line="360" w:lineRule="auto"/>
        <w:rPr>
          <w:rFonts w:ascii="宋体" w:hAnsi="宋体" w:cs="仿宋"/>
          <w:b/>
          <w:bCs/>
          <w:sz w:val="24"/>
        </w:rPr>
      </w:pPr>
      <w:r>
        <w:rPr>
          <w:rFonts w:hint="eastAsia" w:ascii="宋体" w:hAnsi="宋体" w:cs="仿宋"/>
          <w:b/>
          <w:bCs/>
          <w:sz w:val="24"/>
        </w:rPr>
        <w:t>一、质疑供应商基本信息</w:t>
      </w:r>
    </w:p>
    <w:p w14:paraId="439C0AD5">
      <w:pPr>
        <w:snapToGrid w:val="0"/>
        <w:spacing w:line="360" w:lineRule="auto"/>
        <w:rPr>
          <w:rFonts w:ascii="宋体" w:hAnsi="宋体" w:cs="仿宋"/>
          <w:sz w:val="24"/>
          <w:u w:val="dotted"/>
        </w:rPr>
      </w:pPr>
      <w:r>
        <w:rPr>
          <w:rFonts w:hint="eastAsia" w:ascii="宋体" w:hAnsi="宋体" w:cs="仿宋"/>
          <w:sz w:val="24"/>
        </w:rPr>
        <w:t>质疑供应商：</w:t>
      </w:r>
      <w:r>
        <w:rPr>
          <w:rFonts w:hint="eastAsia" w:ascii="宋体" w:hAnsi="宋体" w:cs="仿宋"/>
          <w:sz w:val="24"/>
          <w:u w:val="single"/>
        </w:rPr>
        <w:t xml:space="preserve">                                        </w:t>
      </w:r>
    </w:p>
    <w:p w14:paraId="43FA9705">
      <w:pPr>
        <w:snapToGrid w:val="0"/>
        <w:spacing w:line="360" w:lineRule="auto"/>
        <w:rPr>
          <w:rFonts w:ascii="宋体" w:hAnsi="宋体" w:cs="仿宋"/>
          <w:sz w:val="24"/>
        </w:rPr>
      </w:pPr>
      <w:r>
        <w:rPr>
          <w:rFonts w:hint="eastAsia" w:ascii="宋体" w:hAnsi="宋体" w:cs="仿宋"/>
          <w:sz w:val="24"/>
        </w:rPr>
        <w:t>地址：</w:t>
      </w:r>
      <w:r>
        <w:rPr>
          <w:rFonts w:hint="eastAsia" w:ascii="宋体" w:hAnsi="宋体" w:cs="仿宋"/>
          <w:sz w:val="24"/>
          <w:u w:val="single"/>
        </w:rPr>
        <w:t xml:space="preserve">                          </w:t>
      </w:r>
      <w:r>
        <w:rPr>
          <w:rFonts w:hint="eastAsia" w:ascii="宋体" w:hAnsi="宋体" w:cs="仿宋"/>
          <w:sz w:val="24"/>
        </w:rPr>
        <w:t>邮编：</w:t>
      </w:r>
      <w:r>
        <w:rPr>
          <w:rFonts w:hint="eastAsia" w:ascii="宋体" w:hAnsi="宋体" w:cs="仿宋"/>
          <w:sz w:val="24"/>
          <w:u w:val="single"/>
        </w:rPr>
        <w:t xml:space="preserve">                                                   </w:t>
      </w:r>
    </w:p>
    <w:p w14:paraId="07A1FDF1">
      <w:pPr>
        <w:snapToGrid w:val="0"/>
        <w:spacing w:line="360" w:lineRule="auto"/>
        <w:rPr>
          <w:rFonts w:ascii="宋体" w:hAnsi="宋体" w:cs="仿宋"/>
          <w:sz w:val="24"/>
        </w:rPr>
      </w:pPr>
      <w:r>
        <w:rPr>
          <w:rFonts w:hint="eastAsia" w:ascii="宋体" w:hAnsi="宋体" w:cs="仿宋"/>
          <w:sz w:val="24"/>
        </w:rPr>
        <w:t>联系人：</w:t>
      </w:r>
      <w:r>
        <w:rPr>
          <w:rFonts w:hint="eastAsia" w:ascii="宋体" w:hAnsi="宋体" w:cs="仿宋"/>
          <w:sz w:val="24"/>
          <w:u w:val="single"/>
        </w:rPr>
        <w:t xml:space="preserve">                      </w:t>
      </w:r>
      <w:r>
        <w:rPr>
          <w:rFonts w:hint="eastAsia" w:ascii="宋体" w:hAnsi="宋体" w:cs="仿宋"/>
          <w:sz w:val="24"/>
        </w:rPr>
        <w:t>联系电话：</w:t>
      </w:r>
      <w:r>
        <w:rPr>
          <w:rFonts w:hint="eastAsia" w:ascii="宋体" w:hAnsi="宋体" w:cs="仿宋"/>
          <w:sz w:val="24"/>
          <w:u w:val="single"/>
        </w:rPr>
        <w:t xml:space="preserve">                              </w:t>
      </w:r>
    </w:p>
    <w:p w14:paraId="32E20FF0">
      <w:pPr>
        <w:snapToGrid w:val="0"/>
        <w:spacing w:line="360" w:lineRule="auto"/>
        <w:rPr>
          <w:rFonts w:ascii="宋体" w:hAnsi="宋体" w:cs="仿宋"/>
          <w:sz w:val="24"/>
          <w:u w:val="dotted"/>
        </w:rPr>
      </w:pPr>
      <w:r>
        <w:rPr>
          <w:rFonts w:hint="eastAsia" w:ascii="宋体" w:hAnsi="宋体" w:cs="仿宋"/>
          <w:sz w:val="24"/>
        </w:rPr>
        <w:t>授权代表：</w:t>
      </w:r>
      <w:r>
        <w:rPr>
          <w:rFonts w:hint="eastAsia" w:ascii="宋体" w:hAnsi="宋体" w:cs="仿宋"/>
          <w:sz w:val="24"/>
          <w:u w:val="single"/>
        </w:rPr>
        <w:t xml:space="preserve">                                          </w:t>
      </w:r>
    </w:p>
    <w:p w14:paraId="32C4CC0C">
      <w:pPr>
        <w:snapToGrid w:val="0"/>
        <w:spacing w:line="360" w:lineRule="auto"/>
        <w:rPr>
          <w:rFonts w:ascii="宋体" w:hAnsi="宋体" w:cs="仿宋"/>
          <w:sz w:val="24"/>
        </w:rPr>
      </w:pPr>
      <w:r>
        <w:rPr>
          <w:rFonts w:hint="eastAsia" w:ascii="宋体" w:hAnsi="宋体" w:cs="仿宋"/>
          <w:sz w:val="24"/>
        </w:rPr>
        <w:t>联系电话：</w:t>
      </w:r>
      <w:r>
        <w:rPr>
          <w:rFonts w:hint="eastAsia" w:ascii="宋体" w:hAnsi="宋体" w:cs="仿宋"/>
          <w:sz w:val="24"/>
          <w:u w:val="single"/>
        </w:rPr>
        <w:t xml:space="preserve">                                           </w:t>
      </w:r>
      <w:r>
        <w:rPr>
          <w:rFonts w:ascii="宋体" w:hAnsi="宋体" w:cs="仿宋"/>
          <w:sz w:val="24"/>
        </w:rPr>
        <w:t xml:space="preserve"> </w:t>
      </w:r>
    </w:p>
    <w:p w14:paraId="293705BD">
      <w:pPr>
        <w:snapToGrid w:val="0"/>
        <w:spacing w:line="360" w:lineRule="auto"/>
        <w:rPr>
          <w:rFonts w:ascii="宋体" w:hAnsi="宋体" w:cs="仿宋"/>
          <w:sz w:val="24"/>
          <w:u w:val="single"/>
        </w:rPr>
      </w:pPr>
      <w:r>
        <w:rPr>
          <w:rFonts w:hint="eastAsia" w:ascii="宋体" w:hAnsi="宋体" w:cs="仿宋"/>
          <w:sz w:val="24"/>
        </w:rPr>
        <w:t>地址：</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邮编：</w:t>
      </w:r>
      <w:r>
        <w:rPr>
          <w:rFonts w:hint="eastAsia" w:ascii="宋体" w:hAnsi="宋体" w:cs="仿宋"/>
          <w:sz w:val="24"/>
          <w:u w:val="single"/>
        </w:rPr>
        <w:t xml:space="preserve">                                                </w:t>
      </w:r>
    </w:p>
    <w:p w14:paraId="73516B0A">
      <w:pPr>
        <w:snapToGrid w:val="0"/>
        <w:spacing w:line="360" w:lineRule="auto"/>
        <w:rPr>
          <w:rFonts w:ascii="宋体" w:hAnsi="宋体" w:cs="仿宋"/>
          <w:sz w:val="24"/>
        </w:rPr>
      </w:pPr>
      <w:r>
        <w:rPr>
          <w:rFonts w:hint="eastAsia" w:ascii="宋体" w:hAnsi="宋体" w:cs="仿宋"/>
          <w:bCs/>
          <w:sz w:val="24"/>
        </w:rPr>
        <w:t>电子邮箱：</w:t>
      </w:r>
      <w:r>
        <w:rPr>
          <w:rFonts w:hint="eastAsia" w:ascii="宋体" w:hAnsi="宋体" w:cs="仿宋"/>
          <w:bCs/>
          <w:sz w:val="24"/>
          <w:u w:val="single"/>
        </w:rPr>
        <w:t xml:space="preserve">                        </w:t>
      </w:r>
    </w:p>
    <w:p w14:paraId="3B7DFDB6">
      <w:pPr>
        <w:snapToGrid w:val="0"/>
        <w:spacing w:line="360" w:lineRule="auto"/>
        <w:rPr>
          <w:rFonts w:ascii="宋体" w:hAnsi="宋体" w:cs="仿宋"/>
          <w:b/>
          <w:bCs/>
          <w:sz w:val="24"/>
        </w:rPr>
      </w:pPr>
      <w:r>
        <w:rPr>
          <w:rFonts w:hint="eastAsia" w:ascii="宋体" w:hAnsi="宋体" w:cs="仿宋"/>
          <w:b/>
          <w:bCs/>
          <w:sz w:val="24"/>
        </w:rPr>
        <w:t>二、质疑项目基本情况</w:t>
      </w:r>
    </w:p>
    <w:p w14:paraId="088D409F">
      <w:pPr>
        <w:snapToGrid w:val="0"/>
        <w:spacing w:line="360" w:lineRule="auto"/>
        <w:rPr>
          <w:rFonts w:ascii="宋体" w:hAnsi="宋体" w:cs="仿宋"/>
          <w:sz w:val="24"/>
        </w:rPr>
      </w:pPr>
      <w:r>
        <w:rPr>
          <w:rFonts w:hint="eastAsia" w:ascii="宋体" w:hAnsi="宋体" w:cs="仿宋"/>
          <w:sz w:val="24"/>
        </w:rPr>
        <w:t>质疑项目的名称：</w:t>
      </w:r>
      <w:r>
        <w:rPr>
          <w:rFonts w:hint="eastAsia" w:ascii="宋体" w:hAnsi="宋体" w:cs="仿宋"/>
          <w:sz w:val="24"/>
          <w:u w:val="single"/>
        </w:rPr>
        <w:t xml:space="preserve">                                      </w:t>
      </w:r>
    </w:p>
    <w:p w14:paraId="1CE5A169">
      <w:pPr>
        <w:snapToGrid w:val="0"/>
        <w:spacing w:line="360" w:lineRule="auto"/>
        <w:rPr>
          <w:rFonts w:ascii="宋体" w:hAnsi="宋体" w:cs="仿宋"/>
          <w:sz w:val="24"/>
        </w:rPr>
      </w:pPr>
      <w:r>
        <w:rPr>
          <w:rFonts w:hint="eastAsia" w:ascii="宋体" w:hAnsi="宋体" w:cs="仿宋"/>
          <w:sz w:val="24"/>
        </w:rPr>
        <w:t>质疑项目的编号：</w:t>
      </w:r>
      <w:r>
        <w:rPr>
          <w:rFonts w:hint="eastAsia" w:ascii="宋体" w:hAnsi="宋体" w:cs="仿宋"/>
          <w:sz w:val="24"/>
          <w:u w:val="single"/>
        </w:rPr>
        <w:t xml:space="preserve">               </w:t>
      </w:r>
      <w:r>
        <w:rPr>
          <w:rFonts w:hint="eastAsia" w:ascii="宋体" w:hAnsi="宋体" w:cs="仿宋"/>
          <w:sz w:val="24"/>
        </w:rPr>
        <w:t>包号：</w:t>
      </w:r>
      <w:r>
        <w:rPr>
          <w:rFonts w:hint="eastAsia" w:ascii="宋体" w:hAnsi="宋体" w:cs="仿宋"/>
          <w:sz w:val="24"/>
          <w:u w:val="single"/>
        </w:rPr>
        <w:t xml:space="preserve">                 </w:t>
      </w:r>
    </w:p>
    <w:p w14:paraId="5B67BA76">
      <w:pPr>
        <w:snapToGrid w:val="0"/>
        <w:spacing w:line="360" w:lineRule="auto"/>
        <w:rPr>
          <w:rFonts w:ascii="宋体" w:hAnsi="宋体" w:cs="仿宋"/>
          <w:sz w:val="24"/>
          <w:u w:val="single"/>
        </w:rPr>
      </w:pPr>
      <w:r>
        <w:rPr>
          <w:rFonts w:hint="eastAsia" w:ascii="宋体" w:hAnsi="宋体" w:cs="仿宋"/>
          <w:sz w:val="24"/>
        </w:rPr>
        <w:t>采购人名称：</w:t>
      </w:r>
      <w:r>
        <w:rPr>
          <w:rFonts w:hint="eastAsia" w:ascii="宋体" w:hAnsi="宋体" w:cs="仿宋"/>
          <w:sz w:val="24"/>
          <w:u w:val="single"/>
        </w:rPr>
        <w:t xml:space="preserve">                                         </w:t>
      </w:r>
    </w:p>
    <w:p w14:paraId="666682D8">
      <w:pPr>
        <w:snapToGrid w:val="0"/>
        <w:spacing w:line="360" w:lineRule="auto"/>
        <w:rPr>
          <w:rFonts w:ascii="宋体" w:hAnsi="宋体" w:cs="仿宋"/>
          <w:sz w:val="24"/>
          <w:u w:val="single"/>
        </w:rPr>
      </w:pPr>
      <w:r>
        <w:rPr>
          <w:rFonts w:hint="eastAsia" w:ascii="宋体" w:hAnsi="宋体" w:cs="仿宋"/>
          <w:sz w:val="24"/>
        </w:rPr>
        <w:t>采购文件获取日期：</w:t>
      </w:r>
      <w:r>
        <w:rPr>
          <w:rFonts w:hint="eastAsia" w:ascii="宋体" w:hAnsi="宋体" w:cs="仿宋"/>
          <w:sz w:val="24"/>
          <w:u w:val="single"/>
        </w:rPr>
        <w:t xml:space="preserve">                                           </w:t>
      </w:r>
    </w:p>
    <w:p w14:paraId="66B6D016">
      <w:pPr>
        <w:snapToGrid w:val="0"/>
        <w:spacing w:line="360" w:lineRule="auto"/>
        <w:rPr>
          <w:rFonts w:ascii="宋体" w:hAnsi="宋体" w:cs="仿宋"/>
          <w:b/>
          <w:bCs/>
          <w:sz w:val="24"/>
        </w:rPr>
      </w:pPr>
      <w:r>
        <w:rPr>
          <w:rFonts w:hint="eastAsia" w:ascii="宋体" w:hAnsi="宋体" w:cs="仿宋"/>
          <w:b/>
          <w:bCs/>
          <w:sz w:val="24"/>
        </w:rPr>
        <w:t>三、质疑事项具体内容</w:t>
      </w:r>
    </w:p>
    <w:p w14:paraId="615526FB">
      <w:pPr>
        <w:snapToGrid w:val="0"/>
        <w:spacing w:line="360" w:lineRule="auto"/>
        <w:rPr>
          <w:rFonts w:ascii="宋体" w:hAnsi="宋体" w:cs="仿宋"/>
          <w:sz w:val="24"/>
          <w:u w:val="single"/>
        </w:rPr>
      </w:pPr>
      <w:r>
        <w:rPr>
          <w:rFonts w:hint="eastAsia" w:ascii="宋体" w:hAnsi="宋体" w:cs="仿宋"/>
          <w:sz w:val="24"/>
        </w:rPr>
        <w:t>质疑事项1：</w:t>
      </w:r>
      <w:r>
        <w:rPr>
          <w:rFonts w:hint="eastAsia" w:ascii="宋体" w:hAnsi="宋体" w:cs="仿宋"/>
          <w:sz w:val="24"/>
          <w:u w:val="single"/>
        </w:rPr>
        <w:t xml:space="preserve">                                         </w:t>
      </w:r>
    </w:p>
    <w:p w14:paraId="08E1634C">
      <w:pPr>
        <w:snapToGrid w:val="0"/>
        <w:spacing w:line="360" w:lineRule="auto"/>
        <w:rPr>
          <w:rFonts w:ascii="宋体" w:hAnsi="宋体" w:cs="仿宋"/>
          <w:sz w:val="24"/>
          <w:u w:val="single"/>
        </w:rPr>
      </w:pPr>
      <w:r>
        <w:rPr>
          <w:rFonts w:hint="eastAsia" w:ascii="宋体" w:hAnsi="宋体" w:cs="仿宋"/>
          <w:sz w:val="24"/>
        </w:rPr>
        <w:t>事实依据：</w:t>
      </w:r>
      <w:r>
        <w:rPr>
          <w:rFonts w:hint="eastAsia" w:ascii="宋体" w:hAnsi="宋体" w:cs="仿宋"/>
          <w:sz w:val="24"/>
          <w:u w:val="single"/>
        </w:rPr>
        <w:t xml:space="preserve">                                          </w:t>
      </w:r>
    </w:p>
    <w:p w14:paraId="76285B4A">
      <w:pPr>
        <w:snapToGrid w:val="0"/>
        <w:spacing w:line="360" w:lineRule="auto"/>
        <w:rPr>
          <w:rFonts w:ascii="宋体" w:hAnsi="宋体" w:cs="仿宋"/>
          <w:sz w:val="24"/>
          <w:u w:val="single"/>
        </w:rPr>
      </w:pPr>
      <w:r>
        <w:rPr>
          <w:rFonts w:hint="eastAsia" w:ascii="宋体" w:hAnsi="宋体" w:cs="仿宋"/>
          <w:sz w:val="24"/>
          <w:u w:val="single"/>
        </w:rPr>
        <w:t xml:space="preserve">                                                       </w:t>
      </w:r>
    </w:p>
    <w:p w14:paraId="20233257">
      <w:pPr>
        <w:snapToGrid w:val="0"/>
        <w:spacing w:line="360" w:lineRule="auto"/>
        <w:rPr>
          <w:rFonts w:ascii="宋体" w:hAnsi="宋体" w:cs="仿宋"/>
          <w:sz w:val="24"/>
          <w:u w:val="single"/>
        </w:rPr>
      </w:pPr>
      <w:r>
        <w:rPr>
          <w:rFonts w:hint="eastAsia" w:ascii="宋体" w:hAnsi="宋体" w:cs="仿宋"/>
          <w:sz w:val="24"/>
        </w:rPr>
        <w:t>法律依据：</w:t>
      </w:r>
      <w:r>
        <w:rPr>
          <w:rFonts w:hint="eastAsia" w:ascii="宋体" w:hAnsi="宋体" w:cs="仿宋"/>
          <w:sz w:val="24"/>
          <w:u w:val="single"/>
        </w:rPr>
        <w:t xml:space="preserve">                                          </w:t>
      </w:r>
    </w:p>
    <w:p w14:paraId="26DE37E5">
      <w:pPr>
        <w:snapToGrid w:val="0"/>
        <w:spacing w:line="360" w:lineRule="auto"/>
        <w:rPr>
          <w:rFonts w:ascii="宋体" w:hAnsi="宋体" w:cs="仿宋"/>
          <w:sz w:val="24"/>
          <w:u w:val="single"/>
        </w:rPr>
      </w:pPr>
      <w:r>
        <w:rPr>
          <w:rFonts w:hint="eastAsia" w:ascii="宋体" w:hAnsi="宋体" w:cs="仿宋"/>
          <w:sz w:val="24"/>
          <w:u w:val="single"/>
        </w:rPr>
        <w:t xml:space="preserve">                                                     </w:t>
      </w:r>
    </w:p>
    <w:p w14:paraId="3FB563D3">
      <w:pPr>
        <w:snapToGrid w:val="0"/>
        <w:spacing w:line="360" w:lineRule="auto"/>
        <w:rPr>
          <w:rFonts w:ascii="宋体" w:hAnsi="宋体" w:cs="仿宋"/>
          <w:sz w:val="24"/>
          <w:u w:val="dotted"/>
        </w:rPr>
      </w:pPr>
      <w:r>
        <w:rPr>
          <w:rFonts w:hint="eastAsia" w:ascii="宋体" w:hAnsi="宋体" w:cs="仿宋"/>
          <w:sz w:val="24"/>
        </w:rPr>
        <w:t>质疑事项2</w:t>
      </w:r>
    </w:p>
    <w:p w14:paraId="6EEC0340">
      <w:pPr>
        <w:snapToGrid w:val="0"/>
        <w:spacing w:line="360" w:lineRule="auto"/>
        <w:rPr>
          <w:rFonts w:ascii="宋体" w:hAnsi="宋体" w:cs="仿宋"/>
          <w:sz w:val="24"/>
        </w:rPr>
      </w:pPr>
      <w:r>
        <w:rPr>
          <w:rFonts w:hint="eastAsia" w:ascii="宋体" w:hAnsi="宋体" w:cs="仿宋"/>
          <w:sz w:val="24"/>
        </w:rPr>
        <w:t>……</w:t>
      </w:r>
    </w:p>
    <w:p w14:paraId="281AE206">
      <w:pPr>
        <w:snapToGrid w:val="0"/>
        <w:spacing w:line="360" w:lineRule="auto"/>
        <w:rPr>
          <w:rFonts w:ascii="宋体" w:hAnsi="宋体" w:cs="仿宋"/>
          <w:bCs/>
          <w:sz w:val="24"/>
        </w:rPr>
      </w:pPr>
      <w:r>
        <w:rPr>
          <w:rFonts w:hint="eastAsia" w:ascii="宋体" w:hAnsi="宋体" w:cs="仿宋"/>
          <w:bCs/>
          <w:sz w:val="24"/>
        </w:rPr>
        <w:t>四、与质疑事项相关的质疑请求</w:t>
      </w:r>
    </w:p>
    <w:p w14:paraId="488E81FE">
      <w:pPr>
        <w:snapToGrid w:val="0"/>
        <w:spacing w:line="360" w:lineRule="auto"/>
        <w:rPr>
          <w:rFonts w:ascii="宋体" w:hAnsi="宋体" w:cs="仿宋"/>
          <w:sz w:val="24"/>
          <w:u w:val="dotted"/>
        </w:rPr>
      </w:pPr>
      <w:r>
        <w:rPr>
          <w:rFonts w:hint="eastAsia" w:ascii="宋体" w:hAnsi="宋体" w:cs="仿宋"/>
          <w:sz w:val="24"/>
        </w:rPr>
        <w:t>请求：</w:t>
      </w:r>
      <w:r>
        <w:rPr>
          <w:rFonts w:hint="eastAsia" w:ascii="宋体" w:hAnsi="宋体" w:cs="仿宋"/>
          <w:sz w:val="24"/>
          <w:u w:val="single"/>
        </w:rPr>
        <w:t xml:space="preserve">                                               </w:t>
      </w:r>
    </w:p>
    <w:p w14:paraId="12EF2878">
      <w:pPr>
        <w:snapToGrid w:val="0"/>
        <w:spacing w:line="360" w:lineRule="auto"/>
        <w:rPr>
          <w:rFonts w:ascii="宋体" w:hAnsi="宋体"/>
          <w:sz w:val="24"/>
        </w:rPr>
      </w:pPr>
    </w:p>
    <w:p w14:paraId="3F62A507">
      <w:pPr>
        <w:widowControl/>
        <w:tabs>
          <w:tab w:val="left" w:pos="6300"/>
        </w:tabs>
        <w:snapToGrid w:val="0"/>
        <w:spacing w:line="360" w:lineRule="auto"/>
        <w:jc w:val="left"/>
        <w:rPr>
          <w:rFonts w:ascii="宋体" w:hAnsi="宋体"/>
          <w:sz w:val="24"/>
        </w:rPr>
      </w:pPr>
      <w:r>
        <w:rPr>
          <w:rFonts w:hint="eastAsia" w:ascii="宋体" w:hAnsi="宋体"/>
          <w:sz w:val="24"/>
        </w:rPr>
        <w:t>供应商（盖章）：</w:t>
      </w:r>
    </w:p>
    <w:p w14:paraId="67E62212">
      <w:pPr>
        <w:widowControl/>
        <w:tabs>
          <w:tab w:val="left" w:pos="6300"/>
        </w:tabs>
        <w:snapToGrid w:val="0"/>
        <w:spacing w:line="360" w:lineRule="auto"/>
        <w:jc w:val="left"/>
        <w:rPr>
          <w:rFonts w:ascii="宋体" w:hAnsi="宋体"/>
          <w:sz w:val="24"/>
        </w:rPr>
      </w:pPr>
      <w:r>
        <w:rPr>
          <w:rFonts w:hint="eastAsia" w:ascii="宋体" w:hAnsi="宋体"/>
          <w:sz w:val="24"/>
        </w:rPr>
        <w:t>法定代表人（授权代表）：</w:t>
      </w:r>
    </w:p>
    <w:p w14:paraId="5F91E3CA">
      <w:pPr>
        <w:tabs>
          <w:tab w:val="left" w:pos="6300"/>
        </w:tabs>
        <w:snapToGrid w:val="0"/>
        <w:spacing w:line="360" w:lineRule="auto"/>
        <w:jc w:val="left"/>
        <w:rPr>
          <w:rFonts w:ascii="宋体" w:hAnsi="宋体"/>
          <w:sz w:val="24"/>
        </w:rPr>
      </w:pPr>
      <w:r>
        <w:rPr>
          <w:rFonts w:hint="eastAsia" w:ascii="宋体" w:hAnsi="宋体"/>
          <w:sz w:val="24"/>
        </w:rPr>
        <w:t>地址/邮编：</w:t>
      </w:r>
    </w:p>
    <w:p w14:paraId="42ED370E">
      <w:pPr>
        <w:tabs>
          <w:tab w:val="left" w:pos="6300"/>
        </w:tabs>
        <w:snapToGrid w:val="0"/>
        <w:spacing w:line="360" w:lineRule="auto"/>
        <w:jc w:val="left"/>
        <w:rPr>
          <w:rFonts w:ascii="宋体" w:hAnsi="宋体"/>
          <w:sz w:val="24"/>
        </w:rPr>
      </w:pPr>
      <w:r>
        <w:rPr>
          <w:rFonts w:hint="eastAsia" w:ascii="宋体" w:hAnsi="宋体"/>
          <w:sz w:val="24"/>
        </w:rPr>
        <w:t>电话/传真：</w:t>
      </w:r>
    </w:p>
    <w:p w14:paraId="54C7B00F">
      <w:pPr>
        <w:spacing w:line="360" w:lineRule="auto"/>
        <w:jc w:val="left"/>
        <w:rPr>
          <w:rFonts w:ascii="宋体" w:hAnsi="宋体"/>
          <w:sz w:val="24"/>
        </w:rPr>
      </w:pPr>
      <w:r>
        <w:rPr>
          <w:rFonts w:hint="eastAsia" w:ascii="宋体" w:hAnsi="宋体"/>
          <w:sz w:val="24"/>
        </w:rPr>
        <w:t>日期：  年   月  日</w:t>
      </w:r>
    </w:p>
    <w:p w14:paraId="2E986323">
      <w:pPr>
        <w:snapToGrid w:val="0"/>
        <w:spacing w:line="360" w:lineRule="auto"/>
        <w:rPr>
          <w:rFonts w:ascii="宋体" w:hAnsi="宋体" w:cs="仿宋"/>
          <w:b/>
          <w:sz w:val="24"/>
        </w:rPr>
      </w:pPr>
      <w:r>
        <w:rPr>
          <w:rFonts w:hint="eastAsia" w:ascii="宋体" w:hAnsi="宋体"/>
          <w:b/>
          <w:sz w:val="24"/>
        </w:rPr>
        <w:t>随附相关证明材料如下</w:t>
      </w:r>
      <w:r>
        <w:rPr>
          <w:rFonts w:hint="eastAsia" w:ascii="宋体" w:hAnsi="宋体" w:cs="仿宋"/>
          <w:b/>
          <w:sz w:val="24"/>
        </w:rPr>
        <w:t>：</w:t>
      </w:r>
    </w:p>
    <w:tbl>
      <w:tblPr>
        <w:tblStyle w:val="38"/>
        <w:tblW w:w="90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1747"/>
        <w:gridCol w:w="2761"/>
        <w:gridCol w:w="2247"/>
        <w:gridCol w:w="2247"/>
      </w:tblGrid>
      <w:tr w14:paraId="19238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27" w:hRule="atLeast"/>
        </w:trPr>
        <w:tc>
          <w:tcPr>
            <w:tcW w:w="1747" w:type="dxa"/>
            <w:shd w:val="clear" w:color="auto" w:fill="auto"/>
            <w:tcMar>
              <w:top w:w="72" w:type="dxa"/>
              <w:left w:w="144" w:type="dxa"/>
              <w:bottom w:w="72" w:type="dxa"/>
              <w:right w:w="144" w:type="dxa"/>
            </w:tcMar>
            <w:vAlign w:val="center"/>
          </w:tcPr>
          <w:p w14:paraId="5E002968">
            <w:pPr>
              <w:snapToGrid w:val="0"/>
              <w:spacing w:line="360" w:lineRule="auto"/>
              <w:jc w:val="center"/>
              <w:rPr>
                <w:rFonts w:ascii="宋体" w:hAnsi="宋体" w:cs="仿宋"/>
                <w:b/>
                <w:sz w:val="24"/>
              </w:rPr>
            </w:pPr>
            <w:r>
              <w:rPr>
                <w:rFonts w:hint="eastAsia" w:ascii="宋体" w:hAnsi="宋体" w:cs="仿宋"/>
                <w:b/>
                <w:sz w:val="24"/>
              </w:rPr>
              <w:t>序号</w:t>
            </w:r>
          </w:p>
        </w:tc>
        <w:tc>
          <w:tcPr>
            <w:tcW w:w="2761" w:type="dxa"/>
            <w:shd w:val="clear" w:color="auto" w:fill="auto"/>
            <w:tcMar>
              <w:top w:w="72" w:type="dxa"/>
              <w:left w:w="144" w:type="dxa"/>
              <w:bottom w:w="72" w:type="dxa"/>
              <w:right w:w="144" w:type="dxa"/>
            </w:tcMar>
            <w:vAlign w:val="center"/>
          </w:tcPr>
          <w:p w14:paraId="2ABB0895">
            <w:pPr>
              <w:snapToGrid w:val="0"/>
              <w:spacing w:line="360" w:lineRule="auto"/>
              <w:jc w:val="center"/>
              <w:rPr>
                <w:rFonts w:ascii="宋体" w:hAnsi="宋体" w:cs="仿宋"/>
                <w:b/>
                <w:sz w:val="24"/>
              </w:rPr>
            </w:pPr>
            <w:r>
              <w:rPr>
                <w:rFonts w:hint="eastAsia" w:hAnsi="宋体"/>
                <w:b/>
                <w:sz w:val="24"/>
              </w:rPr>
              <w:t>证明材料</w:t>
            </w:r>
            <w:r>
              <w:rPr>
                <w:rFonts w:hint="eastAsia" w:ascii="宋体" w:hAnsi="宋体" w:cs="仿宋"/>
                <w:b/>
                <w:sz w:val="24"/>
              </w:rPr>
              <w:t>名称</w:t>
            </w:r>
          </w:p>
        </w:tc>
        <w:tc>
          <w:tcPr>
            <w:tcW w:w="2247" w:type="dxa"/>
            <w:shd w:val="clear" w:color="auto" w:fill="auto"/>
            <w:tcMar>
              <w:top w:w="72" w:type="dxa"/>
              <w:left w:w="144" w:type="dxa"/>
              <w:bottom w:w="72" w:type="dxa"/>
              <w:right w:w="144" w:type="dxa"/>
            </w:tcMar>
            <w:vAlign w:val="center"/>
          </w:tcPr>
          <w:p w14:paraId="2BA361DF">
            <w:pPr>
              <w:snapToGrid w:val="0"/>
              <w:spacing w:line="360" w:lineRule="auto"/>
              <w:jc w:val="center"/>
              <w:rPr>
                <w:rFonts w:ascii="宋体" w:hAnsi="宋体" w:cs="仿宋"/>
                <w:b/>
                <w:sz w:val="24"/>
              </w:rPr>
            </w:pPr>
            <w:r>
              <w:rPr>
                <w:rFonts w:hint="eastAsia" w:hAnsi="宋体"/>
                <w:b/>
                <w:sz w:val="24"/>
              </w:rPr>
              <w:t>证明材料</w:t>
            </w:r>
            <w:r>
              <w:rPr>
                <w:rFonts w:hint="eastAsia" w:ascii="宋体" w:hAnsi="宋体" w:cs="仿宋"/>
                <w:b/>
                <w:sz w:val="24"/>
              </w:rPr>
              <w:t>来源</w:t>
            </w:r>
          </w:p>
        </w:tc>
        <w:tc>
          <w:tcPr>
            <w:tcW w:w="2247" w:type="dxa"/>
            <w:shd w:val="clear" w:color="auto" w:fill="auto"/>
            <w:tcMar>
              <w:top w:w="72" w:type="dxa"/>
              <w:left w:w="144" w:type="dxa"/>
              <w:bottom w:w="72" w:type="dxa"/>
              <w:right w:w="144" w:type="dxa"/>
            </w:tcMar>
            <w:vAlign w:val="center"/>
          </w:tcPr>
          <w:p w14:paraId="20F7D82C">
            <w:pPr>
              <w:snapToGrid w:val="0"/>
              <w:spacing w:line="360" w:lineRule="auto"/>
              <w:jc w:val="center"/>
              <w:rPr>
                <w:rFonts w:ascii="宋体" w:hAnsi="宋体" w:cs="仿宋"/>
                <w:b/>
                <w:sz w:val="24"/>
              </w:rPr>
            </w:pPr>
            <w:r>
              <w:rPr>
                <w:rFonts w:hint="eastAsia" w:ascii="宋体" w:hAnsi="宋体" w:cs="仿宋"/>
                <w:b/>
                <w:sz w:val="24"/>
              </w:rPr>
              <w:t>证明对象</w:t>
            </w:r>
          </w:p>
        </w:tc>
      </w:tr>
      <w:tr w14:paraId="1AE28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27" w:hRule="atLeast"/>
        </w:trPr>
        <w:tc>
          <w:tcPr>
            <w:tcW w:w="1747" w:type="dxa"/>
            <w:shd w:val="clear" w:color="auto" w:fill="auto"/>
            <w:tcMar>
              <w:top w:w="72" w:type="dxa"/>
              <w:left w:w="144" w:type="dxa"/>
              <w:bottom w:w="72" w:type="dxa"/>
              <w:right w:w="144" w:type="dxa"/>
            </w:tcMar>
          </w:tcPr>
          <w:p w14:paraId="67823C42">
            <w:pPr>
              <w:snapToGrid w:val="0"/>
              <w:spacing w:line="360" w:lineRule="auto"/>
              <w:jc w:val="center"/>
              <w:rPr>
                <w:rFonts w:ascii="宋体" w:hAnsi="宋体" w:cs="仿宋"/>
                <w:sz w:val="24"/>
              </w:rPr>
            </w:pPr>
            <w:r>
              <w:rPr>
                <w:rFonts w:ascii="宋体" w:hAnsi="宋体" w:cs="仿宋"/>
                <w:sz w:val="24"/>
              </w:rPr>
              <w:t>1</w:t>
            </w:r>
          </w:p>
        </w:tc>
        <w:tc>
          <w:tcPr>
            <w:tcW w:w="2761" w:type="dxa"/>
            <w:shd w:val="clear" w:color="auto" w:fill="auto"/>
            <w:tcMar>
              <w:top w:w="72" w:type="dxa"/>
              <w:left w:w="144" w:type="dxa"/>
              <w:bottom w:w="72" w:type="dxa"/>
              <w:right w:w="144" w:type="dxa"/>
            </w:tcMar>
          </w:tcPr>
          <w:p w14:paraId="235CD2EE">
            <w:pPr>
              <w:snapToGrid w:val="0"/>
              <w:spacing w:line="360" w:lineRule="auto"/>
              <w:rPr>
                <w:rFonts w:ascii="宋体" w:hAnsi="宋体" w:cs="仿宋"/>
                <w:sz w:val="24"/>
              </w:rPr>
            </w:pPr>
          </w:p>
        </w:tc>
        <w:tc>
          <w:tcPr>
            <w:tcW w:w="2247" w:type="dxa"/>
            <w:shd w:val="clear" w:color="auto" w:fill="auto"/>
            <w:tcMar>
              <w:top w:w="72" w:type="dxa"/>
              <w:left w:w="144" w:type="dxa"/>
              <w:bottom w:w="72" w:type="dxa"/>
              <w:right w:w="144" w:type="dxa"/>
            </w:tcMar>
          </w:tcPr>
          <w:p w14:paraId="3801158D">
            <w:pPr>
              <w:snapToGrid w:val="0"/>
              <w:spacing w:line="360" w:lineRule="auto"/>
              <w:rPr>
                <w:rFonts w:ascii="宋体" w:hAnsi="宋体" w:cs="仿宋"/>
                <w:sz w:val="24"/>
              </w:rPr>
            </w:pPr>
          </w:p>
        </w:tc>
        <w:tc>
          <w:tcPr>
            <w:tcW w:w="2247" w:type="dxa"/>
            <w:shd w:val="clear" w:color="auto" w:fill="auto"/>
            <w:tcMar>
              <w:top w:w="72" w:type="dxa"/>
              <w:left w:w="144" w:type="dxa"/>
              <w:bottom w:w="72" w:type="dxa"/>
              <w:right w:w="144" w:type="dxa"/>
            </w:tcMar>
          </w:tcPr>
          <w:p w14:paraId="1DD81749">
            <w:pPr>
              <w:snapToGrid w:val="0"/>
              <w:spacing w:line="360" w:lineRule="auto"/>
              <w:rPr>
                <w:rFonts w:ascii="宋体" w:hAnsi="宋体" w:cs="仿宋"/>
                <w:sz w:val="24"/>
              </w:rPr>
            </w:pPr>
          </w:p>
        </w:tc>
      </w:tr>
      <w:tr w14:paraId="2955BD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27" w:hRule="atLeast"/>
        </w:trPr>
        <w:tc>
          <w:tcPr>
            <w:tcW w:w="1747" w:type="dxa"/>
            <w:shd w:val="clear" w:color="auto" w:fill="auto"/>
            <w:tcMar>
              <w:top w:w="72" w:type="dxa"/>
              <w:left w:w="144" w:type="dxa"/>
              <w:bottom w:w="72" w:type="dxa"/>
              <w:right w:w="144" w:type="dxa"/>
            </w:tcMar>
          </w:tcPr>
          <w:p w14:paraId="1B5AF397">
            <w:pPr>
              <w:snapToGrid w:val="0"/>
              <w:spacing w:line="360" w:lineRule="auto"/>
              <w:jc w:val="center"/>
              <w:rPr>
                <w:rFonts w:ascii="宋体" w:hAnsi="宋体" w:cs="仿宋"/>
                <w:sz w:val="24"/>
              </w:rPr>
            </w:pPr>
            <w:r>
              <w:rPr>
                <w:rFonts w:ascii="宋体" w:hAnsi="宋体" w:cs="仿宋"/>
                <w:sz w:val="24"/>
              </w:rPr>
              <w:t>2</w:t>
            </w:r>
          </w:p>
        </w:tc>
        <w:tc>
          <w:tcPr>
            <w:tcW w:w="2761" w:type="dxa"/>
            <w:shd w:val="clear" w:color="auto" w:fill="auto"/>
            <w:tcMar>
              <w:top w:w="72" w:type="dxa"/>
              <w:left w:w="144" w:type="dxa"/>
              <w:bottom w:w="72" w:type="dxa"/>
              <w:right w:w="144" w:type="dxa"/>
            </w:tcMar>
          </w:tcPr>
          <w:p w14:paraId="21067B43">
            <w:pPr>
              <w:snapToGrid w:val="0"/>
              <w:spacing w:line="360" w:lineRule="auto"/>
              <w:rPr>
                <w:rFonts w:ascii="宋体" w:hAnsi="宋体" w:cs="仿宋"/>
                <w:sz w:val="24"/>
              </w:rPr>
            </w:pPr>
          </w:p>
        </w:tc>
        <w:tc>
          <w:tcPr>
            <w:tcW w:w="2247" w:type="dxa"/>
            <w:shd w:val="clear" w:color="auto" w:fill="auto"/>
            <w:tcMar>
              <w:top w:w="72" w:type="dxa"/>
              <w:left w:w="144" w:type="dxa"/>
              <w:bottom w:w="72" w:type="dxa"/>
              <w:right w:w="144" w:type="dxa"/>
            </w:tcMar>
          </w:tcPr>
          <w:p w14:paraId="0915AE4F">
            <w:pPr>
              <w:snapToGrid w:val="0"/>
              <w:spacing w:line="360" w:lineRule="auto"/>
              <w:rPr>
                <w:rFonts w:ascii="宋体" w:hAnsi="宋体" w:cs="仿宋"/>
                <w:sz w:val="24"/>
              </w:rPr>
            </w:pPr>
          </w:p>
        </w:tc>
        <w:tc>
          <w:tcPr>
            <w:tcW w:w="2247" w:type="dxa"/>
            <w:shd w:val="clear" w:color="auto" w:fill="auto"/>
            <w:tcMar>
              <w:top w:w="72" w:type="dxa"/>
              <w:left w:w="144" w:type="dxa"/>
              <w:bottom w:w="72" w:type="dxa"/>
              <w:right w:w="144" w:type="dxa"/>
            </w:tcMar>
          </w:tcPr>
          <w:p w14:paraId="1AF45B68">
            <w:pPr>
              <w:snapToGrid w:val="0"/>
              <w:spacing w:line="360" w:lineRule="auto"/>
              <w:rPr>
                <w:rFonts w:ascii="宋体" w:hAnsi="宋体" w:cs="仿宋"/>
                <w:sz w:val="24"/>
              </w:rPr>
            </w:pPr>
          </w:p>
        </w:tc>
      </w:tr>
      <w:tr w14:paraId="6481A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27" w:hRule="atLeast"/>
        </w:trPr>
        <w:tc>
          <w:tcPr>
            <w:tcW w:w="1747" w:type="dxa"/>
            <w:shd w:val="clear" w:color="auto" w:fill="auto"/>
            <w:tcMar>
              <w:top w:w="72" w:type="dxa"/>
              <w:left w:w="144" w:type="dxa"/>
              <w:bottom w:w="72" w:type="dxa"/>
              <w:right w:w="144" w:type="dxa"/>
            </w:tcMar>
          </w:tcPr>
          <w:p w14:paraId="6BA05183">
            <w:pPr>
              <w:snapToGrid w:val="0"/>
              <w:spacing w:line="360" w:lineRule="auto"/>
              <w:jc w:val="center"/>
              <w:rPr>
                <w:rFonts w:ascii="宋体" w:hAnsi="宋体" w:cs="仿宋"/>
                <w:sz w:val="24"/>
              </w:rPr>
            </w:pPr>
            <w:r>
              <w:rPr>
                <w:rFonts w:hint="eastAsia" w:ascii="宋体" w:hAnsi="宋体" w:cs="仿宋"/>
                <w:sz w:val="24"/>
              </w:rPr>
              <w:t>……</w:t>
            </w:r>
          </w:p>
        </w:tc>
        <w:tc>
          <w:tcPr>
            <w:tcW w:w="2761" w:type="dxa"/>
            <w:shd w:val="clear" w:color="auto" w:fill="auto"/>
            <w:tcMar>
              <w:top w:w="72" w:type="dxa"/>
              <w:left w:w="144" w:type="dxa"/>
              <w:bottom w:w="72" w:type="dxa"/>
              <w:right w:w="144" w:type="dxa"/>
            </w:tcMar>
          </w:tcPr>
          <w:p w14:paraId="34580C6B">
            <w:pPr>
              <w:snapToGrid w:val="0"/>
              <w:spacing w:line="360" w:lineRule="auto"/>
              <w:rPr>
                <w:rFonts w:ascii="宋体" w:hAnsi="宋体" w:cs="仿宋"/>
                <w:sz w:val="24"/>
              </w:rPr>
            </w:pPr>
          </w:p>
        </w:tc>
        <w:tc>
          <w:tcPr>
            <w:tcW w:w="2247" w:type="dxa"/>
            <w:shd w:val="clear" w:color="auto" w:fill="auto"/>
            <w:tcMar>
              <w:top w:w="72" w:type="dxa"/>
              <w:left w:w="144" w:type="dxa"/>
              <w:bottom w:w="72" w:type="dxa"/>
              <w:right w:w="144" w:type="dxa"/>
            </w:tcMar>
          </w:tcPr>
          <w:p w14:paraId="4D255088">
            <w:pPr>
              <w:snapToGrid w:val="0"/>
              <w:spacing w:line="360" w:lineRule="auto"/>
              <w:rPr>
                <w:rFonts w:ascii="宋体" w:hAnsi="宋体" w:cs="仿宋"/>
                <w:sz w:val="24"/>
              </w:rPr>
            </w:pPr>
          </w:p>
        </w:tc>
        <w:tc>
          <w:tcPr>
            <w:tcW w:w="2247" w:type="dxa"/>
            <w:shd w:val="clear" w:color="auto" w:fill="auto"/>
            <w:tcMar>
              <w:top w:w="72" w:type="dxa"/>
              <w:left w:w="144" w:type="dxa"/>
              <w:bottom w:w="72" w:type="dxa"/>
              <w:right w:w="144" w:type="dxa"/>
            </w:tcMar>
          </w:tcPr>
          <w:p w14:paraId="2E7B9EF6">
            <w:pPr>
              <w:snapToGrid w:val="0"/>
              <w:spacing w:line="360" w:lineRule="auto"/>
              <w:rPr>
                <w:rFonts w:ascii="宋体" w:hAnsi="宋体" w:cs="仿宋"/>
                <w:sz w:val="24"/>
              </w:rPr>
            </w:pPr>
          </w:p>
        </w:tc>
      </w:tr>
    </w:tbl>
    <w:p w14:paraId="14B0ADFC">
      <w:pPr>
        <w:pStyle w:val="84"/>
        <w:widowControl/>
        <w:numPr>
          <w:ilvl w:val="0"/>
          <w:numId w:val="63"/>
        </w:numPr>
        <w:spacing w:line="360" w:lineRule="auto"/>
        <w:ind w:firstLineChars="0"/>
        <w:jc w:val="left"/>
        <w:rPr>
          <w:rFonts w:ascii="宋体" w:hAnsi="宋体"/>
          <w:b/>
          <w:sz w:val="24"/>
        </w:rPr>
      </w:pPr>
      <w:r>
        <w:rPr>
          <w:rFonts w:hint="eastAsia" w:ascii="宋体" w:hAnsi="宋体"/>
          <w:b/>
          <w:sz w:val="24"/>
        </w:rPr>
        <w:t>相关说明</w:t>
      </w:r>
    </w:p>
    <w:p w14:paraId="6C0EEBBB">
      <w:pPr>
        <w:pStyle w:val="84"/>
        <w:widowControl/>
        <w:numPr>
          <w:ilvl w:val="0"/>
          <w:numId w:val="64"/>
        </w:numPr>
        <w:spacing w:line="360" w:lineRule="auto"/>
        <w:ind w:firstLineChars="0"/>
        <w:jc w:val="left"/>
        <w:rPr>
          <w:rFonts w:ascii="宋体" w:hAnsi="宋体"/>
          <w:sz w:val="24"/>
        </w:rPr>
      </w:pPr>
      <w:r>
        <w:rPr>
          <w:rFonts w:hint="eastAsia" w:ascii="宋体" w:hAnsi="宋体"/>
          <w:sz w:val="24"/>
        </w:rPr>
        <w:t>供应商提出质疑时，应提交质疑函和必要的证明材料。</w:t>
      </w:r>
    </w:p>
    <w:p w14:paraId="50B218F7">
      <w:pPr>
        <w:pStyle w:val="84"/>
        <w:widowControl/>
        <w:numPr>
          <w:ilvl w:val="0"/>
          <w:numId w:val="64"/>
        </w:numPr>
        <w:spacing w:line="360" w:lineRule="auto"/>
        <w:ind w:firstLineChars="0"/>
        <w:jc w:val="left"/>
        <w:rPr>
          <w:rFonts w:ascii="宋体" w:hAnsi="宋体"/>
          <w:sz w:val="24"/>
        </w:rPr>
      </w:pPr>
      <w:r>
        <w:rPr>
          <w:rFonts w:hint="eastAsia" w:ascii="宋体" w:hAnsi="宋体"/>
          <w:sz w:val="24"/>
        </w:rPr>
        <w:t>质疑供应商若委托代理人进行质疑的，质疑函应按要求列明“授权代表”的有关内容，并在附件中提交由质疑</w:t>
      </w:r>
      <w:r>
        <w:rPr>
          <w:rFonts w:hint="eastAsia" w:ascii="宋体" w:hAnsi="宋体" w:cs="宋体"/>
          <w:sz w:val="24"/>
        </w:rPr>
        <w:t>供应商签署的授权委托书。授权委托书应载明代理人的姓名或者名称、代理事项、具体权限、期限和相关事项。</w:t>
      </w:r>
    </w:p>
    <w:p w14:paraId="7FDC6AB7">
      <w:pPr>
        <w:pStyle w:val="84"/>
        <w:widowControl/>
        <w:numPr>
          <w:ilvl w:val="0"/>
          <w:numId w:val="64"/>
        </w:numPr>
        <w:spacing w:line="360" w:lineRule="auto"/>
        <w:ind w:firstLineChars="0"/>
        <w:jc w:val="left"/>
        <w:rPr>
          <w:rFonts w:ascii="宋体" w:hAnsi="宋体"/>
          <w:sz w:val="24"/>
        </w:rPr>
      </w:pPr>
      <w:r>
        <w:rPr>
          <w:rFonts w:hint="eastAsia" w:ascii="宋体" w:hAnsi="宋体"/>
          <w:sz w:val="24"/>
        </w:rPr>
        <w:t>质疑供应商若对项目的某一分包进行质疑，质疑函中</w:t>
      </w:r>
      <w:r>
        <w:rPr>
          <w:rFonts w:hint="eastAsia" w:ascii="宋体" w:hAnsi="宋体"/>
          <w:b/>
          <w:sz w:val="24"/>
          <w:u w:val="single"/>
        </w:rPr>
        <w:t>应列明具体分包号</w:t>
      </w:r>
      <w:r>
        <w:rPr>
          <w:rFonts w:hint="eastAsia" w:ascii="宋体" w:hAnsi="宋体"/>
          <w:sz w:val="24"/>
        </w:rPr>
        <w:t>。</w:t>
      </w:r>
    </w:p>
    <w:p w14:paraId="655E7839">
      <w:pPr>
        <w:pStyle w:val="84"/>
        <w:widowControl/>
        <w:numPr>
          <w:ilvl w:val="0"/>
          <w:numId w:val="64"/>
        </w:numPr>
        <w:spacing w:line="360" w:lineRule="auto"/>
        <w:ind w:firstLineChars="0"/>
        <w:jc w:val="left"/>
        <w:rPr>
          <w:rFonts w:ascii="宋体" w:hAnsi="宋体"/>
          <w:sz w:val="24"/>
        </w:rPr>
      </w:pPr>
      <w:r>
        <w:rPr>
          <w:rFonts w:hint="eastAsia" w:ascii="宋体" w:hAnsi="宋体"/>
          <w:sz w:val="24"/>
        </w:rPr>
        <w:t>质疑函的质疑事项应具体、明确，并有必要的事实依据和法律依据。</w:t>
      </w:r>
    </w:p>
    <w:p w14:paraId="1C010856">
      <w:pPr>
        <w:pStyle w:val="84"/>
        <w:widowControl/>
        <w:numPr>
          <w:ilvl w:val="0"/>
          <w:numId w:val="64"/>
        </w:numPr>
        <w:spacing w:line="360" w:lineRule="auto"/>
        <w:ind w:firstLineChars="0"/>
        <w:jc w:val="left"/>
        <w:rPr>
          <w:rFonts w:ascii="宋体" w:hAnsi="宋体"/>
          <w:sz w:val="24"/>
        </w:rPr>
      </w:pPr>
      <w:r>
        <w:rPr>
          <w:rFonts w:hint="eastAsia" w:ascii="宋体" w:hAnsi="宋体"/>
          <w:sz w:val="24"/>
        </w:rPr>
        <w:t>质疑函的质疑请求应与质疑事项相关。</w:t>
      </w:r>
    </w:p>
    <w:p w14:paraId="6455AD2B">
      <w:pPr>
        <w:pStyle w:val="84"/>
        <w:numPr>
          <w:ilvl w:val="0"/>
          <w:numId w:val="64"/>
        </w:numPr>
        <w:spacing w:line="360" w:lineRule="auto"/>
        <w:ind w:firstLineChars="0"/>
        <w:rPr>
          <w:rFonts w:ascii="宋体" w:hAnsi="宋体"/>
          <w:sz w:val="24"/>
        </w:rPr>
      </w:pPr>
      <w:r>
        <w:rPr>
          <w:rFonts w:hint="eastAsia" w:ascii="宋体" w:hAnsi="宋体"/>
          <w:sz w:val="24"/>
        </w:rPr>
        <w:t>质疑供应商为自然人的，质疑函应由本人签字；质疑供应商为法人或者其他组织的，质疑函应由法定代表人、主要负责人，或者其授权代表签字或者盖个人名章，并加盖公章。</w:t>
      </w:r>
    </w:p>
    <w:p w14:paraId="3B20B8C9">
      <w:pPr>
        <w:pStyle w:val="84"/>
        <w:numPr>
          <w:ilvl w:val="0"/>
          <w:numId w:val="64"/>
        </w:numPr>
        <w:spacing w:line="360" w:lineRule="auto"/>
        <w:ind w:firstLineChars="0"/>
        <w:rPr>
          <w:rFonts w:ascii="宋体" w:hAnsi="宋体"/>
          <w:sz w:val="24"/>
        </w:rPr>
      </w:pPr>
      <w:r>
        <w:rPr>
          <w:rFonts w:hint="eastAsia" w:ascii="宋体" w:hAnsi="宋体"/>
          <w:sz w:val="24"/>
        </w:rPr>
        <w:t>供应商应在提交的证明材料中对质疑点的内容</w:t>
      </w:r>
      <w:r>
        <w:rPr>
          <w:rFonts w:hint="eastAsia" w:ascii="宋体" w:hAnsi="宋体"/>
          <w:b/>
          <w:sz w:val="24"/>
          <w:u w:val="single"/>
        </w:rPr>
        <w:t>作出相应的标识或以醒目的方式标明</w:t>
      </w:r>
      <w:r>
        <w:rPr>
          <w:rFonts w:hint="eastAsia" w:ascii="宋体" w:hAnsi="宋体"/>
          <w:sz w:val="24"/>
        </w:rPr>
        <w:t>。</w:t>
      </w:r>
    </w:p>
    <w:p w14:paraId="065C7A1D">
      <w:pPr>
        <w:widowControl/>
        <w:jc w:val="left"/>
        <w:rPr>
          <w:b/>
          <w:bCs/>
          <w:sz w:val="28"/>
          <w:szCs w:val="28"/>
        </w:rPr>
      </w:pPr>
      <w:r>
        <w:rPr>
          <w:b/>
          <w:bCs/>
          <w:sz w:val="28"/>
          <w:szCs w:val="28"/>
        </w:rPr>
        <w:br w:type="page"/>
      </w:r>
    </w:p>
    <w:p w14:paraId="0A76C9D8">
      <w:pPr>
        <w:spacing w:before="156" w:beforeLines="50" w:after="156" w:afterLines="50" w:line="360" w:lineRule="auto"/>
        <w:jc w:val="center"/>
        <w:outlineLvl w:val="0"/>
        <w:rPr>
          <w:b/>
          <w:bCs/>
          <w:sz w:val="28"/>
          <w:szCs w:val="28"/>
        </w:rPr>
      </w:pPr>
      <w:bookmarkStart w:id="66" w:name="_Toc13771"/>
      <w:r>
        <w:rPr>
          <w:rFonts w:hint="eastAsia"/>
          <w:b/>
          <w:bCs/>
          <w:sz w:val="28"/>
          <w:szCs w:val="28"/>
        </w:rPr>
        <w:t>第五章</w:t>
      </w:r>
      <w:bookmarkEnd w:id="36"/>
      <w:bookmarkStart w:id="67" w:name="_Toc435109307"/>
      <w:r>
        <w:rPr>
          <w:rFonts w:hint="eastAsia"/>
          <w:b/>
          <w:bCs/>
          <w:sz w:val="28"/>
          <w:szCs w:val="28"/>
        </w:rPr>
        <w:t xml:space="preserve"> 合同格式条款</w:t>
      </w:r>
      <w:bookmarkEnd w:id="37"/>
      <w:bookmarkEnd w:id="66"/>
    </w:p>
    <w:bookmarkEnd w:id="38"/>
    <w:bookmarkEnd w:id="39"/>
    <w:bookmarkEnd w:id="67"/>
    <w:p w14:paraId="26325699">
      <w:pPr>
        <w:keepNext w:val="0"/>
        <w:keepLines w:val="0"/>
        <w:pageBreakBefore w:val="0"/>
        <w:kinsoku/>
        <w:wordWrap/>
        <w:overflowPunct/>
        <w:topLinePunct w:val="0"/>
        <w:bidi w:val="0"/>
        <w:adjustRightInd w:val="0"/>
        <w:spacing w:line="440" w:lineRule="exact"/>
        <w:textAlignment w:val="baseline"/>
        <w:rPr>
          <w:rFonts w:hint="eastAsia" w:ascii="宋体" w:hAnsi="宋体" w:eastAsia="宋体"/>
          <w:b/>
          <w:sz w:val="24"/>
          <w:lang w:eastAsia="zh-CN"/>
        </w:rPr>
      </w:pPr>
      <w:r>
        <w:rPr>
          <w:rFonts w:hint="eastAsia" w:ascii="宋体" w:hAnsi="宋体"/>
          <w:b/>
          <w:sz w:val="24"/>
        </w:rPr>
        <w:t>甲    方：</w:t>
      </w:r>
      <w:r>
        <w:rPr>
          <w:rFonts w:hint="eastAsia" w:ascii="宋体" w:hAnsi="宋体"/>
          <w:bCs/>
          <w:sz w:val="24"/>
        </w:rPr>
        <w:t>佛山出入境边防检查站工会委员会</w:t>
      </w:r>
    </w:p>
    <w:p w14:paraId="08B914B1">
      <w:pPr>
        <w:keepNext w:val="0"/>
        <w:keepLines w:val="0"/>
        <w:pageBreakBefore w:val="0"/>
        <w:kinsoku/>
        <w:wordWrap/>
        <w:overflowPunct/>
        <w:topLinePunct w:val="0"/>
        <w:bidi w:val="0"/>
        <w:adjustRightInd w:val="0"/>
        <w:spacing w:line="440" w:lineRule="exact"/>
        <w:textAlignment w:val="baseline"/>
        <w:rPr>
          <w:rFonts w:ascii="宋体" w:hAnsi="宋体"/>
          <w:sz w:val="24"/>
        </w:rPr>
      </w:pPr>
      <w:r>
        <w:rPr>
          <w:rFonts w:hint="eastAsia" w:ascii="宋体" w:hAnsi="宋体"/>
          <w:sz w:val="24"/>
        </w:rPr>
        <w:t xml:space="preserve">电    话：          </w:t>
      </w:r>
    </w:p>
    <w:p w14:paraId="172CFC0D">
      <w:pPr>
        <w:keepNext w:val="0"/>
        <w:keepLines w:val="0"/>
        <w:pageBreakBefore w:val="0"/>
        <w:kinsoku/>
        <w:wordWrap/>
        <w:overflowPunct/>
        <w:topLinePunct w:val="0"/>
        <w:bidi w:val="0"/>
        <w:adjustRightInd w:val="0"/>
        <w:spacing w:line="440" w:lineRule="exact"/>
        <w:textAlignment w:val="baseline"/>
        <w:rPr>
          <w:rFonts w:ascii="宋体" w:hAnsi="宋体"/>
          <w:sz w:val="24"/>
        </w:rPr>
      </w:pPr>
      <w:r>
        <w:rPr>
          <w:rFonts w:hint="eastAsia" w:ascii="宋体" w:hAnsi="宋体"/>
          <w:sz w:val="24"/>
        </w:rPr>
        <w:t xml:space="preserve">传  真：          </w:t>
      </w:r>
    </w:p>
    <w:p w14:paraId="20E4EED2">
      <w:pPr>
        <w:keepNext w:val="0"/>
        <w:keepLines w:val="0"/>
        <w:pageBreakBefore w:val="0"/>
        <w:kinsoku/>
        <w:wordWrap/>
        <w:overflowPunct/>
        <w:topLinePunct w:val="0"/>
        <w:bidi w:val="0"/>
        <w:adjustRightInd w:val="0"/>
        <w:spacing w:line="440" w:lineRule="exact"/>
        <w:textAlignment w:val="baseline"/>
        <w:rPr>
          <w:rFonts w:ascii="宋体" w:hAnsi="宋体"/>
          <w:sz w:val="24"/>
        </w:rPr>
      </w:pPr>
      <w:r>
        <w:rPr>
          <w:rFonts w:hint="eastAsia" w:ascii="宋体" w:hAnsi="宋体"/>
          <w:sz w:val="24"/>
        </w:rPr>
        <w:t>住  所：</w:t>
      </w:r>
    </w:p>
    <w:p w14:paraId="6E013D4F">
      <w:pPr>
        <w:keepNext w:val="0"/>
        <w:keepLines w:val="0"/>
        <w:pageBreakBefore w:val="0"/>
        <w:kinsoku/>
        <w:wordWrap/>
        <w:overflowPunct/>
        <w:topLinePunct w:val="0"/>
        <w:bidi w:val="0"/>
        <w:adjustRightInd w:val="0"/>
        <w:spacing w:line="440" w:lineRule="exact"/>
        <w:textAlignment w:val="baseline"/>
        <w:rPr>
          <w:rFonts w:ascii="宋体" w:hAnsi="宋体"/>
          <w:sz w:val="24"/>
        </w:rPr>
      </w:pPr>
      <w:r>
        <w:rPr>
          <w:rFonts w:hint="eastAsia" w:ascii="宋体" w:hAnsi="宋体"/>
          <w:b/>
          <w:sz w:val="24"/>
        </w:rPr>
        <w:t>乙    方</w:t>
      </w:r>
      <w:r>
        <w:rPr>
          <w:rFonts w:hint="eastAsia" w:ascii="宋体" w:hAnsi="宋体" w:cs="宋体"/>
          <w:sz w:val="24"/>
        </w:rPr>
        <w:t>（中标人）</w:t>
      </w:r>
      <w:r>
        <w:rPr>
          <w:rFonts w:hint="eastAsia" w:ascii="宋体" w:hAnsi="宋体"/>
          <w:b/>
          <w:sz w:val="24"/>
        </w:rPr>
        <w:t>：</w:t>
      </w:r>
      <w:r>
        <w:rPr>
          <w:rFonts w:hint="eastAsia" w:ascii="宋体" w:hAnsi="宋体"/>
          <w:b/>
          <w:sz w:val="24"/>
        </w:rPr>
        <w:br w:type="textWrapping"/>
      </w:r>
      <w:r>
        <w:rPr>
          <w:rFonts w:hint="eastAsia" w:ascii="宋体" w:hAnsi="宋体"/>
          <w:sz w:val="24"/>
        </w:rPr>
        <w:t xml:space="preserve">电    话：                </w:t>
      </w:r>
    </w:p>
    <w:p w14:paraId="66D39A40">
      <w:pPr>
        <w:keepNext w:val="0"/>
        <w:keepLines w:val="0"/>
        <w:pageBreakBefore w:val="0"/>
        <w:kinsoku/>
        <w:wordWrap/>
        <w:overflowPunct/>
        <w:topLinePunct w:val="0"/>
        <w:bidi w:val="0"/>
        <w:adjustRightInd w:val="0"/>
        <w:spacing w:line="440" w:lineRule="exact"/>
        <w:textAlignment w:val="baseline"/>
        <w:rPr>
          <w:rFonts w:ascii="宋体" w:hAnsi="宋体"/>
          <w:sz w:val="24"/>
        </w:rPr>
      </w:pPr>
      <w:r>
        <w:rPr>
          <w:rFonts w:hint="eastAsia" w:ascii="宋体" w:hAnsi="宋体"/>
          <w:sz w:val="24"/>
        </w:rPr>
        <w:t xml:space="preserve">传  真：           住  所：   </w:t>
      </w:r>
    </w:p>
    <w:p w14:paraId="579A3B9D">
      <w:pPr>
        <w:keepNext w:val="0"/>
        <w:keepLines w:val="0"/>
        <w:pageBreakBefore w:val="0"/>
        <w:kinsoku/>
        <w:wordWrap/>
        <w:overflowPunct/>
        <w:topLinePunct w:val="0"/>
        <w:bidi w:val="0"/>
        <w:adjustRightInd w:val="0"/>
        <w:spacing w:line="440" w:lineRule="exact"/>
        <w:ind w:firstLine="480" w:firstLineChars="200"/>
        <w:textAlignment w:val="baseline"/>
        <w:rPr>
          <w:rFonts w:ascii="宋体" w:hAnsi="宋体"/>
          <w:sz w:val="24"/>
        </w:rPr>
      </w:pPr>
      <w:r>
        <w:rPr>
          <w:rFonts w:hint="eastAsia" w:ascii="宋体" w:hAnsi="宋体" w:cs="宋体"/>
          <w:sz w:val="24"/>
        </w:rPr>
        <w:t>根据</w:t>
      </w:r>
      <w:r>
        <w:rPr>
          <w:rFonts w:hint="eastAsia" w:ascii="宋体" w:hAnsi="宋体" w:cs="宋体"/>
          <w:sz w:val="24"/>
          <w:u w:val="single"/>
        </w:rPr>
        <w:t xml:space="preserve"> </w:t>
      </w:r>
      <w:r>
        <w:rPr>
          <w:rFonts w:hint="eastAsia" w:ascii="宋体" w:hAnsi="宋体" w:cs="宋体"/>
          <w:sz w:val="24"/>
          <w:u w:val="single"/>
          <w:lang w:eastAsia="zh-CN"/>
        </w:rPr>
        <w:t>中华人民共和国佛山出入境边防检查站2026年度节日慰问品采购项目</w:t>
      </w:r>
      <w:r>
        <w:rPr>
          <w:rFonts w:hint="eastAsia" w:ascii="宋体" w:hAnsi="宋体" w:cs="宋体"/>
          <w:sz w:val="24"/>
        </w:rPr>
        <w:t>（项目编号：</w:t>
      </w:r>
      <w:r>
        <w:rPr>
          <w:rFonts w:hint="eastAsia" w:ascii="宋体" w:hAnsi="宋体"/>
          <w:sz w:val="24"/>
          <w:lang w:eastAsia="zh-CN"/>
        </w:rPr>
        <w:t>CLZ0126FS00QY05</w:t>
      </w:r>
      <w:r>
        <w:rPr>
          <w:rFonts w:hint="eastAsia" w:ascii="宋体" w:hAnsi="宋体" w:cs="宋体"/>
          <w:sz w:val="24"/>
        </w:rPr>
        <w:t>）</w:t>
      </w:r>
      <w:r>
        <w:rPr>
          <w:rFonts w:hint="eastAsia" w:ascii="宋体" w:hAnsi="宋体"/>
          <w:sz w:val="24"/>
        </w:rPr>
        <w:t>的采购结果，参照《中华人民共和国政府采购法》</w:t>
      </w:r>
      <w:r>
        <w:rPr>
          <w:rFonts w:hint="eastAsia" w:ascii="宋体" w:hAnsi="宋体" w:cs="宋体"/>
          <w:sz w:val="24"/>
        </w:rPr>
        <w:t>及其实施条例</w:t>
      </w:r>
      <w:r>
        <w:rPr>
          <w:rFonts w:hint="eastAsia" w:ascii="宋体" w:hAnsi="宋体"/>
          <w:sz w:val="24"/>
        </w:rPr>
        <w:t>、依据《中华人民共和国民法典》的规定，</w:t>
      </w:r>
      <w:r>
        <w:rPr>
          <w:rFonts w:hint="eastAsia" w:ascii="宋体" w:hAnsi="宋体"/>
          <w:kern w:val="28"/>
          <w:sz w:val="24"/>
        </w:rPr>
        <w:t>经双方协商，</w:t>
      </w:r>
      <w:r>
        <w:rPr>
          <w:rFonts w:hint="eastAsia" w:ascii="宋体" w:hAnsi="宋体"/>
          <w:sz w:val="24"/>
        </w:rPr>
        <w:t>本着平等互利和诚实信用的原则，</w:t>
      </w:r>
      <w:r>
        <w:rPr>
          <w:rFonts w:hint="eastAsia" w:ascii="宋体" w:hAnsi="宋体"/>
          <w:kern w:val="28"/>
          <w:sz w:val="24"/>
        </w:rPr>
        <w:t>一致同意签订本合同如下</w:t>
      </w:r>
      <w:r>
        <w:rPr>
          <w:rFonts w:hint="eastAsia" w:ascii="宋体" w:hAnsi="宋体"/>
          <w:sz w:val="24"/>
        </w:rPr>
        <w:t>。</w:t>
      </w:r>
    </w:p>
    <w:p w14:paraId="552B29B9">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68" w:name="_Toc435540759"/>
      <w:r>
        <w:rPr>
          <w:rFonts w:hint="eastAsia" w:ascii="宋体" w:hAnsi="宋体"/>
          <w:b/>
          <w:sz w:val="24"/>
        </w:rPr>
        <w:t>合同预算金额</w:t>
      </w:r>
      <w:bookmarkEnd w:id="68"/>
    </w:p>
    <w:p w14:paraId="480801A5">
      <w:pPr>
        <w:keepNext w:val="0"/>
        <w:keepLines w:val="0"/>
        <w:pageBreakBefore w:val="0"/>
        <w:kinsoku/>
        <w:wordWrap/>
        <w:overflowPunct/>
        <w:topLinePunct w:val="0"/>
        <w:bidi w:val="0"/>
        <w:adjustRightInd w:val="0"/>
        <w:spacing w:line="440" w:lineRule="exact"/>
        <w:ind w:firstLine="480" w:firstLineChars="200"/>
        <w:textAlignment w:val="baseline"/>
        <w:rPr>
          <w:rFonts w:ascii="宋体" w:hAnsi="宋体" w:cs="Courier New" w:eastAsiaTheme="minorEastAsia"/>
          <w:sz w:val="24"/>
        </w:rPr>
      </w:pPr>
      <w:r>
        <w:rPr>
          <w:rFonts w:hint="eastAsia" w:ascii="宋体" w:hAnsi="宋体" w:cs="Courier New" w:eastAsiaTheme="minorEastAsia"/>
          <w:sz w:val="24"/>
        </w:rPr>
        <w:t>合同预算金额为（大写）：人民币</w:t>
      </w:r>
      <w:r>
        <w:rPr>
          <w:rFonts w:hint="eastAsia" w:ascii="宋体" w:hAnsi="宋体" w:cs="Courier New" w:eastAsiaTheme="minorEastAsia"/>
          <w:sz w:val="24"/>
          <w:lang w:eastAsia="zh-CN"/>
        </w:rPr>
        <w:t>陆拾玖</w:t>
      </w:r>
      <w:r>
        <w:rPr>
          <w:rFonts w:hint="eastAsia" w:ascii="宋体" w:hAnsi="宋体" w:cs="Courier New" w:eastAsiaTheme="minorEastAsia"/>
          <w:sz w:val="24"/>
        </w:rPr>
        <w:t>万元整（￥</w:t>
      </w:r>
      <w:r>
        <w:rPr>
          <w:rFonts w:hint="eastAsia" w:ascii="宋体" w:hAnsi="宋体" w:cs="仿宋_GB2312"/>
          <w:sz w:val="24"/>
          <w:lang w:eastAsia="zh-CN"/>
        </w:rPr>
        <w:t>690000</w:t>
      </w:r>
      <w:r>
        <w:rPr>
          <w:rFonts w:ascii="宋体" w:hAnsi="宋体" w:cs="Courier New" w:eastAsiaTheme="minorEastAsia"/>
          <w:sz w:val="24"/>
        </w:rPr>
        <w:t>.00</w:t>
      </w:r>
      <w:r>
        <w:rPr>
          <w:rFonts w:hint="eastAsia" w:ascii="宋体" w:hAnsi="宋体" w:cs="Courier New" w:eastAsiaTheme="minorEastAsia"/>
          <w:sz w:val="24"/>
        </w:rPr>
        <w:t>元）。</w:t>
      </w:r>
      <w:r>
        <w:rPr>
          <w:rFonts w:hint="eastAsia" w:ascii="宋体" w:hAnsi="宋体"/>
          <w:bCs/>
          <w:sz w:val="24"/>
        </w:rPr>
        <w:t>结算价最高不超过本项目的预算金额，甲方对结算金额不作保证，最终以实际结算金额为准。</w:t>
      </w:r>
    </w:p>
    <w:p w14:paraId="109E9F6E">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r>
        <w:rPr>
          <w:rFonts w:hint="eastAsia" w:ascii="宋体" w:hAnsi="宋体"/>
          <w:b/>
          <w:sz w:val="24"/>
        </w:rPr>
        <w:t>合同综合折扣率</w:t>
      </w:r>
    </w:p>
    <w:p w14:paraId="285E92DA">
      <w:pPr>
        <w:keepNext w:val="0"/>
        <w:keepLines w:val="0"/>
        <w:pageBreakBefore w:val="0"/>
        <w:kinsoku/>
        <w:wordWrap/>
        <w:overflowPunct/>
        <w:topLinePunct w:val="0"/>
        <w:autoSpaceDE w:val="0"/>
        <w:autoSpaceDN w:val="0"/>
        <w:bidi w:val="0"/>
        <w:adjustRightInd w:val="0"/>
        <w:spacing w:line="440" w:lineRule="exact"/>
        <w:ind w:left="506"/>
        <w:jc w:val="left"/>
        <w:textAlignment w:val="baseline"/>
        <w:outlineLvl w:val="3"/>
        <w:rPr>
          <w:rFonts w:ascii="宋体" w:hAnsi="宋体"/>
          <w:b/>
          <w:sz w:val="24"/>
        </w:rPr>
      </w:pPr>
      <w:r>
        <w:rPr>
          <w:rFonts w:hint="eastAsia" w:ascii="宋体" w:hAnsi="宋体"/>
          <w:b/>
          <w:sz w:val="24"/>
        </w:rPr>
        <w:t>合同综合折扣率为：</w:t>
      </w:r>
      <w:r>
        <w:rPr>
          <w:rFonts w:hint="eastAsia" w:ascii="宋体" w:hAnsi="宋体"/>
          <w:b/>
          <w:sz w:val="24"/>
          <w:u w:val="single"/>
        </w:rPr>
        <w:t xml:space="preserve"> </w:t>
      </w:r>
      <w:r>
        <w:rPr>
          <w:rFonts w:ascii="宋体" w:hAnsi="宋体"/>
          <w:b/>
          <w:sz w:val="24"/>
          <w:u w:val="single"/>
        </w:rPr>
        <w:t xml:space="preserve">      </w:t>
      </w:r>
      <w:r>
        <w:rPr>
          <w:rFonts w:ascii="宋体" w:hAnsi="宋体"/>
          <w:b/>
          <w:sz w:val="24"/>
        </w:rPr>
        <w:t>%</w:t>
      </w:r>
    </w:p>
    <w:p w14:paraId="09D832A9">
      <w:pPr>
        <w:keepNext w:val="0"/>
        <w:keepLines w:val="0"/>
        <w:pageBreakBefore w:val="0"/>
        <w:kinsoku/>
        <w:wordWrap/>
        <w:overflowPunct/>
        <w:topLinePunct w:val="0"/>
        <w:bidi w:val="0"/>
        <w:adjustRightInd w:val="0"/>
        <w:spacing w:line="440" w:lineRule="exact"/>
        <w:ind w:firstLine="480" w:firstLineChars="200"/>
        <w:textAlignment w:val="baseline"/>
        <w:rPr>
          <w:rFonts w:ascii="宋体" w:hAnsi="宋体" w:cs="Courier New" w:eastAsiaTheme="minorEastAsia"/>
          <w:sz w:val="24"/>
        </w:rPr>
      </w:pPr>
      <w:r>
        <w:rPr>
          <w:rFonts w:hint="eastAsia" w:ascii="宋体" w:hAnsi="宋体"/>
          <w:sz w:val="24"/>
        </w:rPr>
        <w:t>综合折扣率为本项目专属福利电子采购平台进行下单的当日商品挂牌价的折扣率，综合折扣率及结算价款已包含货款、包装、保管、运输保险、搬运、验收、质保期服务、投入人员费、电子采购平台服务费、各项税费及合同实施过程中可预见或不可预见费用等一切费用，甲方不再另行支付其他费用，合同另有约定除外。</w:t>
      </w:r>
    </w:p>
    <w:p w14:paraId="50EFAC67">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r>
        <w:rPr>
          <w:rFonts w:hint="eastAsia" w:ascii="宋体" w:hAnsi="宋体"/>
          <w:b/>
          <w:sz w:val="24"/>
        </w:rPr>
        <w:t>项目内容</w:t>
      </w:r>
    </w:p>
    <w:p w14:paraId="310B8A88">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ascii="宋体" w:hAnsi="宋体"/>
          <w:sz w:val="24"/>
        </w:rPr>
        <w:t xml:space="preserve">     </w:t>
      </w:r>
      <w:r>
        <w:rPr>
          <w:rFonts w:hint="eastAsia" w:ascii="宋体" w:hAnsi="宋体"/>
          <w:sz w:val="24"/>
        </w:rPr>
        <w:t>本项目按表格所列节日进行采购。甲方根据产品清单指定采购套餐，职工根据工会提供的套餐在乙方针对本项目提供的专属福利电子采购平台选择套餐，乙方提供给职工选择套餐时间应不少于3</w:t>
      </w:r>
      <w:r>
        <w:rPr>
          <w:rFonts w:ascii="宋体" w:hAnsi="宋体"/>
          <w:sz w:val="24"/>
        </w:rPr>
        <w:t>0</w:t>
      </w:r>
      <w:r>
        <w:rPr>
          <w:rFonts w:hint="eastAsia" w:ascii="宋体" w:hAnsi="宋体"/>
          <w:sz w:val="24"/>
        </w:rPr>
        <w:t>日历日，下单成功后由乙方进行配送。</w:t>
      </w:r>
    </w:p>
    <w:tbl>
      <w:tblPr>
        <w:tblStyle w:val="39"/>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2268"/>
        <w:gridCol w:w="1671"/>
        <w:gridCol w:w="4357"/>
      </w:tblGrid>
      <w:tr w14:paraId="7DA4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797DEEDE">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节日</w:t>
            </w:r>
          </w:p>
        </w:tc>
        <w:tc>
          <w:tcPr>
            <w:tcW w:w="2268" w:type="dxa"/>
            <w:tcBorders>
              <w:top w:val="single" w:color="auto" w:sz="4" w:space="0"/>
              <w:left w:val="single" w:color="auto" w:sz="4" w:space="0"/>
              <w:bottom w:val="single" w:color="auto" w:sz="4" w:space="0"/>
              <w:right w:val="single" w:color="auto" w:sz="4" w:space="0"/>
            </w:tcBorders>
            <w:vAlign w:val="center"/>
          </w:tcPr>
          <w:p w14:paraId="02ED4173">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人均额度安排（元/人）</w:t>
            </w:r>
          </w:p>
        </w:tc>
        <w:tc>
          <w:tcPr>
            <w:tcW w:w="1671" w:type="dxa"/>
            <w:tcBorders>
              <w:top w:val="single" w:color="auto" w:sz="4" w:space="0"/>
              <w:left w:val="single" w:color="auto" w:sz="4" w:space="0"/>
              <w:bottom w:val="single" w:color="auto" w:sz="4" w:space="0"/>
              <w:right w:val="single" w:color="auto" w:sz="4" w:space="0"/>
            </w:tcBorders>
            <w:vAlign w:val="center"/>
          </w:tcPr>
          <w:p w14:paraId="700EA1F3">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预计人数（人）</w:t>
            </w:r>
          </w:p>
        </w:tc>
        <w:tc>
          <w:tcPr>
            <w:tcW w:w="4357" w:type="dxa"/>
            <w:tcBorders>
              <w:top w:val="single" w:color="auto" w:sz="4" w:space="0"/>
              <w:left w:val="single" w:color="auto" w:sz="4" w:space="0"/>
              <w:bottom w:val="single" w:color="auto" w:sz="4" w:space="0"/>
              <w:right w:val="single" w:color="auto" w:sz="4" w:space="0"/>
            </w:tcBorders>
          </w:tcPr>
          <w:p w14:paraId="78DBBA2F">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参考内容</w:t>
            </w:r>
          </w:p>
        </w:tc>
      </w:tr>
      <w:tr w14:paraId="0938E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66DF4B65">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春节</w:t>
            </w:r>
          </w:p>
        </w:tc>
        <w:tc>
          <w:tcPr>
            <w:tcW w:w="2268" w:type="dxa"/>
            <w:tcBorders>
              <w:top w:val="single" w:color="auto" w:sz="4" w:space="0"/>
              <w:left w:val="single" w:color="auto" w:sz="4" w:space="0"/>
              <w:bottom w:val="single" w:color="auto" w:sz="4" w:space="0"/>
              <w:right w:val="single" w:color="auto" w:sz="4" w:space="0"/>
            </w:tcBorders>
            <w:vAlign w:val="center"/>
          </w:tcPr>
          <w:p w14:paraId="0B5342AE">
            <w:pPr>
              <w:keepNext w:val="0"/>
              <w:keepLines w:val="0"/>
              <w:pageBreakBefore w:val="0"/>
              <w:widowControl/>
              <w:kinsoku/>
              <w:wordWrap/>
              <w:overflowPunct/>
              <w:topLinePunct w:val="0"/>
              <w:bidi w:val="0"/>
              <w:adjustRightInd w:val="0"/>
              <w:snapToGrid w:val="0"/>
              <w:spacing w:line="440" w:lineRule="exact"/>
              <w:jc w:val="center"/>
              <w:textAlignment w:val="baseline"/>
              <w:rPr>
                <w:rFonts w:hint="default" w:ascii="宋体" w:hAnsi="宋体" w:eastAsia="宋体"/>
                <w:sz w:val="24"/>
                <w:lang w:val="en-US" w:eastAsia="zh-CN"/>
              </w:rPr>
            </w:pPr>
            <w:r>
              <w:rPr>
                <w:rFonts w:hint="eastAsia" w:ascii="宋体" w:hAnsi="宋体"/>
                <w:sz w:val="24"/>
                <w:lang w:val="en-US" w:eastAsia="zh-CN"/>
              </w:rPr>
              <w:t>1000</w:t>
            </w:r>
          </w:p>
        </w:tc>
        <w:tc>
          <w:tcPr>
            <w:tcW w:w="1671" w:type="dxa"/>
            <w:tcBorders>
              <w:top w:val="single" w:color="auto" w:sz="4" w:space="0"/>
              <w:left w:val="single" w:color="auto" w:sz="4" w:space="0"/>
              <w:bottom w:val="single" w:color="auto" w:sz="4" w:space="0"/>
              <w:right w:val="single" w:color="auto" w:sz="4" w:space="0"/>
            </w:tcBorders>
            <w:vAlign w:val="center"/>
          </w:tcPr>
          <w:p w14:paraId="6100CD8B">
            <w:pPr>
              <w:keepNext w:val="0"/>
              <w:keepLines w:val="0"/>
              <w:pageBreakBefore w:val="0"/>
              <w:widowControl/>
              <w:kinsoku/>
              <w:wordWrap/>
              <w:overflowPunct/>
              <w:topLinePunct w:val="0"/>
              <w:bidi w:val="0"/>
              <w:adjustRightInd w:val="0"/>
              <w:snapToGrid w:val="0"/>
              <w:spacing w:line="440" w:lineRule="exact"/>
              <w:jc w:val="center"/>
              <w:textAlignment w:val="baseline"/>
              <w:rPr>
                <w:rFonts w:hint="default" w:ascii="宋体" w:hAnsi="宋体" w:eastAsia="宋体"/>
                <w:sz w:val="24"/>
                <w:lang w:val="en-US" w:eastAsia="zh-CN"/>
              </w:rPr>
            </w:pPr>
            <w:r>
              <w:rPr>
                <w:rFonts w:hint="eastAsia" w:ascii="宋体" w:hAnsi="宋体"/>
                <w:sz w:val="24"/>
                <w:lang w:val="en-US" w:eastAsia="zh-CN"/>
              </w:rPr>
              <w:t>230</w:t>
            </w:r>
          </w:p>
        </w:tc>
        <w:tc>
          <w:tcPr>
            <w:tcW w:w="4357" w:type="dxa"/>
            <w:tcBorders>
              <w:top w:val="single" w:color="auto" w:sz="4" w:space="0"/>
              <w:left w:val="single" w:color="auto" w:sz="4" w:space="0"/>
              <w:bottom w:val="single" w:color="auto" w:sz="4" w:space="0"/>
              <w:right w:val="single" w:color="auto" w:sz="4" w:space="0"/>
            </w:tcBorders>
          </w:tcPr>
          <w:p w14:paraId="2343400D">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米、面、油、肉、蛋、奶、水果、干果等节日用品和生活必需品。</w:t>
            </w:r>
          </w:p>
        </w:tc>
      </w:tr>
      <w:tr w14:paraId="3ABB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47B151E0">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端午节</w:t>
            </w:r>
          </w:p>
        </w:tc>
        <w:tc>
          <w:tcPr>
            <w:tcW w:w="2268" w:type="dxa"/>
            <w:tcBorders>
              <w:top w:val="single" w:color="auto" w:sz="4" w:space="0"/>
              <w:left w:val="single" w:color="auto" w:sz="4" w:space="0"/>
              <w:bottom w:val="single" w:color="auto" w:sz="4" w:space="0"/>
              <w:right w:val="single" w:color="auto" w:sz="4" w:space="0"/>
            </w:tcBorders>
            <w:vAlign w:val="center"/>
          </w:tcPr>
          <w:p w14:paraId="4D6554D0">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500</w:t>
            </w:r>
          </w:p>
        </w:tc>
        <w:tc>
          <w:tcPr>
            <w:tcW w:w="1671" w:type="dxa"/>
            <w:tcBorders>
              <w:top w:val="single" w:color="auto" w:sz="4" w:space="0"/>
              <w:left w:val="single" w:color="auto" w:sz="4" w:space="0"/>
              <w:bottom w:val="single" w:color="auto" w:sz="4" w:space="0"/>
              <w:right w:val="single" w:color="auto" w:sz="4" w:space="0"/>
            </w:tcBorders>
            <w:vAlign w:val="center"/>
          </w:tcPr>
          <w:p w14:paraId="64E26363">
            <w:pPr>
              <w:keepNext w:val="0"/>
              <w:keepLines w:val="0"/>
              <w:pageBreakBefore w:val="0"/>
              <w:widowControl/>
              <w:kinsoku/>
              <w:wordWrap/>
              <w:overflowPunct/>
              <w:topLinePunct w:val="0"/>
              <w:bidi w:val="0"/>
              <w:adjustRightInd w:val="0"/>
              <w:snapToGrid w:val="0"/>
              <w:spacing w:line="440" w:lineRule="exact"/>
              <w:jc w:val="center"/>
              <w:textAlignment w:val="baseline"/>
              <w:rPr>
                <w:rFonts w:hint="default" w:ascii="宋体" w:hAnsi="宋体" w:eastAsia="宋体"/>
                <w:sz w:val="24"/>
                <w:lang w:val="en-US" w:eastAsia="zh-CN"/>
              </w:rPr>
            </w:pPr>
            <w:r>
              <w:rPr>
                <w:rFonts w:hint="eastAsia" w:ascii="宋体" w:hAnsi="宋体"/>
                <w:sz w:val="24"/>
                <w:lang w:val="en-US" w:eastAsia="zh-CN"/>
              </w:rPr>
              <w:t>230</w:t>
            </w:r>
          </w:p>
        </w:tc>
        <w:tc>
          <w:tcPr>
            <w:tcW w:w="4357" w:type="dxa"/>
            <w:tcBorders>
              <w:top w:val="single" w:color="auto" w:sz="4" w:space="0"/>
              <w:left w:val="single" w:color="auto" w:sz="4" w:space="0"/>
              <w:bottom w:val="single" w:color="auto" w:sz="4" w:space="0"/>
              <w:right w:val="single" w:color="auto" w:sz="4" w:space="0"/>
            </w:tcBorders>
          </w:tcPr>
          <w:p w14:paraId="6B519BDE">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粽子、米、面、油、肉、蛋、奶、水果、干果等节日用品和生活必需品。</w:t>
            </w:r>
          </w:p>
        </w:tc>
      </w:tr>
      <w:tr w14:paraId="38B5A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057DC6D2">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五一劳动节</w:t>
            </w:r>
          </w:p>
        </w:tc>
        <w:tc>
          <w:tcPr>
            <w:tcW w:w="2268" w:type="dxa"/>
            <w:tcBorders>
              <w:top w:val="single" w:color="auto" w:sz="4" w:space="0"/>
              <w:left w:val="single" w:color="auto" w:sz="4" w:space="0"/>
              <w:bottom w:val="single" w:color="auto" w:sz="4" w:space="0"/>
              <w:right w:val="single" w:color="auto" w:sz="4" w:space="0"/>
            </w:tcBorders>
            <w:vAlign w:val="center"/>
          </w:tcPr>
          <w:p w14:paraId="6513CC90">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500</w:t>
            </w:r>
          </w:p>
        </w:tc>
        <w:tc>
          <w:tcPr>
            <w:tcW w:w="1671" w:type="dxa"/>
            <w:tcBorders>
              <w:top w:val="single" w:color="auto" w:sz="4" w:space="0"/>
              <w:left w:val="single" w:color="auto" w:sz="4" w:space="0"/>
              <w:bottom w:val="single" w:color="auto" w:sz="4" w:space="0"/>
              <w:right w:val="single" w:color="auto" w:sz="4" w:space="0"/>
            </w:tcBorders>
            <w:vAlign w:val="center"/>
          </w:tcPr>
          <w:p w14:paraId="35FAEEDF">
            <w:pPr>
              <w:keepNext w:val="0"/>
              <w:keepLines w:val="0"/>
              <w:pageBreakBefore w:val="0"/>
              <w:widowControl/>
              <w:kinsoku/>
              <w:wordWrap/>
              <w:overflowPunct/>
              <w:topLinePunct w:val="0"/>
              <w:bidi w:val="0"/>
              <w:adjustRightInd w:val="0"/>
              <w:snapToGrid w:val="0"/>
              <w:spacing w:line="440" w:lineRule="exact"/>
              <w:jc w:val="center"/>
              <w:textAlignment w:val="baseline"/>
              <w:rPr>
                <w:rFonts w:hint="default" w:ascii="宋体" w:hAnsi="宋体" w:eastAsia="宋体"/>
                <w:sz w:val="24"/>
                <w:lang w:val="en-US" w:eastAsia="zh-CN"/>
              </w:rPr>
            </w:pPr>
            <w:r>
              <w:rPr>
                <w:rFonts w:hint="eastAsia" w:ascii="宋体" w:hAnsi="宋体"/>
                <w:sz w:val="24"/>
                <w:lang w:val="en-US" w:eastAsia="zh-CN"/>
              </w:rPr>
              <w:t>230</w:t>
            </w:r>
          </w:p>
        </w:tc>
        <w:tc>
          <w:tcPr>
            <w:tcW w:w="4357" w:type="dxa"/>
            <w:tcBorders>
              <w:top w:val="single" w:color="auto" w:sz="4" w:space="0"/>
              <w:left w:val="single" w:color="auto" w:sz="4" w:space="0"/>
              <w:bottom w:val="single" w:color="auto" w:sz="4" w:space="0"/>
              <w:right w:val="single" w:color="auto" w:sz="4" w:space="0"/>
            </w:tcBorders>
            <w:vAlign w:val="center"/>
          </w:tcPr>
          <w:p w14:paraId="36AB4ADB">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米、面、油、肉、蛋、奶、水果、干果等节日用品和生活必需品。</w:t>
            </w:r>
          </w:p>
        </w:tc>
      </w:tr>
      <w:tr w14:paraId="03453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14:paraId="4DC2C97F">
            <w:pPr>
              <w:keepNext w:val="0"/>
              <w:keepLines w:val="0"/>
              <w:pageBreakBefore w:val="0"/>
              <w:widowControl/>
              <w:kinsoku/>
              <w:wordWrap/>
              <w:overflowPunct/>
              <w:topLinePunct w:val="0"/>
              <w:bidi w:val="0"/>
              <w:adjustRightInd w:val="0"/>
              <w:snapToGrid w:val="0"/>
              <w:spacing w:line="440" w:lineRule="exact"/>
              <w:jc w:val="center"/>
              <w:textAlignment w:val="baseline"/>
              <w:rPr>
                <w:rFonts w:ascii="宋体" w:hAnsi="宋体"/>
                <w:sz w:val="24"/>
              </w:rPr>
            </w:pPr>
            <w:r>
              <w:rPr>
                <w:rFonts w:hint="eastAsia" w:ascii="宋体" w:hAnsi="宋体"/>
                <w:sz w:val="24"/>
              </w:rPr>
              <w:t>中秋节</w:t>
            </w:r>
          </w:p>
        </w:tc>
        <w:tc>
          <w:tcPr>
            <w:tcW w:w="2268" w:type="dxa"/>
            <w:tcBorders>
              <w:top w:val="single" w:color="auto" w:sz="4" w:space="0"/>
              <w:left w:val="single" w:color="auto" w:sz="4" w:space="0"/>
              <w:bottom w:val="single" w:color="auto" w:sz="4" w:space="0"/>
              <w:right w:val="single" w:color="auto" w:sz="4" w:space="0"/>
            </w:tcBorders>
            <w:vAlign w:val="center"/>
          </w:tcPr>
          <w:p w14:paraId="13497351">
            <w:pPr>
              <w:keepNext w:val="0"/>
              <w:keepLines w:val="0"/>
              <w:pageBreakBefore w:val="0"/>
              <w:widowControl/>
              <w:kinsoku/>
              <w:wordWrap/>
              <w:overflowPunct/>
              <w:topLinePunct w:val="0"/>
              <w:bidi w:val="0"/>
              <w:adjustRightInd w:val="0"/>
              <w:snapToGrid w:val="0"/>
              <w:spacing w:line="440" w:lineRule="exact"/>
              <w:jc w:val="center"/>
              <w:textAlignment w:val="baseline"/>
              <w:rPr>
                <w:rFonts w:hint="default" w:ascii="宋体" w:hAnsi="宋体" w:eastAsia="宋体"/>
                <w:sz w:val="24"/>
                <w:lang w:val="en-US" w:eastAsia="zh-CN"/>
              </w:rPr>
            </w:pPr>
            <w:r>
              <w:rPr>
                <w:rFonts w:hint="eastAsia" w:ascii="宋体" w:hAnsi="宋体"/>
                <w:sz w:val="24"/>
                <w:lang w:val="en-US" w:eastAsia="zh-CN"/>
              </w:rPr>
              <w:t>1000</w:t>
            </w:r>
          </w:p>
        </w:tc>
        <w:tc>
          <w:tcPr>
            <w:tcW w:w="1671" w:type="dxa"/>
            <w:tcBorders>
              <w:top w:val="single" w:color="auto" w:sz="4" w:space="0"/>
              <w:left w:val="single" w:color="auto" w:sz="4" w:space="0"/>
              <w:bottom w:val="single" w:color="auto" w:sz="4" w:space="0"/>
              <w:right w:val="single" w:color="auto" w:sz="4" w:space="0"/>
            </w:tcBorders>
            <w:vAlign w:val="center"/>
          </w:tcPr>
          <w:p w14:paraId="39144739">
            <w:pPr>
              <w:keepNext w:val="0"/>
              <w:keepLines w:val="0"/>
              <w:pageBreakBefore w:val="0"/>
              <w:widowControl/>
              <w:kinsoku/>
              <w:wordWrap/>
              <w:overflowPunct/>
              <w:topLinePunct w:val="0"/>
              <w:bidi w:val="0"/>
              <w:adjustRightInd w:val="0"/>
              <w:snapToGrid w:val="0"/>
              <w:spacing w:line="440" w:lineRule="exact"/>
              <w:jc w:val="center"/>
              <w:textAlignment w:val="baseline"/>
              <w:rPr>
                <w:rFonts w:hint="default" w:ascii="宋体" w:hAnsi="宋体" w:eastAsia="宋体"/>
                <w:sz w:val="24"/>
                <w:lang w:val="en-US" w:eastAsia="zh-CN"/>
              </w:rPr>
            </w:pPr>
            <w:r>
              <w:rPr>
                <w:rFonts w:hint="eastAsia" w:ascii="宋体" w:hAnsi="宋体"/>
                <w:sz w:val="24"/>
                <w:lang w:val="en-US" w:eastAsia="zh-CN"/>
              </w:rPr>
              <w:t>230</w:t>
            </w:r>
          </w:p>
        </w:tc>
        <w:tc>
          <w:tcPr>
            <w:tcW w:w="4357" w:type="dxa"/>
            <w:tcBorders>
              <w:top w:val="single" w:color="auto" w:sz="4" w:space="0"/>
              <w:left w:val="single" w:color="auto" w:sz="4" w:space="0"/>
              <w:bottom w:val="single" w:color="auto" w:sz="4" w:space="0"/>
              <w:right w:val="single" w:color="auto" w:sz="4" w:space="0"/>
            </w:tcBorders>
          </w:tcPr>
          <w:p w14:paraId="79BE310A">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月饼、米、面、油、肉、蛋、奶、水果、干果等节日用品和生活必需品。</w:t>
            </w:r>
          </w:p>
        </w:tc>
      </w:tr>
    </w:tbl>
    <w:p w14:paraId="77D0C6C2">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2.采购标准及计划安排（具体购买以实际为准）</w:t>
      </w:r>
    </w:p>
    <w:p w14:paraId="78C406FA">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bCs/>
          <w:sz w:val="24"/>
        </w:rPr>
      </w:pPr>
      <w:r>
        <w:rPr>
          <w:rFonts w:hint="eastAsia" w:ascii="宋体" w:hAnsi="宋体"/>
          <w:b/>
          <w:bCs/>
          <w:sz w:val="24"/>
        </w:rPr>
        <w:t xml:space="preserve">采购具体内容及要求 </w:t>
      </w:r>
    </w:p>
    <w:p w14:paraId="72AC6FAD">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1.专属福利电子采购平台产品清单：专属福利电子采购平台产品清单乙方自主选择提供的商品（提供选择的商品不得少于</w:t>
      </w:r>
      <w:r>
        <w:rPr>
          <w:rFonts w:hint="eastAsia" w:ascii="宋体" w:hAnsi="宋体"/>
          <w:sz w:val="24"/>
          <w:lang w:val="en-US" w:eastAsia="zh-CN"/>
        </w:rPr>
        <w:t>3</w:t>
      </w:r>
      <w:r>
        <w:rPr>
          <w:rFonts w:hint="eastAsia" w:ascii="宋体" w:hAnsi="宋体"/>
          <w:sz w:val="24"/>
        </w:rPr>
        <w:t>00个）：</w:t>
      </w:r>
    </w:p>
    <w:p w14:paraId="648533CD">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（1）应节食品：粽子、月饼等；  </w:t>
      </w:r>
    </w:p>
    <w:p w14:paraId="4D0E3886">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（2）粮油：米、面、杂粮、食用油等；</w:t>
      </w:r>
    </w:p>
    <w:p w14:paraId="68EAFB5E">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（3）干货：干菜、干菌菇、银耳、木耳等；</w:t>
      </w:r>
    </w:p>
    <w:p w14:paraId="30B9A6BC">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（4）零食：坚果果干、糕点饼干、糖果巧克力、休闲零食等；</w:t>
      </w:r>
    </w:p>
    <w:p w14:paraId="0AD1FA7A">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（5）乳制品：酸奶、其他乳制品等； </w:t>
      </w:r>
    </w:p>
    <w:p w14:paraId="5008FD94">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（6）日用品：洗护发、身体护理、牙膏、牙刷、洗洁精、纸巾、毛巾、衣物洗护等； </w:t>
      </w:r>
    </w:p>
    <w:p w14:paraId="59B179D7">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（7）生鲜商品：牛排、低温酸奶、鲜牛奶、水果等；</w:t>
      </w:r>
    </w:p>
    <w:p w14:paraId="0C8DCFBE">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（8）其他乙方提供的商品。 </w:t>
      </w:r>
    </w:p>
    <w:p w14:paraId="29237344">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szCs w:val="21"/>
        </w:rPr>
      </w:pPr>
      <w:r>
        <w:rPr>
          <w:rFonts w:hint="eastAsia" w:ascii="宋体" w:hAnsi="宋体"/>
          <w:sz w:val="24"/>
        </w:rPr>
        <w:t xml:space="preserve">备注：自主选择提供商品组不限于应节产品、食品、生活日用品等范围产品，由乙方自主选择提供，以上清单只做参考。 </w:t>
      </w:r>
    </w:p>
    <w:p w14:paraId="45C96445">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r>
        <w:rPr>
          <w:rFonts w:hint="eastAsia" w:ascii="宋体" w:hAnsi="宋体"/>
          <w:b/>
          <w:sz w:val="24"/>
        </w:rPr>
        <w:t>乙方服务要求</w:t>
      </w:r>
    </w:p>
    <w:p w14:paraId="14B50307">
      <w:pPr>
        <w:keepNext w:val="0"/>
        <w:keepLines w:val="0"/>
        <w:pageBreakBefore w:val="0"/>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1.乙方必须保证所提供的产品价格不高于该产品在京东自营旗舰店、淘宝天猫超市网上平台及乙方社会公开电商平台在售的价格，供货期内货品价格无法按上述实施，乙方应提供市场参考价或其他报价作为价格参考依据，最终由甲方与乙方协商确定。 </w:t>
      </w:r>
    </w:p>
    <w:p w14:paraId="369E7C0A">
      <w:pPr>
        <w:keepNext w:val="0"/>
        <w:keepLines w:val="0"/>
        <w:pageBreakBefore w:val="0"/>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2.甲方可根据不同节日的实际情况，要求乙方适当调整专属平台产品清单，以满足不同节日的不同慰问品需求。 </w:t>
      </w:r>
    </w:p>
    <w:p w14:paraId="339E6D12">
      <w:pPr>
        <w:keepNext w:val="0"/>
        <w:keepLines w:val="0"/>
        <w:pageBreakBefore w:val="0"/>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3.乙方需要有自有仓库，仓储条件完善，能够很好的保证生鲜类、冻品、常温品等不同温区商品的存储及冷链配送需求。</w:t>
      </w:r>
    </w:p>
    <w:p w14:paraId="4D7DF887">
      <w:pPr>
        <w:keepNext w:val="0"/>
        <w:keepLines w:val="0"/>
        <w:pageBreakBefore w:val="0"/>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4.乙方须保证货物来源可追查，货物具有良好的周转渠道和充足的货物资源。 </w:t>
      </w:r>
    </w:p>
    <w:p w14:paraId="4CF293F1">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5.专属福利电子采购平台服务要求： </w:t>
      </w:r>
    </w:p>
    <w:p w14:paraId="151DA945">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sz w:val="24"/>
        </w:rPr>
        <w:t>（1）</w:t>
      </w:r>
      <w:r>
        <w:rPr>
          <w:rFonts w:hint="eastAsia" w:ascii="宋体" w:hAnsi="宋体"/>
          <w:sz w:val="24"/>
        </w:rPr>
        <w:t>乙方具有经营成熟的专属福利电子采购平台，根据本项目采购范围定制的有电脑PC端、手机APP、微信公众号等多种运营方式，提供线上签领服务。</w:t>
      </w:r>
    </w:p>
    <w:p w14:paraId="5587CE5A">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sz w:val="24"/>
        </w:rPr>
        <w:t>（2）</w:t>
      </w:r>
      <w:r>
        <w:rPr>
          <w:rFonts w:hint="eastAsia" w:ascii="宋体" w:hAnsi="宋体"/>
          <w:sz w:val="24"/>
        </w:rPr>
        <w:t>经甲方工会确认，在每期采购计划下达后5个工作日内向甲方工会职工开放慰问套餐领取，职工在乙方平台通过自主选择慰问品套餐，完成下单，线上签字领取慰问套餐并通过系统生成签领凭证，职工可自行选择由乙方邮寄、配送至职工指定地点。</w:t>
      </w:r>
    </w:p>
    <w:p w14:paraId="7C958D12">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sz w:val="24"/>
        </w:rPr>
        <w:t>（3）</w:t>
      </w:r>
      <w:r>
        <w:rPr>
          <w:rFonts w:hint="eastAsia" w:ascii="宋体" w:hAnsi="宋体"/>
          <w:sz w:val="24"/>
        </w:rPr>
        <w:t>有完善的订单跟踪体系：从订单产生至收到慰问品，平台可查询订单配送状态。</w:t>
      </w:r>
    </w:p>
    <w:p w14:paraId="095C5334">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 6.配送要求： </w:t>
      </w:r>
    </w:p>
    <w:p w14:paraId="3F4461E9">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sz w:val="24"/>
        </w:rPr>
        <w:t>（1）</w:t>
      </w:r>
      <w:r>
        <w:rPr>
          <w:rFonts w:hint="eastAsia" w:ascii="宋体" w:hAnsi="宋体"/>
          <w:sz w:val="24"/>
        </w:rPr>
        <w:t>须具有自主完善的物流配送体系：乙方自有物流配送或委托第三方能够承担平台所提供所有商品全国范围内的配送，支持冷链物流，配送费用由乙方承担。</w:t>
      </w:r>
    </w:p>
    <w:p w14:paraId="67819479">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sz w:val="24"/>
        </w:rPr>
        <w:t>（2）</w:t>
      </w:r>
      <w:r>
        <w:rPr>
          <w:rFonts w:hint="eastAsia" w:ascii="宋体" w:hAnsi="宋体"/>
          <w:sz w:val="24"/>
        </w:rPr>
        <w:t>须做到可以在平台上实时跟踪查询物流信息。</w:t>
      </w:r>
    </w:p>
    <w:p w14:paraId="0C6C35BB">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sz w:val="24"/>
        </w:rPr>
        <w:t>（3）</w:t>
      </w:r>
      <w:r>
        <w:rPr>
          <w:rFonts w:hint="eastAsia" w:ascii="宋体" w:hAnsi="宋体"/>
          <w:sz w:val="24"/>
        </w:rPr>
        <w:t>保证配送时效性需要做到下单之日起5天内送达，需要延迟配送，必须联系客户得到同意，联系不上客户，应分不同时段至少联系收货人3次以上，以保证订单包裹需要一次性收货。</w:t>
      </w:r>
    </w:p>
    <w:p w14:paraId="1C4300BE">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sz w:val="24"/>
        </w:rPr>
        <w:t>（4）</w:t>
      </w:r>
      <w:r>
        <w:rPr>
          <w:rFonts w:hint="eastAsia" w:ascii="宋体" w:hAnsi="宋体"/>
          <w:sz w:val="24"/>
        </w:rPr>
        <w:t>货品允许开箱验货，允许收货人当面清点包裹内的商品件数及商品的完好程度。</w:t>
      </w:r>
    </w:p>
    <w:p w14:paraId="087E20D8">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7.售后服务要求：</w:t>
      </w:r>
    </w:p>
    <w:p w14:paraId="1827472E">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（1）如有损坏自收货之日起3日内包退包换。</w:t>
      </w:r>
    </w:p>
    <w:p w14:paraId="36B67458">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2）有专业的售后服务团队和售后专线，提供详细的售后服务方案，主要包括退换货政策、保修、上门服务、符合国家三包政策、售后维护、客服专线服务、在线咨询服务、问题处理周期、纠纷解决等方面以及其他服务等内容。 </w:t>
      </w:r>
    </w:p>
    <w:p w14:paraId="0C2620D2">
      <w:pPr>
        <w:keepNext w:val="0"/>
        <w:keepLines w:val="0"/>
        <w:pageBreakBefore w:val="0"/>
        <w:widowControl/>
        <w:kinsoku/>
        <w:wordWrap/>
        <w:overflowPunct/>
        <w:topLinePunct w:val="0"/>
        <w:bidi w:val="0"/>
        <w:adjustRightInd w:val="0"/>
        <w:snapToGrid w:val="0"/>
        <w:spacing w:line="440" w:lineRule="exact"/>
        <w:jc w:val="left"/>
        <w:textAlignment w:val="baseline"/>
        <w:rPr>
          <w:rFonts w:ascii="宋体" w:hAnsi="宋体"/>
          <w:b/>
          <w:sz w:val="24"/>
        </w:rPr>
      </w:pPr>
      <w:r>
        <w:rPr>
          <w:rFonts w:hint="eastAsia" w:ascii="宋体" w:hAnsi="宋体"/>
          <w:sz w:val="24"/>
        </w:rPr>
        <w:t xml:space="preserve">（3）针对本项目的供货商品应全部为乙方自营商品，乙方拥有商品的合法流通资格，乙方保证商品商标、著作权不受第三方质疑，乙方自愿接受并配合甲方及评委进行针对本项目提报的自营商品审查核实工作。 </w:t>
      </w:r>
    </w:p>
    <w:p w14:paraId="3480C459">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69" w:name="_Toc435540761"/>
      <w:r>
        <w:rPr>
          <w:rFonts w:hint="eastAsia" w:ascii="宋体" w:hAnsi="宋体"/>
          <w:b/>
          <w:sz w:val="24"/>
        </w:rPr>
        <w:t>质量要求</w:t>
      </w:r>
    </w:p>
    <w:p w14:paraId="66FF3852">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 xml:space="preserve">1.乙方应保证提供的产品质量指标达到相应的国家标准，行业标准及在本招标文件中提交并确定遵照的有关标准及技术要求。 </w:t>
      </w:r>
    </w:p>
    <w:p w14:paraId="66B583E2">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 xml:space="preserve">2.有保质期的商品，剩余保存期限不得少于原有保质期的三分之二（自配送之日起计）。 </w:t>
      </w:r>
    </w:p>
    <w:p w14:paraId="23C417A8">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 xml:space="preserve">3.货物包装应完好无损，可视的内容物无腐败变霉变或影响使用的变形。 </w:t>
      </w:r>
    </w:p>
    <w:p w14:paraId="6436B6B7">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 xml:space="preserve">4.货物应当具备其应当具备的性能，符合国家或行业标准； </w:t>
      </w:r>
    </w:p>
    <w:p w14:paraId="24CB708D">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 xml:space="preserve">5.食品包装标签应符合食品安全国家标准的要求，包括食品名称、配料表、规格、生产者经销商、生产日期、保质期、食品生产许可证编号等内容。 </w:t>
      </w:r>
    </w:p>
    <w:p w14:paraId="4059ED4A">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b/>
          <w:sz w:val="24"/>
        </w:rPr>
      </w:pPr>
      <w:r>
        <w:rPr>
          <w:rFonts w:hint="eastAsia" w:ascii="宋体" w:hAnsi="宋体"/>
          <w:sz w:val="24"/>
        </w:rPr>
        <w:t>6.乙方保证提供的货物不侵犯任何第三方的专利、商标或版权。否则，乙方须承担对第三方的专利或版权的侵权责任并承担因此而发生的所有费用。</w:t>
      </w:r>
    </w:p>
    <w:p w14:paraId="57C74A06">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r>
        <w:rPr>
          <w:rFonts w:hint="eastAsia" w:ascii="宋体" w:hAnsi="宋体"/>
          <w:b/>
          <w:sz w:val="24"/>
        </w:rPr>
        <w:t>甲方乙方的权利和义务</w:t>
      </w:r>
      <w:bookmarkEnd w:id="69"/>
    </w:p>
    <w:p w14:paraId="26CEC0A0">
      <w:pPr>
        <w:keepNext w:val="0"/>
        <w:keepLines w:val="0"/>
        <w:pageBreakBefore w:val="0"/>
        <w:numPr>
          <w:ilvl w:val="0"/>
          <w:numId w:val="66"/>
        </w:numPr>
        <w:kinsoku/>
        <w:wordWrap/>
        <w:overflowPunct/>
        <w:topLinePunct w:val="0"/>
        <w:bidi w:val="0"/>
        <w:adjustRightInd w:val="0"/>
        <w:spacing w:line="440" w:lineRule="exact"/>
        <w:ind w:firstLine="6"/>
        <w:textAlignment w:val="baseline"/>
        <w:rPr>
          <w:rFonts w:ascii="Arial" w:hAnsi="Arial" w:cs="Arial"/>
          <w:sz w:val="24"/>
        </w:rPr>
      </w:pPr>
      <w:r>
        <w:rPr>
          <w:rFonts w:hint="eastAsia" w:ascii="Arial" w:hAnsi="Arial" w:cs="Arial"/>
          <w:sz w:val="24"/>
        </w:rPr>
        <w:t>甲方的权利和义务</w:t>
      </w:r>
    </w:p>
    <w:p w14:paraId="43B0A096">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1.甲方对不合格的货物，有权要求乙方作退货、换货处理。</w:t>
      </w:r>
    </w:p>
    <w:p w14:paraId="26B07C03">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2.甲方有按时与乙方结算合同价款的义务。</w:t>
      </w:r>
    </w:p>
    <w:p w14:paraId="344873AA">
      <w:pPr>
        <w:keepNext w:val="0"/>
        <w:keepLines w:val="0"/>
        <w:pageBreakBefore w:val="0"/>
        <w:widowControl/>
        <w:numPr>
          <w:ilvl w:val="255"/>
          <w:numId w:val="0"/>
        </w:numPr>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乙方的权利和义务</w:t>
      </w:r>
    </w:p>
    <w:p w14:paraId="2D46C814">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ascii="宋体" w:hAnsi="宋体"/>
          <w:sz w:val="24"/>
        </w:rPr>
        <w:t>1.</w:t>
      </w:r>
      <w:r>
        <w:rPr>
          <w:rFonts w:hint="eastAsia" w:ascii="宋体" w:hAnsi="宋体"/>
          <w:sz w:val="24"/>
        </w:rPr>
        <w:t>由于货物的质量问题或乙方不能按时按量供应，造成甲方无法正常供应的，甲方有权自行采购同等质量的货物，相应的差价和费用由乙方承担</w:t>
      </w:r>
      <w:r>
        <w:rPr>
          <w:rFonts w:hint="eastAsia" w:ascii="宋体" w:hAnsi="宋体"/>
          <w:sz w:val="24"/>
          <w:lang w:eastAsia="zh-CN"/>
        </w:rPr>
        <w:t>，</w:t>
      </w:r>
      <w:r>
        <w:rPr>
          <w:rFonts w:hint="eastAsia" w:ascii="宋体" w:hAnsi="宋体"/>
          <w:color w:val="FF0000"/>
          <w:sz w:val="24"/>
          <w:lang w:val="en-US" w:eastAsia="zh-CN"/>
        </w:rPr>
        <w:t>甲方有权在当次结算款或履约保证金中直接扣减</w:t>
      </w:r>
      <w:r>
        <w:rPr>
          <w:rFonts w:hint="eastAsia" w:ascii="宋体" w:hAnsi="宋体"/>
          <w:sz w:val="24"/>
        </w:rPr>
        <w:t>。</w:t>
      </w:r>
    </w:p>
    <w:p w14:paraId="32C13821">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ascii="宋体" w:hAnsi="宋体"/>
          <w:sz w:val="24"/>
        </w:rPr>
        <w:t>2.</w:t>
      </w:r>
      <w:r>
        <w:rPr>
          <w:rFonts w:hint="eastAsia" w:ascii="宋体" w:hAnsi="宋体"/>
          <w:sz w:val="24"/>
        </w:rPr>
        <w:t>乙方应严格按照合同要求和国家有关标准生产和检验，确保货物质量。凡乙方提供的商品因质量问题造成食品安全事故，由乙方承担一切责任并赔偿一切损失。</w:t>
      </w:r>
    </w:p>
    <w:p w14:paraId="6234B6AC">
      <w:pPr>
        <w:keepNext w:val="0"/>
        <w:keepLines w:val="0"/>
        <w:pageBreakBefore w:val="0"/>
        <w:widowControl/>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ascii="宋体" w:hAnsi="宋体"/>
          <w:sz w:val="24"/>
        </w:rPr>
        <w:t>3.</w:t>
      </w:r>
      <w:r>
        <w:rPr>
          <w:rFonts w:hint="eastAsia" w:ascii="宋体" w:hAnsi="宋体"/>
          <w:sz w:val="24"/>
        </w:rPr>
        <w:t>乙方不得以任何形式向甲方相关人员行贿或采取其他不正当手段谋取非法利益。若有违反以上内容的行为，有关主管部门或纪检监察机关将视情节轻重给予不同程度的处罚。</w:t>
      </w:r>
    </w:p>
    <w:p w14:paraId="7A2C1048">
      <w:pPr>
        <w:keepNext w:val="0"/>
        <w:keepLines w:val="0"/>
        <w:pageBreakBefore w:val="0"/>
        <w:widowControl/>
        <w:numPr>
          <w:ilvl w:val="255"/>
          <w:numId w:val="0"/>
        </w:numPr>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ascii="宋体" w:hAnsi="宋体"/>
          <w:sz w:val="24"/>
        </w:rPr>
        <w:t>4.</w:t>
      </w:r>
      <w:r>
        <w:rPr>
          <w:rFonts w:hint="eastAsia" w:ascii="宋体" w:hAnsi="宋体"/>
          <w:sz w:val="24"/>
        </w:rPr>
        <w:t>未经甲方同意，乙方不得将本合同转包或分包给第三方，否则视为根本违约，甲方有权解除本合同并承担所有订单总额</w:t>
      </w:r>
      <w:r>
        <w:rPr>
          <w:rFonts w:ascii="宋体" w:hAnsi="宋体"/>
          <w:sz w:val="24"/>
        </w:rPr>
        <w:t>30%</w:t>
      </w:r>
      <w:r>
        <w:rPr>
          <w:rFonts w:hint="eastAsia" w:ascii="宋体" w:hAnsi="宋体"/>
          <w:sz w:val="24"/>
        </w:rPr>
        <w:t>作为违约金，若给甲方造成损失的还应负赔偿责任。</w:t>
      </w:r>
    </w:p>
    <w:p w14:paraId="338A8447">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bCs/>
          <w:sz w:val="24"/>
        </w:rPr>
      </w:pPr>
      <w:r>
        <w:rPr>
          <w:rFonts w:hint="eastAsia" w:ascii="宋体" w:hAnsi="宋体"/>
          <w:b/>
          <w:bCs/>
          <w:sz w:val="24"/>
        </w:rPr>
        <w:t>交货方式及地点</w:t>
      </w:r>
    </w:p>
    <w:p w14:paraId="23BC4ED0">
      <w:pPr>
        <w:keepNext w:val="0"/>
        <w:keepLines w:val="0"/>
        <w:pageBreakBefore w:val="0"/>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 xml:space="preserve">由乙方直接邮寄、配送到甲方职工指定地点。 </w:t>
      </w:r>
    </w:p>
    <w:p w14:paraId="3CA0ED96">
      <w:pPr>
        <w:keepNext w:val="0"/>
        <w:keepLines w:val="0"/>
        <w:pageBreakBefore w:val="0"/>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（1）专属福利电子采购平台须于合同签订后5个工作日内完成并面向甲方开放并按甲方通知开放领取；</w:t>
      </w:r>
    </w:p>
    <w:p w14:paraId="0106AECC">
      <w:pPr>
        <w:keepNext w:val="0"/>
        <w:keepLines w:val="0"/>
        <w:pageBreakBefore w:val="0"/>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 xml:space="preserve">（2）乙方必须能实现5天内送达全国指定地址。 </w:t>
      </w:r>
    </w:p>
    <w:p w14:paraId="38D74950">
      <w:pPr>
        <w:keepNext w:val="0"/>
        <w:keepLines w:val="0"/>
        <w:pageBreakBefore w:val="0"/>
        <w:kinsoku/>
        <w:wordWrap/>
        <w:overflowPunct/>
        <w:topLinePunct w:val="0"/>
        <w:bidi w:val="0"/>
        <w:adjustRightInd w:val="0"/>
        <w:snapToGrid w:val="0"/>
        <w:spacing w:line="440" w:lineRule="exact"/>
        <w:ind w:firstLine="480" w:firstLineChars="200"/>
        <w:jc w:val="left"/>
        <w:textAlignment w:val="baseline"/>
        <w:rPr>
          <w:rFonts w:ascii="宋体" w:hAnsi="宋体"/>
          <w:sz w:val="24"/>
        </w:rPr>
      </w:pPr>
      <w:r>
        <w:rPr>
          <w:rFonts w:hint="eastAsia" w:ascii="宋体" w:hAnsi="宋体"/>
          <w:sz w:val="24"/>
        </w:rPr>
        <w:t>（3）在服务有效期内，乙方应保证专属福利电子采购平台的正常使用，每个节日自乙方开放慰问套餐领取之日起职工可下单时间应不少于3</w:t>
      </w:r>
      <w:r>
        <w:rPr>
          <w:rFonts w:ascii="宋体" w:hAnsi="宋体"/>
          <w:sz w:val="24"/>
        </w:rPr>
        <w:t>0</w:t>
      </w:r>
      <w:r>
        <w:rPr>
          <w:rFonts w:hint="eastAsia" w:ascii="宋体" w:hAnsi="宋体"/>
          <w:sz w:val="24"/>
        </w:rPr>
        <w:t>日历日。</w:t>
      </w:r>
    </w:p>
    <w:p w14:paraId="76E49988">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sz w:val="24"/>
        </w:rPr>
      </w:pPr>
      <w:r>
        <w:rPr>
          <w:rFonts w:hint="eastAsia" w:ascii="宋体" w:hAnsi="宋体"/>
          <w:b/>
          <w:sz w:val="24"/>
        </w:rPr>
        <w:t>服务期限：</w:t>
      </w:r>
    </w:p>
    <w:p w14:paraId="1424743E">
      <w:pPr>
        <w:keepNext w:val="0"/>
        <w:keepLines w:val="0"/>
        <w:pageBreakBefore w:val="0"/>
        <w:kinsoku/>
        <w:wordWrap/>
        <w:overflowPunct/>
        <w:topLinePunct w:val="0"/>
        <w:bidi w:val="0"/>
        <w:adjustRightInd w:val="0"/>
        <w:snapToGrid w:val="0"/>
        <w:spacing w:line="440" w:lineRule="exact"/>
        <w:jc w:val="left"/>
        <w:textAlignment w:val="baseline"/>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自签订合同之日起至202</w:t>
      </w:r>
      <w:r>
        <w:rPr>
          <w:rFonts w:hint="eastAsia" w:ascii="宋体" w:hAnsi="宋体"/>
          <w:sz w:val="24"/>
          <w:lang w:val="en-US" w:eastAsia="zh-CN"/>
        </w:rPr>
        <w:t>6</w:t>
      </w:r>
      <w:r>
        <w:rPr>
          <w:rFonts w:hint="eastAsia" w:ascii="宋体" w:hAnsi="宋体"/>
          <w:sz w:val="24"/>
        </w:rPr>
        <w:t>年12月31日或项目结算金额达到预算金额其中一项先到达为止。乙方应于该期限内向甲方提供货品。</w:t>
      </w:r>
    </w:p>
    <w:p w14:paraId="1FE2B676">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sz w:val="24"/>
        </w:rPr>
      </w:pPr>
      <w:bookmarkStart w:id="70" w:name="_Toc435540763"/>
      <w:r>
        <w:rPr>
          <w:rFonts w:hint="eastAsia" w:ascii="宋体" w:hAnsi="宋体"/>
          <w:b/>
          <w:sz w:val="24"/>
        </w:rPr>
        <w:t>付款方式</w:t>
      </w:r>
      <w:bookmarkEnd w:id="70"/>
      <w:r>
        <w:rPr>
          <w:rFonts w:hint="eastAsia" w:ascii="宋体" w:hAnsi="宋体"/>
          <w:b/>
          <w:sz w:val="24"/>
        </w:rPr>
        <w:t>：</w:t>
      </w:r>
    </w:p>
    <w:p w14:paraId="7C1F6407">
      <w:pPr>
        <w:keepNext w:val="0"/>
        <w:keepLines w:val="0"/>
        <w:pageBreakBefore w:val="0"/>
        <w:kinsoku/>
        <w:wordWrap/>
        <w:overflowPunct/>
        <w:topLinePunct w:val="0"/>
        <w:bidi w:val="0"/>
        <w:adjustRightInd w:val="0"/>
        <w:snapToGrid w:val="0"/>
        <w:spacing w:line="440" w:lineRule="exact"/>
        <w:ind w:firstLine="400"/>
        <w:jc w:val="left"/>
        <w:textAlignment w:val="baseline"/>
        <w:rPr>
          <w:rFonts w:ascii="宋体" w:hAnsi="宋体"/>
          <w:sz w:val="24"/>
        </w:rPr>
      </w:pPr>
      <w:bookmarkStart w:id="71" w:name="_Toc435540764"/>
      <w:r>
        <w:rPr>
          <w:sz w:val="24"/>
        </w:rPr>
        <w:t>1．</w:t>
      </w:r>
      <w:r>
        <w:rPr>
          <w:rFonts w:hint="eastAsia" w:ascii="宋体" w:hAnsi="宋体"/>
          <w:sz w:val="24"/>
        </w:rPr>
        <w:t>本项目采用按实结算方式，乙方节前按甲方需求提供套餐选购服务，甲方确认套餐后，全部职工完成套餐选择并签收后，乙方向甲方提供系统生成的签领凭证，甲方核对无误后，乙方开具全额正式税务发票交甲方审核，甲方在收到发票后10个工作日内支付该次节日采购总金额的100%款项。甲方在合同约定时间内提交请款资料至财政部门审批视为甲方按时支付，乙方应清楚明白本合同款项的拨付程序，并理解因政府部门审核请款手续对时间等方面的影响与甲方无关。乙方不得以非甲方原因造成的合同款支付拖延，向甲方要求计付利息及因此导致的其他损失。</w:t>
      </w:r>
    </w:p>
    <w:p w14:paraId="28F7EDE9">
      <w:pPr>
        <w:keepNext w:val="0"/>
        <w:keepLines w:val="0"/>
        <w:pageBreakBefore w:val="0"/>
        <w:kinsoku/>
        <w:wordWrap/>
        <w:overflowPunct/>
        <w:topLinePunct w:val="0"/>
        <w:bidi w:val="0"/>
        <w:adjustRightInd w:val="0"/>
        <w:snapToGrid w:val="0"/>
        <w:spacing w:line="440" w:lineRule="exact"/>
        <w:ind w:firstLine="400"/>
        <w:jc w:val="left"/>
        <w:textAlignment w:val="baseline"/>
        <w:rPr>
          <w:rFonts w:ascii="宋体" w:hAnsi="宋体"/>
          <w:color w:val="auto"/>
          <w:sz w:val="24"/>
        </w:rPr>
      </w:pPr>
      <w:r>
        <w:rPr>
          <w:sz w:val="24"/>
        </w:rPr>
        <w:t>2．</w:t>
      </w:r>
      <w:r>
        <w:rPr>
          <w:rFonts w:hint="eastAsia" w:ascii="宋体" w:hAnsi="宋体"/>
          <w:sz w:val="24"/>
        </w:rPr>
        <w:t>结算价：结算价</w:t>
      </w:r>
      <w:r>
        <w:rPr>
          <w:rFonts w:ascii="宋体" w:hAnsi="宋体"/>
          <w:sz w:val="24"/>
        </w:rPr>
        <w:t>=</w:t>
      </w:r>
      <w:r>
        <w:rPr>
          <w:rFonts w:hint="eastAsia" w:ascii="宋体" w:hAnsi="宋体"/>
          <w:sz w:val="24"/>
        </w:rPr>
        <w:t>∑商品挂牌价单价</w:t>
      </w:r>
      <w:r>
        <w:rPr>
          <w:rFonts w:ascii="宋体" w:hAnsi="宋体"/>
          <w:color w:val="auto"/>
          <w:sz w:val="24"/>
        </w:rPr>
        <w:t>*实际供货数量*</w:t>
      </w:r>
      <w:r>
        <w:rPr>
          <w:rFonts w:hint="eastAsia" w:ascii="宋体" w:hAnsi="宋体"/>
          <w:color w:val="auto"/>
          <w:sz w:val="24"/>
        </w:rPr>
        <w:t>合同综合折扣率。</w:t>
      </w:r>
    </w:p>
    <w:p w14:paraId="77E36EAC">
      <w:pPr>
        <w:keepNext w:val="0"/>
        <w:keepLines w:val="0"/>
        <w:pageBreakBefore w:val="0"/>
        <w:kinsoku/>
        <w:wordWrap/>
        <w:overflowPunct/>
        <w:topLinePunct w:val="0"/>
        <w:bidi w:val="0"/>
        <w:adjustRightInd w:val="0"/>
        <w:snapToGrid w:val="0"/>
        <w:spacing w:line="440" w:lineRule="exact"/>
        <w:ind w:firstLine="400"/>
        <w:jc w:val="left"/>
        <w:textAlignment w:val="baseline"/>
        <w:rPr>
          <w:rFonts w:ascii="宋体" w:hAnsi="宋体"/>
          <w:color w:val="auto"/>
          <w:sz w:val="24"/>
        </w:rPr>
      </w:pPr>
      <w:r>
        <w:rPr>
          <w:color w:val="auto"/>
          <w:sz w:val="24"/>
        </w:rPr>
        <w:t>3．</w:t>
      </w:r>
      <w:r>
        <w:rPr>
          <w:rFonts w:hint="eastAsia" w:ascii="宋体" w:hAnsi="宋体"/>
          <w:color w:val="auto"/>
          <w:sz w:val="24"/>
        </w:rPr>
        <w:t>乙方应提供与货物相应金额的正式发票。如乙方未开具等额合法有效发票的，甲方有权拒绝付款，且不负任何逾期付款违约责任。</w:t>
      </w:r>
    </w:p>
    <w:p w14:paraId="4B1BC75E">
      <w:pPr>
        <w:keepNext w:val="0"/>
        <w:keepLines w:val="0"/>
        <w:pageBreakBefore w:val="0"/>
        <w:kinsoku/>
        <w:wordWrap/>
        <w:overflowPunct/>
        <w:topLinePunct w:val="0"/>
        <w:bidi w:val="0"/>
        <w:adjustRightInd w:val="0"/>
        <w:snapToGrid w:val="0"/>
        <w:spacing w:line="440" w:lineRule="exact"/>
        <w:ind w:firstLine="400"/>
        <w:jc w:val="left"/>
        <w:textAlignment w:val="baseline"/>
        <w:rPr>
          <w:rFonts w:ascii="宋体" w:hAnsi="宋体"/>
          <w:color w:val="auto"/>
          <w:sz w:val="24"/>
        </w:rPr>
      </w:pPr>
      <w:r>
        <w:rPr>
          <w:color w:val="auto"/>
          <w:sz w:val="24"/>
        </w:rPr>
        <w:t>4．</w:t>
      </w:r>
      <w:r>
        <w:rPr>
          <w:rFonts w:hint="eastAsia" w:ascii="宋体" w:hAnsi="宋体"/>
          <w:color w:val="auto"/>
          <w:sz w:val="24"/>
        </w:rPr>
        <w:t>付款期间如因特殊情况需调整，由双方协商处理。</w:t>
      </w:r>
    </w:p>
    <w:p w14:paraId="53478F67">
      <w:pPr>
        <w:numPr>
          <w:ilvl w:val="0"/>
          <w:numId w:val="14"/>
        </w:numPr>
        <w:snapToGrid w:val="0"/>
        <w:spacing w:line="360" w:lineRule="auto"/>
        <w:ind w:firstLine="0"/>
        <w:jc w:val="left"/>
        <w:textAlignment w:val="auto"/>
        <w:rPr>
          <w:rFonts w:ascii="宋体" w:hAnsi="宋体"/>
          <w:color w:val="auto"/>
          <w:sz w:val="24"/>
        </w:rPr>
      </w:pPr>
      <w:r>
        <w:rPr>
          <w:color w:val="auto"/>
          <w:sz w:val="24"/>
        </w:rPr>
        <w:t>5．</w:t>
      </w:r>
      <w:r>
        <w:rPr>
          <w:rFonts w:hint="eastAsia" w:ascii="宋体" w:hAnsi="宋体" w:cs="宋体"/>
          <w:color w:val="auto"/>
          <w:kern w:val="2"/>
          <w:sz w:val="24"/>
          <w:szCs w:val="22"/>
        </w:rPr>
        <w:t>违约责任：</w:t>
      </w:r>
      <w:r>
        <w:rPr>
          <w:rFonts w:hint="eastAsia" w:cs="宋体" w:asciiTheme="minorEastAsia" w:hAnsiTheme="minorEastAsia" w:eastAsiaTheme="minorEastAsia"/>
          <w:color w:val="auto"/>
          <w:kern w:val="2"/>
          <w:sz w:val="24"/>
          <w:szCs w:val="22"/>
          <w:lang w:eastAsia="zh-CN"/>
        </w:rPr>
        <w:t>甲方</w:t>
      </w:r>
      <w:r>
        <w:rPr>
          <w:rFonts w:hint="eastAsia" w:cs="宋体" w:asciiTheme="minorEastAsia" w:hAnsiTheme="minorEastAsia" w:eastAsiaTheme="minorEastAsia"/>
          <w:color w:val="auto"/>
          <w:kern w:val="2"/>
          <w:sz w:val="24"/>
          <w:szCs w:val="22"/>
        </w:rPr>
        <w:t>逾期支付合同款项的，除应当支付合同款项外，还应当每日按“逾期金额×（合同订立时1年期贷款市场报价利率÷365天）”向</w:t>
      </w:r>
      <w:r>
        <w:rPr>
          <w:rFonts w:hint="eastAsia" w:cs="宋体" w:asciiTheme="minorEastAsia" w:hAnsiTheme="minorEastAsia" w:eastAsiaTheme="minorEastAsia"/>
          <w:color w:val="auto"/>
          <w:kern w:val="2"/>
          <w:sz w:val="24"/>
          <w:szCs w:val="22"/>
          <w:lang w:eastAsia="zh-CN"/>
        </w:rPr>
        <w:t>乙方</w:t>
      </w:r>
      <w:r>
        <w:rPr>
          <w:rFonts w:hint="eastAsia" w:cs="宋体" w:asciiTheme="minorEastAsia" w:hAnsiTheme="minorEastAsia" w:eastAsiaTheme="minorEastAsia"/>
          <w:color w:val="auto"/>
          <w:kern w:val="2"/>
          <w:sz w:val="24"/>
          <w:szCs w:val="22"/>
        </w:rPr>
        <w:t>偿付违约金，因</w:t>
      </w:r>
      <w:r>
        <w:rPr>
          <w:rFonts w:hint="eastAsia" w:cs="宋体" w:asciiTheme="minorEastAsia" w:hAnsiTheme="minorEastAsia" w:eastAsiaTheme="minorEastAsia"/>
          <w:color w:val="auto"/>
          <w:kern w:val="2"/>
          <w:sz w:val="24"/>
          <w:szCs w:val="22"/>
          <w:lang w:eastAsia="zh-CN"/>
        </w:rPr>
        <w:t>甲方</w:t>
      </w:r>
      <w:r>
        <w:rPr>
          <w:rFonts w:hint="eastAsia" w:cs="宋体" w:asciiTheme="minorEastAsia" w:hAnsiTheme="minorEastAsia" w:eastAsiaTheme="minorEastAsia"/>
          <w:color w:val="auto"/>
          <w:kern w:val="2"/>
          <w:sz w:val="24"/>
          <w:szCs w:val="22"/>
        </w:rPr>
        <w:t>使用的是财政资金，</w:t>
      </w:r>
      <w:r>
        <w:rPr>
          <w:rFonts w:hint="eastAsia" w:cs="宋体" w:asciiTheme="minorEastAsia" w:hAnsiTheme="minorEastAsia" w:eastAsiaTheme="minorEastAsia"/>
          <w:color w:val="auto"/>
          <w:kern w:val="2"/>
          <w:sz w:val="24"/>
          <w:szCs w:val="22"/>
          <w:lang w:eastAsia="zh-CN"/>
        </w:rPr>
        <w:t>甲方</w:t>
      </w:r>
      <w:r>
        <w:rPr>
          <w:rFonts w:hint="eastAsia" w:cs="宋体" w:asciiTheme="minorEastAsia" w:hAnsiTheme="minorEastAsia" w:eastAsiaTheme="minorEastAsia"/>
          <w:color w:val="auto"/>
          <w:kern w:val="2"/>
          <w:sz w:val="24"/>
          <w:szCs w:val="22"/>
        </w:rPr>
        <w:t>在规定时间向支付部门提出支付申请，如因财政支付部门审核时间导致无法按期支付的，</w:t>
      </w:r>
      <w:r>
        <w:rPr>
          <w:rFonts w:hint="eastAsia" w:cs="宋体" w:asciiTheme="minorEastAsia" w:hAnsiTheme="minorEastAsia" w:eastAsiaTheme="minorEastAsia"/>
          <w:color w:val="auto"/>
          <w:kern w:val="2"/>
          <w:sz w:val="24"/>
          <w:szCs w:val="22"/>
          <w:lang w:eastAsia="zh-CN"/>
        </w:rPr>
        <w:t>甲方</w:t>
      </w:r>
      <w:r>
        <w:rPr>
          <w:rFonts w:hint="eastAsia" w:cs="宋体" w:asciiTheme="minorEastAsia" w:hAnsiTheme="minorEastAsia" w:eastAsiaTheme="minorEastAsia"/>
          <w:color w:val="auto"/>
          <w:kern w:val="2"/>
          <w:sz w:val="24"/>
          <w:szCs w:val="22"/>
        </w:rPr>
        <w:t>不承担违约责任。</w:t>
      </w:r>
      <w:r>
        <w:rPr>
          <w:rFonts w:hint="eastAsia" w:cs="宋体" w:asciiTheme="minorEastAsia" w:hAnsiTheme="minorEastAsia" w:eastAsiaTheme="minorEastAsia"/>
          <w:color w:val="auto"/>
          <w:kern w:val="2"/>
          <w:sz w:val="24"/>
          <w:szCs w:val="22"/>
          <w:lang w:val="en-US" w:eastAsia="zh-CN"/>
        </w:rPr>
        <w:t>且如</w:t>
      </w:r>
      <w:r>
        <w:rPr>
          <w:rFonts w:hint="eastAsia" w:cs="宋体" w:asciiTheme="minorEastAsia" w:hAnsiTheme="minorEastAsia" w:eastAsiaTheme="minorEastAsia"/>
          <w:color w:val="auto"/>
          <w:kern w:val="2"/>
          <w:sz w:val="24"/>
          <w:szCs w:val="22"/>
        </w:rPr>
        <w:t>因</w:t>
      </w:r>
      <w:r>
        <w:rPr>
          <w:rFonts w:hint="eastAsia" w:cs="宋体" w:asciiTheme="minorEastAsia" w:hAnsiTheme="minorEastAsia" w:eastAsiaTheme="minorEastAsia"/>
          <w:color w:val="auto"/>
          <w:kern w:val="2"/>
          <w:sz w:val="24"/>
          <w:szCs w:val="22"/>
          <w:lang w:eastAsia="zh-CN"/>
        </w:rPr>
        <w:t>乙方</w:t>
      </w:r>
      <w:r>
        <w:rPr>
          <w:rFonts w:hint="eastAsia" w:cs="宋体" w:asciiTheme="minorEastAsia" w:hAnsiTheme="minorEastAsia" w:eastAsiaTheme="minorEastAsia"/>
          <w:color w:val="auto"/>
          <w:kern w:val="2"/>
          <w:sz w:val="24"/>
          <w:szCs w:val="22"/>
        </w:rPr>
        <w:t>自身原因导致无法及时支付</w:t>
      </w:r>
      <w:r>
        <w:rPr>
          <w:rFonts w:hint="eastAsia" w:cs="宋体" w:asciiTheme="minorEastAsia" w:hAnsiTheme="minorEastAsia" w:eastAsiaTheme="minorEastAsia"/>
          <w:color w:val="auto"/>
          <w:kern w:val="2"/>
          <w:sz w:val="24"/>
          <w:szCs w:val="22"/>
          <w:lang w:eastAsia="zh-CN"/>
        </w:rPr>
        <w:t>，</w:t>
      </w:r>
      <w:r>
        <w:rPr>
          <w:rFonts w:hint="eastAsia" w:cs="宋体" w:asciiTheme="minorEastAsia" w:hAnsiTheme="minorEastAsia" w:eastAsiaTheme="minorEastAsia"/>
          <w:color w:val="auto"/>
          <w:kern w:val="2"/>
          <w:sz w:val="24"/>
          <w:szCs w:val="22"/>
          <w:lang w:val="en-US" w:eastAsia="zh-CN"/>
        </w:rPr>
        <w:t>亦非</w:t>
      </w:r>
      <w:r>
        <w:rPr>
          <w:rFonts w:hint="eastAsia" w:cs="宋体" w:asciiTheme="minorEastAsia" w:hAnsiTheme="minorEastAsia" w:eastAsiaTheme="minorEastAsia"/>
          <w:color w:val="auto"/>
          <w:kern w:val="2"/>
          <w:sz w:val="24"/>
          <w:szCs w:val="22"/>
          <w:lang w:eastAsia="zh-CN"/>
        </w:rPr>
        <w:t>甲方</w:t>
      </w:r>
      <w:r>
        <w:rPr>
          <w:rFonts w:hint="eastAsia" w:cs="宋体" w:asciiTheme="minorEastAsia" w:hAnsiTheme="minorEastAsia" w:eastAsiaTheme="minorEastAsia"/>
          <w:color w:val="auto"/>
          <w:kern w:val="2"/>
          <w:sz w:val="24"/>
          <w:szCs w:val="22"/>
          <w:lang w:val="en-US" w:eastAsia="zh-CN"/>
        </w:rPr>
        <w:t>违约情形</w:t>
      </w:r>
      <w:r>
        <w:rPr>
          <w:rFonts w:hint="eastAsia" w:cs="宋体" w:asciiTheme="minorEastAsia" w:hAnsiTheme="minorEastAsia" w:eastAsiaTheme="minorEastAsia"/>
          <w:color w:val="auto"/>
          <w:kern w:val="2"/>
          <w:sz w:val="24"/>
          <w:szCs w:val="22"/>
        </w:rPr>
        <w:t>。</w:t>
      </w:r>
    </w:p>
    <w:p w14:paraId="711E8DFF">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color w:val="auto"/>
          <w:sz w:val="24"/>
        </w:rPr>
      </w:pPr>
      <w:r>
        <w:rPr>
          <w:rFonts w:hint="eastAsia" w:ascii="宋体" w:hAnsi="宋体"/>
          <w:b/>
          <w:color w:val="auto"/>
          <w:sz w:val="24"/>
        </w:rPr>
        <w:t>履约保证金</w:t>
      </w:r>
    </w:p>
    <w:p w14:paraId="24948CA5">
      <w:pPr>
        <w:keepNext w:val="0"/>
        <w:keepLines w:val="0"/>
        <w:pageBreakBefore w:val="0"/>
        <w:kinsoku/>
        <w:wordWrap/>
        <w:overflowPunct/>
        <w:topLinePunct w:val="0"/>
        <w:bidi w:val="0"/>
        <w:adjustRightInd w:val="0"/>
        <w:snapToGrid w:val="0"/>
        <w:spacing w:line="440" w:lineRule="exact"/>
        <w:ind w:left="425" w:hanging="283"/>
        <w:textAlignment w:val="baseline"/>
        <w:rPr>
          <w:rFonts w:hint="eastAsia" w:ascii="宋体" w:hAnsi="宋体"/>
          <w:color w:val="auto"/>
          <w:sz w:val="24"/>
        </w:rPr>
      </w:pPr>
      <w:r>
        <w:rPr>
          <w:rFonts w:ascii="宋体" w:hAnsi="宋体"/>
          <w:color w:val="auto"/>
          <w:sz w:val="24"/>
        </w:rPr>
        <w:t>1.</w:t>
      </w:r>
      <w:r>
        <w:rPr>
          <w:rFonts w:hint="eastAsia" w:ascii="宋体" w:hAnsi="宋体"/>
          <w:color w:val="auto"/>
          <w:sz w:val="24"/>
        </w:rPr>
        <w:t>提交说明</w:t>
      </w:r>
    </w:p>
    <w:p w14:paraId="4C466B41">
      <w:pPr>
        <w:keepNext w:val="0"/>
        <w:keepLines w:val="0"/>
        <w:pageBreakBefore w:val="0"/>
        <w:kinsoku/>
        <w:wordWrap/>
        <w:overflowPunct/>
        <w:topLinePunct w:val="0"/>
        <w:bidi w:val="0"/>
        <w:adjustRightInd w:val="0"/>
        <w:snapToGrid w:val="0"/>
        <w:spacing w:line="440" w:lineRule="exact"/>
        <w:ind w:left="840" w:hanging="698"/>
        <w:textAlignment w:val="baseline"/>
        <w:rPr>
          <w:rFonts w:hint="eastAsia" w:ascii="宋体" w:hAnsi="宋体"/>
          <w:color w:val="auto"/>
          <w:sz w:val="24"/>
        </w:rPr>
      </w:pPr>
      <w:r>
        <w:rPr>
          <w:rFonts w:hint="eastAsia" w:ascii="宋体" w:hAnsi="宋体"/>
          <w:color w:val="auto"/>
          <w:sz w:val="24"/>
        </w:rPr>
        <w:t>（1）时间：合同签订前；</w:t>
      </w:r>
    </w:p>
    <w:p w14:paraId="47D8E672">
      <w:pPr>
        <w:keepNext w:val="0"/>
        <w:keepLines w:val="0"/>
        <w:pageBreakBefore w:val="0"/>
        <w:kinsoku/>
        <w:wordWrap/>
        <w:overflowPunct/>
        <w:topLinePunct w:val="0"/>
        <w:bidi w:val="0"/>
        <w:adjustRightInd w:val="0"/>
        <w:snapToGrid w:val="0"/>
        <w:spacing w:line="440" w:lineRule="exact"/>
        <w:ind w:left="840" w:hanging="698"/>
        <w:textAlignment w:val="baseline"/>
        <w:rPr>
          <w:rFonts w:hint="eastAsia" w:ascii="宋体" w:hAnsi="宋体"/>
          <w:color w:val="auto"/>
          <w:sz w:val="24"/>
        </w:rPr>
      </w:pPr>
      <w:r>
        <w:rPr>
          <w:rFonts w:hint="eastAsia" w:ascii="宋体" w:hAnsi="宋体"/>
          <w:color w:val="auto"/>
          <w:sz w:val="24"/>
        </w:rPr>
        <w:t>（2）金额：合同（成交）金额的</w:t>
      </w:r>
      <w:r>
        <w:rPr>
          <w:rFonts w:hint="eastAsia" w:ascii="宋体" w:hAnsi="宋体"/>
          <w:color w:val="auto"/>
          <w:sz w:val="24"/>
          <w:u w:val="single"/>
          <w:lang w:val="en-US" w:eastAsia="zh-CN"/>
        </w:rPr>
        <w:t>5</w:t>
      </w:r>
      <w:r>
        <w:rPr>
          <w:rFonts w:hint="eastAsia" w:ascii="宋体" w:hAnsi="宋体"/>
          <w:color w:val="auto"/>
          <w:sz w:val="24"/>
          <w:u w:val="single"/>
        </w:rPr>
        <w:t>%</w:t>
      </w:r>
      <w:r>
        <w:rPr>
          <w:rFonts w:hint="eastAsia" w:ascii="宋体" w:hAnsi="宋体"/>
          <w:color w:val="auto"/>
          <w:sz w:val="24"/>
        </w:rPr>
        <w:t>；</w:t>
      </w:r>
    </w:p>
    <w:p w14:paraId="5DD7C094">
      <w:pPr>
        <w:keepNext w:val="0"/>
        <w:keepLines w:val="0"/>
        <w:pageBreakBefore w:val="0"/>
        <w:kinsoku/>
        <w:wordWrap/>
        <w:overflowPunct/>
        <w:topLinePunct w:val="0"/>
        <w:bidi w:val="0"/>
        <w:adjustRightInd w:val="0"/>
        <w:snapToGrid w:val="0"/>
        <w:spacing w:line="440" w:lineRule="exact"/>
        <w:ind w:left="840" w:hanging="698"/>
        <w:textAlignment w:val="baseline"/>
        <w:rPr>
          <w:rFonts w:hint="eastAsia" w:ascii="宋体" w:hAnsi="宋体"/>
          <w:color w:val="auto"/>
          <w:sz w:val="24"/>
        </w:rPr>
      </w:pPr>
      <w:r>
        <w:rPr>
          <w:rFonts w:hint="eastAsia" w:ascii="宋体" w:hAnsi="宋体"/>
          <w:color w:val="auto"/>
          <w:sz w:val="24"/>
        </w:rPr>
        <w:t>（3）方式：转账、支票、汇票、本票、保函；</w:t>
      </w:r>
    </w:p>
    <w:p w14:paraId="5B36C3CF">
      <w:pPr>
        <w:keepNext w:val="0"/>
        <w:keepLines w:val="0"/>
        <w:pageBreakBefore w:val="0"/>
        <w:kinsoku/>
        <w:wordWrap/>
        <w:overflowPunct/>
        <w:topLinePunct w:val="0"/>
        <w:bidi w:val="0"/>
        <w:adjustRightInd w:val="0"/>
        <w:snapToGrid w:val="0"/>
        <w:spacing w:line="440" w:lineRule="exact"/>
        <w:ind w:left="425" w:hanging="283"/>
        <w:textAlignment w:val="baseline"/>
        <w:rPr>
          <w:rFonts w:hint="eastAsia" w:ascii="宋体" w:hAnsi="宋体"/>
          <w:color w:val="auto"/>
          <w:sz w:val="24"/>
        </w:rPr>
      </w:pPr>
      <w:r>
        <w:rPr>
          <w:rFonts w:ascii="宋体" w:hAnsi="宋体"/>
          <w:color w:val="auto"/>
          <w:sz w:val="24"/>
        </w:rPr>
        <w:t>2.</w:t>
      </w:r>
      <w:r>
        <w:rPr>
          <w:rFonts w:hint="eastAsia" w:ascii="宋体" w:hAnsi="宋体"/>
          <w:color w:val="auto"/>
          <w:sz w:val="24"/>
        </w:rPr>
        <w:t>退还说明：</w:t>
      </w:r>
    </w:p>
    <w:p w14:paraId="0B64170D">
      <w:pPr>
        <w:keepNext w:val="0"/>
        <w:keepLines w:val="0"/>
        <w:pageBreakBefore w:val="0"/>
        <w:numPr>
          <w:ilvl w:val="0"/>
          <w:numId w:val="0"/>
        </w:numPr>
        <w:kinsoku/>
        <w:wordWrap/>
        <w:overflowPunct/>
        <w:topLinePunct w:val="0"/>
        <w:bidi w:val="0"/>
        <w:adjustRightInd w:val="0"/>
        <w:snapToGrid w:val="0"/>
        <w:spacing w:line="440" w:lineRule="exact"/>
        <w:ind w:left="840" w:leftChars="0" w:hanging="698" w:firstLineChars="0"/>
        <w:textAlignment w:val="baseline"/>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（1）</w:t>
      </w:r>
      <w:r>
        <w:rPr>
          <w:rFonts w:hint="eastAsia" w:cs="宋体" w:asciiTheme="minorEastAsia" w:hAnsiTheme="minorEastAsia" w:eastAsiaTheme="minorEastAsia"/>
          <w:color w:val="auto"/>
          <w:sz w:val="24"/>
        </w:rPr>
        <w:t>时间、方式和条件：</w:t>
      </w:r>
      <w:r>
        <w:rPr>
          <w:rFonts w:hint="eastAsia" w:cs="宋体" w:asciiTheme="minorEastAsia" w:hAnsiTheme="minorEastAsia" w:eastAsiaTheme="minorEastAsia"/>
          <w:color w:val="auto"/>
          <w:sz w:val="24"/>
          <w:lang w:eastAsia="zh-CN"/>
        </w:rPr>
        <w:t>乙方</w:t>
      </w:r>
      <w:r>
        <w:rPr>
          <w:rFonts w:hint="eastAsia" w:cs="宋体" w:asciiTheme="minorEastAsia" w:hAnsiTheme="minorEastAsia" w:eastAsiaTheme="minorEastAsia"/>
          <w:color w:val="auto"/>
          <w:sz w:val="24"/>
          <w:lang w:eastAsia="zh-TW"/>
        </w:rPr>
        <w:t>履行完成合同约定权利义务事项</w:t>
      </w:r>
      <w:r>
        <w:rPr>
          <w:rFonts w:hint="eastAsia" w:cs="宋体" w:asciiTheme="minorEastAsia" w:hAnsiTheme="minorEastAsia" w:eastAsiaTheme="minorEastAsia"/>
          <w:color w:val="auto"/>
          <w:sz w:val="24"/>
          <w:lang w:eastAsia="zh-CN"/>
        </w:rPr>
        <w:t>，且无存在需要扣减保证金的情况下在合同期满之日起</w:t>
      </w:r>
      <w:r>
        <w:rPr>
          <w:rFonts w:hint="eastAsia" w:cs="宋体" w:asciiTheme="minorEastAsia" w:hAnsiTheme="minorEastAsia" w:eastAsiaTheme="minorEastAsia"/>
          <w:color w:val="auto"/>
          <w:sz w:val="24"/>
          <w:u w:val="single"/>
          <w:lang w:eastAsia="zh-CN"/>
        </w:rPr>
        <w:t>15个工作日</w:t>
      </w:r>
      <w:r>
        <w:rPr>
          <w:rFonts w:hint="eastAsia" w:cs="宋体" w:asciiTheme="minorEastAsia" w:hAnsiTheme="minorEastAsia" w:eastAsiaTheme="minorEastAsia"/>
          <w:color w:val="auto"/>
          <w:sz w:val="24"/>
          <w:lang w:eastAsia="zh-CN"/>
        </w:rPr>
        <w:t>内退还或在合同期满之日起</w:t>
      </w:r>
      <w:r>
        <w:rPr>
          <w:rFonts w:hint="eastAsia" w:cs="宋体" w:asciiTheme="minorEastAsia" w:hAnsiTheme="minorEastAsia" w:eastAsiaTheme="minorEastAsia"/>
          <w:color w:val="auto"/>
          <w:sz w:val="24"/>
          <w:u w:val="single"/>
          <w:lang w:eastAsia="zh-CN"/>
        </w:rPr>
        <w:t>15个工作日</w:t>
      </w:r>
      <w:r>
        <w:rPr>
          <w:rFonts w:hint="eastAsia" w:cs="宋体" w:asciiTheme="minorEastAsia" w:hAnsiTheme="minorEastAsia" w:eastAsiaTheme="minorEastAsia"/>
          <w:color w:val="auto"/>
          <w:sz w:val="24"/>
          <w:lang w:eastAsia="zh-CN"/>
        </w:rPr>
        <w:t>内失效。履约保证金为无息退还。</w:t>
      </w:r>
    </w:p>
    <w:p w14:paraId="5C4FF7AB">
      <w:pPr>
        <w:keepNext w:val="0"/>
        <w:keepLines w:val="0"/>
        <w:pageBreakBefore w:val="0"/>
        <w:numPr>
          <w:ilvl w:val="0"/>
          <w:numId w:val="0"/>
        </w:numPr>
        <w:kinsoku/>
        <w:wordWrap/>
        <w:overflowPunct/>
        <w:topLinePunct w:val="0"/>
        <w:bidi w:val="0"/>
        <w:adjustRightInd w:val="0"/>
        <w:snapToGrid w:val="0"/>
        <w:spacing w:line="440" w:lineRule="exact"/>
        <w:ind w:left="840" w:leftChars="0" w:hanging="698" w:firstLineChars="0"/>
        <w:textAlignment w:val="baseline"/>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（2）</w:t>
      </w:r>
      <w:r>
        <w:rPr>
          <w:rFonts w:hint="eastAsia" w:cs="宋体" w:asciiTheme="minorEastAsia" w:hAnsiTheme="minorEastAsia" w:eastAsiaTheme="minorEastAsia"/>
          <w:color w:val="auto"/>
          <w:sz w:val="24"/>
        </w:rPr>
        <w:t>违约责任：</w:t>
      </w:r>
      <w:r>
        <w:rPr>
          <w:rFonts w:hint="eastAsia" w:cs="宋体" w:asciiTheme="minorEastAsia" w:hAnsiTheme="minorEastAsia" w:eastAsiaTheme="minorEastAsia"/>
          <w:color w:val="auto"/>
          <w:sz w:val="24"/>
          <w:lang w:eastAsia="zh-CN"/>
        </w:rPr>
        <w:t>甲方</w:t>
      </w:r>
      <w:r>
        <w:rPr>
          <w:rFonts w:hint="eastAsia" w:cs="宋体" w:asciiTheme="minorEastAsia" w:hAnsiTheme="minorEastAsia" w:eastAsiaTheme="minorEastAsia"/>
          <w:color w:val="auto"/>
          <w:sz w:val="24"/>
          <w:lang w:eastAsia="zh-TW"/>
        </w:rPr>
        <w:t>逾期退还履约保证金的，除应当退还履约保证金本金外，</w:t>
      </w:r>
      <w:r>
        <w:rPr>
          <w:rFonts w:hint="eastAsia" w:ascii="宋体" w:hAnsi="宋体" w:cs="宋体"/>
          <w:color w:val="auto"/>
          <w:sz w:val="24"/>
          <w:lang w:eastAsia="zh-TW"/>
        </w:rPr>
        <w:t>还应当每日按“逾期金额×（合同订立时1年期贷款市场报价利率÷365天）”</w:t>
      </w:r>
      <w:r>
        <w:rPr>
          <w:rFonts w:hint="eastAsia" w:ascii="宋体" w:hAnsi="宋体" w:cs="宋体"/>
          <w:color w:val="auto"/>
          <w:sz w:val="24"/>
        </w:rPr>
        <w:t>向</w:t>
      </w:r>
      <w:r>
        <w:rPr>
          <w:rFonts w:hint="eastAsia" w:ascii="宋体" w:hAnsi="宋体" w:cs="宋体"/>
          <w:color w:val="auto"/>
          <w:sz w:val="24"/>
          <w:lang w:eastAsia="zh-CN"/>
        </w:rPr>
        <w:t>乙方</w:t>
      </w:r>
      <w:r>
        <w:rPr>
          <w:rFonts w:hint="eastAsia" w:ascii="宋体" w:hAnsi="宋体" w:cs="宋体"/>
          <w:color w:val="auto"/>
          <w:sz w:val="24"/>
          <w:lang w:eastAsia="zh-TW"/>
        </w:rPr>
        <w:t>偿付违约金</w:t>
      </w:r>
      <w:r>
        <w:rPr>
          <w:rFonts w:hint="eastAsia" w:cs="宋体" w:asciiTheme="minorEastAsia" w:hAnsiTheme="minorEastAsia" w:eastAsiaTheme="minorEastAsia"/>
          <w:color w:val="auto"/>
          <w:sz w:val="24"/>
          <w:lang w:eastAsia="zh-TW"/>
        </w:rPr>
        <w:t>，但因</w:t>
      </w:r>
      <w:r>
        <w:rPr>
          <w:rFonts w:hint="eastAsia" w:cs="宋体" w:asciiTheme="minorEastAsia" w:hAnsiTheme="minorEastAsia" w:eastAsiaTheme="minorEastAsia"/>
          <w:color w:val="auto"/>
          <w:sz w:val="24"/>
          <w:lang w:eastAsia="zh-CN"/>
        </w:rPr>
        <w:t>乙方</w:t>
      </w:r>
      <w:r>
        <w:rPr>
          <w:rFonts w:hint="eastAsia" w:cs="宋体" w:asciiTheme="minorEastAsia" w:hAnsiTheme="minorEastAsia" w:eastAsiaTheme="minorEastAsia"/>
          <w:color w:val="auto"/>
          <w:sz w:val="24"/>
          <w:lang w:eastAsia="zh-TW"/>
        </w:rPr>
        <w:t>自身原因导致无法及时退还的除外。</w:t>
      </w:r>
    </w:p>
    <w:p w14:paraId="53093F89">
      <w:pPr>
        <w:keepNext w:val="0"/>
        <w:keepLines w:val="0"/>
        <w:pageBreakBefore w:val="0"/>
        <w:numPr>
          <w:ilvl w:val="0"/>
          <w:numId w:val="0"/>
        </w:numPr>
        <w:kinsoku/>
        <w:wordWrap/>
        <w:overflowPunct/>
        <w:topLinePunct w:val="0"/>
        <w:bidi w:val="0"/>
        <w:adjustRightInd w:val="0"/>
        <w:snapToGrid w:val="0"/>
        <w:spacing w:line="440" w:lineRule="exact"/>
        <w:ind w:left="840" w:leftChars="0" w:hanging="698" w:firstLineChars="0"/>
        <w:textAlignment w:val="baseline"/>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（3）</w:t>
      </w:r>
      <w:r>
        <w:rPr>
          <w:rFonts w:hint="eastAsia" w:cs="宋体" w:asciiTheme="minorEastAsia" w:hAnsiTheme="minorEastAsia" w:eastAsiaTheme="minorEastAsia"/>
          <w:color w:val="auto"/>
          <w:sz w:val="24"/>
          <w:lang w:eastAsia="zh-CN"/>
        </w:rPr>
        <w:t>乙方</w:t>
      </w:r>
      <w:r>
        <w:rPr>
          <w:rFonts w:hint="eastAsia" w:cs="宋体" w:asciiTheme="minorEastAsia" w:hAnsiTheme="minorEastAsia" w:eastAsiaTheme="minorEastAsia"/>
          <w:color w:val="auto"/>
          <w:sz w:val="24"/>
          <w:lang w:eastAsia="zh-TW"/>
        </w:rPr>
        <w:t>违反合同及其附件约定的任何义务，</w:t>
      </w:r>
      <w:r>
        <w:rPr>
          <w:rFonts w:hint="eastAsia" w:cs="宋体" w:asciiTheme="minorEastAsia" w:hAnsiTheme="minorEastAsia" w:eastAsiaTheme="minorEastAsia"/>
          <w:color w:val="auto"/>
          <w:sz w:val="24"/>
          <w:lang w:eastAsia="zh-CN"/>
        </w:rPr>
        <w:t>甲方</w:t>
      </w:r>
      <w:r>
        <w:rPr>
          <w:rFonts w:hint="eastAsia" w:cs="宋体" w:asciiTheme="minorEastAsia" w:hAnsiTheme="minorEastAsia" w:eastAsiaTheme="minorEastAsia"/>
          <w:color w:val="auto"/>
          <w:sz w:val="24"/>
          <w:lang w:eastAsia="zh-TW"/>
        </w:rPr>
        <w:t>有权在履约保证金中直接扣除</w:t>
      </w:r>
      <w:r>
        <w:rPr>
          <w:rFonts w:hint="eastAsia" w:cs="宋体" w:asciiTheme="minorEastAsia" w:hAnsiTheme="minorEastAsia" w:eastAsiaTheme="minorEastAsia"/>
          <w:color w:val="auto"/>
          <w:sz w:val="24"/>
          <w:lang w:eastAsia="zh-CN"/>
        </w:rPr>
        <w:t>乙方</w:t>
      </w:r>
      <w:r>
        <w:rPr>
          <w:rFonts w:hint="eastAsia" w:cs="宋体" w:asciiTheme="minorEastAsia" w:hAnsiTheme="minorEastAsia" w:eastAsiaTheme="minorEastAsia"/>
          <w:color w:val="auto"/>
          <w:sz w:val="24"/>
          <w:lang w:eastAsia="zh-TW"/>
        </w:rPr>
        <w:t>应向</w:t>
      </w:r>
      <w:r>
        <w:rPr>
          <w:rFonts w:hint="eastAsia" w:cs="宋体" w:asciiTheme="minorEastAsia" w:hAnsiTheme="minorEastAsia" w:eastAsiaTheme="minorEastAsia"/>
          <w:color w:val="auto"/>
          <w:sz w:val="24"/>
          <w:lang w:eastAsia="zh-CN"/>
        </w:rPr>
        <w:t>甲方</w:t>
      </w:r>
      <w:r>
        <w:rPr>
          <w:rFonts w:hint="eastAsia" w:cs="宋体" w:asciiTheme="minorEastAsia" w:hAnsiTheme="minorEastAsia" w:eastAsiaTheme="minorEastAsia"/>
          <w:color w:val="auto"/>
          <w:sz w:val="24"/>
          <w:lang w:eastAsia="zh-TW"/>
        </w:rPr>
        <w:t>支付的违约金或损失赔偿额，如有不足的，</w:t>
      </w:r>
      <w:r>
        <w:rPr>
          <w:rFonts w:hint="eastAsia" w:cs="宋体" w:asciiTheme="minorEastAsia" w:hAnsiTheme="minorEastAsia" w:eastAsiaTheme="minorEastAsia"/>
          <w:color w:val="auto"/>
          <w:sz w:val="24"/>
          <w:lang w:eastAsia="zh-CN"/>
        </w:rPr>
        <w:t>乙方</w:t>
      </w:r>
      <w:r>
        <w:rPr>
          <w:rFonts w:hint="eastAsia" w:cs="宋体" w:asciiTheme="minorEastAsia" w:hAnsiTheme="minorEastAsia" w:eastAsiaTheme="minorEastAsia"/>
          <w:color w:val="auto"/>
          <w:sz w:val="24"/>
          <w:lang w:eastAsia="zh-TW"/>
        </w:rPr>
        <w:t>应对超过的部分予以赔偿。扣除后，如合同仍继续履行的，乙方应在扣除之日起3个工作日内向甲方补足履约保证金，否则逾期补足的差额部分乙方须按日息千分之三的标准向甲方支付逾期费用，且甲方有权解除合同。</w:t>
      </w:r>
    </w:p>
    <w:p w14:paraId="0047CBAF">
      <w:pPr>
        <w:keepNext w:val="0"/>
        <w:keepLines w:val="0"/>
        <w:pageBreakBefore w:val="0"/>
        <w:numPr>
          <w:ilvl w:val="0"/>
          <w:numId w:val="0"/>
        </w:numPr>
        <w:kinsoku/>
        <w:wordWrap/>
        <w:overflowPunct/>
        <w:topLinePunct w:val="0"/>
        <w:bidi w:val="0"/>
        <w:adjustRightInd w:val="0"/>
        <w:snapToGrid w:val="0"/>
        <w:spacing w:line="440" w:lineRule="exact"/>
        <w:ind w:left="840" w:leftChars="0" w:hanging="698" w:firstLineChars="0"/>
        <w:textAlignment w:val="baseline"/>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CN" w:bidi="ar-SA"/>
        </w:rPr>
        <w:t>3.</w:t>
      </w:r>
      <w:r>
        <w:rPr>
          <w:rFonts w:hint="eastAsia" w:cs="宋体" w:asciiTheme="minorEastAsia" w:hAnsiTheme="minorEastAsia" w:eastAsiaTheme="minorEastAsia"/>
          <w:color w:val="auto"/>
          <w:sz w:val="24"/>
          <w:lang w:eastAsia="zh-TW"/>
        </w:rPr>
        <w:t>如乙方有如下违约情况，甲方将没收其履约保证金，并有权追究乙方的损害赔偿责任,该损害包括但不限于给甲方造成的财产损失与声誉损失、律师费、调查取证费、诉讼费</w:t>
      </w:r>
      <w:r>
        <w:rPr>
          <w:rFonts w:hint="eastAsia" w:cs="宋体" w:asciiTheme="minorEastAsia" w:hAnsiTheme="minorEastAsia" w:eastAsiaTheme="minorEastAsia"/>
          <w:color w:val="auto"/>
          <w:sz w:val="24"/>
          <w:lang w:val="en-US" w:eastAsia="zh-CN"/>
        </w:rPr>
        <w:t>等</w:t>
      </w:r>
      <w:r>
        <w:rPr>
          <w:rFonts w:hint="eastAsia" w:cs="宋体" w:asciiTheme="minorEastAsia" w:hAnsiTheme="minorEastAsia" w:eastAsiaTheme="minorEastAsia"/>
          <w:color w:val="auto"/>
          <w:sz w:val="24"/>
          <w:lang w:eastAsia="zh-TW"/>
        </w:rPr>
        <w:t>。</w:t>
      </w:r>
    </w:p>
    <w:p w14:paraId="1DD2CD86">
      <w:pPr>
        <w:keepNext w:val="0"/>
        <w:keepLines w:val="0"/>
        <w:pageBreakBefore w:val="0"/>
        <w:numPr>
          <w:ilvl w:val="0"/>
          <w:numId w:val="0"/>
        </w:numPr>
        <w:kinsoku/>
        <w:wordWrap/>
        <w:overflowPunct/>
        <w:topLinePunct w:val="0"/>
        <w:bidi w:val="0"/>
        <w:adjustRightInd w:val="0"/>
        <w:snapToGrid w:val="0"/>
        <w:spacing w:line="440" w:lineRule="exact"/>
        <w:ind w:left="840" w:leftChars="0" w:hanging="698" w:firstLineChars="0"/>
        <w:textAlignment w:val="baseline"/>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w:t>
      </w:r>
      <w:r>
        <w:rPr>
          <w:rFonts w:hint="eastAsia" w:cs="宋体" w:asciiTheme="minorEastAsia" w:hAnsiTheme="minorEastAsia" w:eastAsiaTheme="minorEastAsia"/>
          <w:color w:val="auto"/>
          <w:sz w:val="24"/>
          <w:lang w:eastAsia="zh-TW"/>
        </w:rPr>
        <w:t xml:space="preserve">1）乙方单方面中断合同； </w:t>
      </w:r>
    </w:p>
    <w:p w14:paraId="3FD829B1">
      <w:pPr>
        <w:keepNext w:val="0"/>
        <w:keepLines w:val="0"/>
        <w:pageBreakBefore w:val="0"/>
        <w:numPr>
          <w:ilvl w:val="0"/>
          <w:numId w:val="0"/>
        </w:numPr>
        <w:kinsoku/>
        <w:wordWrap/>
        <w:overflowPunct/>
        <w:topLinePunct w:val="0"/>
        <w:bidi w:val="0"/>
        <w:adjustRightInd w:val="0"/>
        <w:snapToGrid w:val="0"/>
        <w:spacing w:line="440" w:lineRule="exact"/>
        <w:ind w:left="840" w:leftChars="0" w:hanging="698" w:firstLineChars="0"/>
        <w:textAlignment w:val="baseline"/>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w:t>
      </w:r>
      <w:r>
        <w:rPr>
          <w:rFonts w:hint="eastAsia" w:cs="宋体" w:asciiTheme="minorEastAsia" w:hAnsiTheme="minorEastAsia" w:eastAsiaTheme="minorEastAsia"/>
          <w:color w:val="auto"/>
          <w:sz w:val="24"/>
          <w:lang w:eastAsia="zh-TW"/>
        </w:rPr>
        <w:t>2）合同执行期间，乙方没有履行合同条款的内容，且拒不按照甲方的要求进行及时整改，导致甲方终止合同</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eastAsia="zh-TW"/>
        </w:rPr>
        <w:t xml:space="preserve"> </w:t>
      </w:r>
    </w:p>
    <w:p w14:paraId="22D382C2">
      <w:pPr>
        <w:keepNext w:val="0"/>
        <w:keepLines w:val="0"/>
        <w:pageBreakBefore w:val="0"/>
        <w:numPr>
          <w:ilvl w:val="0"/>
          <w:numId w:val="0"/>
        </w:numPr>
        <w:kinsoku/>
        <w:wordWrap/>
        <w:overflowPunct/>
        <w:topLinePunct w:val="0"/>
        <w:bidi w:val="0"/>
        <w:adjustRightInd w:val="0"/>
        <w:snapToGrid w:val="0"/>
        <w:spacing w:line="440" w:lineRule="exact"/>
        <w:ind w:left="840" w:leftChars="0" w:hanging="698" w:firstLineChars="0"/>
        <w:textAlignment w:val="baseline"/>
        <w:rPr>
          <w:rFonts w:hint="default"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乙方未遵守保密约定，导致甲方机密或甲方职工个人信息泄密的。</w:t>
      </w:r>
    </w:p>
    <w:p w14:paraId="23ADDD2A">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color w:val="auto"/>
          <w:sz w:val="24"/>
        </w:rPr>
      </w:pPr>
      <w:r>
        <w:rPr>
          <w:rFonts w:hint="eastAsia" w:ascii="宋体" w:hAnsi="宋体"/>
          <w:b/>
          <w:color w:val="auto"/>
          <w:sz w:val="24"/>
        </w:rPr>
        <w:t>其他要求</w:t>
      </w:r>
    </w:p>
    <w:p w14:paraId="69A4BF5A">
      <w:pPr>
        <w:keepNext w:val="0"/>
        <w:keepLines w:val="0"/>
        <w:pageBreakBefore w:val="0"/>
        <w:kinsoku/>
        <w:wordWrap/>
        <w:overflowPunct/>
        <w:topLinePunct w:val="0"/>
        <w:bidi w:val="0"/>
        <w:adjustRightInd w:val="0"/>
        <w:snapToGrid w:val="0"/>
        <w:spacing w:line="440" w:lineRule="exact"/>
        <w:ind w:firstLine="400"/>
        <w:textAlignment w:val="baseline"/>
        <w:rPr>
          <w:rFonts w:ascii="宋体" w:hAnsi="宋体"/>
          <w:sz w:val="24"/>
        </w:rPr>
      </w:pPr>
      <w:r>
        <w:rPr>
          <w:sz w:val="24"/>
        </w:rPr>
        <w:t>1．</w:t>
      </w:r>
      <w:r>
        <w:rPr>
          <w:rFonts w:hint="eastAsia" w:ascii="宋体" w:hAnsi="宋体"/>
          <w:sz w:val="24"/>
        </w:rPr>
        <w:t>乙方不得将项目转让或分包给他人，否则甲方有权单方终止合同,由此产生的一切经济损失由乙方自行承担。</w:t>
      </w:r>
    </w:p>
    <w:p w14:paraId="03060713">
      <w:pPr>
        <w:keepNext w:val="0"/>
        <w:keepLines w:val="0"/>
        <w:pageBreakBefore w:val="0"/>
        <w:kinsoku/>
        <w:wordWrap/>
        <w:overflowPunct/>
        <w:topLinePunct w:val="0"/>
        <w:bidi w:val="0"/>
        <w:adjustRightInd w:val="0"/>
        <w:snapToGrid w:val="0"/>
        <w:spacing w:line="440" w:lineRule="exact"/>
        <w:ind w:firstLine="400"/>
        <w:textAlignment w:val="baseline"/>
        <w:rPr>
          <w:rFonts w:ascii="宋体" w:hAnsi="宋体" w:cs="宋体"/>
          <w:sz w:val="24"/>
        </w:rPr>
      </w:pPr>
      <w:r>
        <w:rPr>
          <w:sz w:val="24"/>
        </w:rPr>
        <w:t>2．</w:t>
      </w:r>
      <w:r>
        <w:rPr>
          <w:rFonts w:hint="eastAsia" w:ascii="宋体" w:hAnsi="宋体"/>
          <w:sz w:val="24"/>
        </w:rPr>
        <w:t>乙方在合同履行期间，未按要求履行合同服务要求，甲方均有权单方终止合同,由此产生的一切经济损失由乙方自行承担。</w:t>
      </w:r>
    </w:p>
    <w:p w14:paraId="1BB85CB2">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r>
        <w:rPr>
          <w:rFonts w:hint="eastAsia" w:ascii="宋体" w:hAnsi="宋体"/>
          <w:b/>
          <w:sz w:val="24"/>
        </w:rPr>
        <w:t>知识产权归属</w:t>
      </w:r>
      <w:bookmarkEnd w:id="71"/>
    </w:p>
    <w:p w14:paraId="15275FD4">
      <w:pPr>
        <w:keepNext w:val="0"/>
        <w:keepLines w:val="0"/>
        <w:pageBreakBefore w:val="0"/>
        <w:kinsoku/>
        <w:wordWrap/>
        <w:overflowPunct/>
        <w:topLinePunct w:val="0"/>
        <w:bidi w:val="0"/>
        <w:adjustRightInd w:val="0"/>
        <w:spacing w:line="440" w:lineRule="exact"/>
        <w:ind w:firstLine="480" w:firstLineChars="200"/>
        <w:textAlignment w:val="baseline"/>
        <w:rPr>
          <w:rFonts w:ascii="宋体" w:hAnsi="宋体" w:cs="宋体"/>
          <w:sz w:val="24"/>
        </w:rPr>
      </w:pPr>
      <w:r>
        <w:rPr>
          <w:rFonts w:hint="eastAsia" w:ascii="宋体" w:hAnsi="宋体" w:cs="宋体"/>
          <w:sz w:val="24"/>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78046E40">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72" w:name="_Toc435540765"/>
      <w:r>
        <w:rPr>
          <w:rFonts w:hint="eastAsia" w:ascii="宋体" w:hAnsi="宋体"/>
          <w:b/>
          <w:sz w:val="24"/>
        </w:rPr>
        <w:t>保密</w:t>
      </w:r>
      <w:bookmarkEnd w:id="72"/>
    </w:p>
    <w:p w14:paraId="6F14112D">
      <w:pPr>
        <w:keepNext w:val="0"/>
        <w:keepLines w:val="0"/>
        <w:pageBreakBefore w:val="0"/>
        <w:numPr>
          <w:ilvl w:val="0"/>
          <w:numId w:val="67"/>
        </w:numPr>
        <w:tabs>
          <w:tab w:val="left" w:pos="284"/>
          <w:tab w:val="left" w:pos="567"/>
        </w:tabs>
        <w:kinsoku/>
        <w:wordWrap/>
        <w:overflowPunct/>
        <w:topLinePunct w:val="0"/>
        <w:bidi w:val="0"/>
        <w:adjustRightInd w:val="0"/>
        <w:spacing w:line="440" w:lineRule="exact"/>
        <w:textAlignment w:val="baseline"/>
        <w:rPr>
          <w:rFonts w:ascii="宋体" w:hAnsi="宋体" w:cs="宋体"/>
          <w:sz w:val="24"/>
        </w:rPr>
      </w:pPr>
      <w:r>
        <w:rPr>
          <w:rFonts w:hint="eastAsia" w:ascii="宋体" w:hAnsi="宋体" w:cs="宋体"/>
          <w:sz w:val="24"/>
        </w:rPr>
        <w:t>项目实施过程中至乙方正式向甲方交付技术文档资料时止，乙方必须采取措施对本项目实施过程中的数据、源代码、技术文档、乙方职工个人信息等资料保密，否则，由于乙方过错导致的上述资料泄密的，乙方必须承担一切责任。项目完成后，甲、乙双方均有责任对本项目的技术保密承担责任。</w:t>
      </w:r>
    </w:p>
    <w:p w14:paraId="433C0B31">
      <w:pPr>
        <w:keepNext w:val="0"/>
        <w:keepLines w:val="0"/>
        <w:pageBreakBefore w:val="0"/>
        <w:numPr>
          <w:ilvl w:val="0"/>
          <w:numId w:val="67"/>
        </w:numPr>
        <w:tabs>
          <w:tab w:val="left" w:pos="284"/>
          <w:tab w:val="left" w:pos="567"/>
        </w:tabs>
        <w:kinsoku/>
        <w:wordWrap/>
        <w:overflowPunct/>
        <w:topLinePunct w:val="0"/>
        <w:bidi w:val="0"/>
        <w:adjustRightInd w:val="0"/>
        <w:spacing w:line="440" w:lineRule="exact"/>
        <w:ind w:left="567" w:hanging="567"/>
        <w:textAlignment w:val="baseline"/>
        <w:rPr>
          <w:rFonts w:ascii="宋体" w:hAnsi="宋体" w:cs="宋体"/>
          <w:sz w:val="24"/>
        </w:rPr>
      </w:pPr>
      <w:r>
        <w:rPr>
          <w:rFonts w:hint="eastAsia" w:ascii="宋体" w:hAnsi="宋体"/>
          <w:sz w:val="24"/>
        </w:rPr>
        <w:t>未经甲方事先书面同意，乙方不得将由甲方为本合同提供的条文、资料提供给与本合同无关的任何第三方，不得将其用于履行本合同之外的其它用途。即使向与履行本合同有关的人员提供，也应注意保密并限于履行合同所必需的范围。</w:t>
      </w:r>
    </w:p>
    <w:p w14:paraId="78FD1DD3">
      <w:pPr>
        <w:keepNext w:val="0"/>
        <w:keepLines w:val="0"/>
        <w:pageBreakBefore w:val="0"/>
        <w:numPr>
          <w:ilvl w:val="0"/>
          <w:numId w:val="67"/>
        </w:numPr>
        <w:tabs>
          <w:tab w:val="left" w:pos="284"/>
          <w:tab w:val="left" w:pos="567"/>
        </w:tabs>
        <w:kinsoku/>
        <w:wordWrap/>
        <w:overflowPunct/>
        <w:topLinePunct w:val="0"/>
        <w:bidi w:val="0"/>
        <w:adjustRightInd w:val="0"/>
        <w:spacing w:line="440" w:lineRule="exact"/>
        <w:ind w:left="567" w:hanging="567"/>
        <w:textAlignment w:val="baseline"/>
        <w:rPr>
          <w:rFonts w:ascii="宋体" w:hAnsi="宋体" w:cs="宋体"/>
          <w:sz w:val="24"/>
        </w:rPr>
      </w:pPr>
      <w:r>
        <w:rPr>
          <w:rFonts w:hint="eastAsia" w:ascii="宋体" w:hAnsi="宋体"/>
          <w:sz w:val="24"/>
        </w:rPr>
        <w:t>除了合同本身之外，上款所列举的任何物件均是甲方的财产。如果甲方有要求，乙方在完成合同后应将这些物件及全部复制件还给甲方。</w:t>
      </w:r>
    </w:p>
    <w:p w14:paraId="366B8ED4">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73" w:name="_Toc435540766"/>
      <w:r>
        <w:rPr>
          <w:rFonts w:hint="eastAsia" w:ascii="宋体" w:hAnsi="宋体"/>
          <w:b/>
          <w:sz w:val="24"/>
        </w:rPr>
        <w:t>违约责任与赔偿损失</w:t>
      </w:r>
      <w:bookmarkEnd w:id="73"/>
    </w:p>
    <w:p w14:paraId="149CD018">
      <w:pPr>
        <w:keepNext w:val="0"/>
        <w:keepLines w:val="0"/>
        <w:pageBreakBefore w:val="0"/>
        <w:numPr>
          <w:ilvl w:val="0"/>
          <w:numId w:val="0"/>
        </w:numPr>
        <w:tabs>
          <w:tab w:val="left" w:pos="567"/>
        </w:tabs>
        <w:kinsoku/>
        <w:wordWrap/>
        <w:overflowPunct/>
        <w:topLinePunct w:val="0"/>
        <w:bidi w:val="0"/>
        <w:adjustRightInd w:val="0"/>
        <w:spacing w:line="440" w:lineRule="exact"/>
        <w:ind w:left="567" w:leftChars="0" w:hanging="567" w:firstLineChars="0"/>
        <w:textAlignment w:val="baseline"/>
        <w:rPr>
          <w:rFonts w:ascii="宋体" w:hAnsi="宋体"/>
          <w:color w:val="auto"/>
          <w:sz w:val="24"/>
        </w:rPr>
      </w:pPr>
      <w:r>
        <w:rPr>
          <w:rFonts w:ascii="宋体" w:hAnsi="宋体" w:eastAsia="宋体" w:cs="Times New Roman"/>
          <w:sz w:val="24"/>
          <w:szCs w:val="24"/>
          <w:lang w:val="en-US" w:eastAsia="zh-CN" w:bidi="ar-SA"/>
        </w:rPr>
        <w:t>(一)</w:t>
      </w:r>
      <w:r>
        <w:rPr>
          <w:rFonts w:hint="eastAsia" w:ascii="宋体" w:hAnsi="宋体"/>
          <w:sz w:val="24"/>
        </w:rPr>
        <w:t>乙方提供的服务不符合采购文件、投标文件或本合同规定的，甲方有权拒收，并且乙方须向甲方支付本合同总价5%的违约金。</w:t>
      </w:r>
      <w:r>
        <w:rPr>
          <w:rFonts w:hint="eastAsia" w:ascii="宋体" w:hAnsi="宋体" w:eastAsia="宋体" w:cs="宋体"/>
          <w:bCs/>
          <w:color w:val="auto"/>
          <w:sz w:val="24"/>
        </w:rPr>
        <w:t>乙方累计3次违约或违约后未能限期改正的，则甲方有权解除合同并要求乙方按本合同总价的</w:t>
      </w:r>
      <w:r>
        <w:rPr>
          <w:rFonts w:hint="eastAsia" w:ascii="宋体" w:hAnsi="宋体" w:cs="宋体"/>
          <w:bCs/>
          <w:color w:val="auto"/>
          <w:sz w:val="24"/>
          <w:lang w:val="en-US" w:eastAsia="zh-CN"/>
        </w:rPr>
        <w:t>10</w:t>
      </w:r>
      <w:r>
        <w:rPr>
          <w:rFonts w:hint="eastAsia" w:ascii="宋体" w:hAnsi="宋体" w:eastAsia="宋体" w:cs="宋体"/>
          <w:bCs/>
          <w:color w:val="auto"/>
          <w:sz w:val="24"/>
        </w:rPr>
        <w:t>%支付违约金，并不予退还履约保证金。</w:t>
      </w:r>
    </w:p>
    <w:p w14:paraId="52A2DF33">
      <w:pPr>
        <w:keepNext w:val="0"/>
        <w:keepLines w:val="0"/>
        <w:pageBreakBefore w:val="0"/>
        <w:numPr>
          <w:ilvl w:val="0"/>
          <w:numId w:val="0"/>
        </w:numPr>
        <w:tabs>
          <w:tab w:val="left" w:pos="567"/>
          <w:tab w:val="left" w:pos="720"/>
        </w:tabs>
        <w:kinsoku/>
        <w:wordWrap/>
        <w:overflowPunct/>
        <w:topLinePunct w:val="0"/>
        <w:bidi w:val="0"/>
        <w:adjustRightInd w:val="0"/>
        <w:spacing w:line="440" w:lineRule="exact"/>
        <w:ind w:left="567" w:leftChars="0" w:right="51" w:rightChars="0" w:hanging="567" w:firstLineChars="0"/>
        <w:textAlignment w:val="baseline"/>
        <w:rPr>
          <w:rFonts w:ascii="宋体" w:hAnsi="宋体"/>
          <w:sz w:val="24"/>
        </w:rPr>
      </w:pPr>
      <w:r>
        <w:rPr>
          <w:rFonts w:ascii="宋体" w:hAnsi="宋体" w:eastAsia="宋体" w:cs="Times New Roman"/>
          <w:color w:val="auto"/>
          <w:sz w:val="24"/>
          <w:szCs w:val="24"/>
          <w:lang w:val="en-US" w:eastAsia="zh-CN" w:bidi="ar-SA"/>
        </w:rPr>
        <w:t>(二)</w:t>
      </w:r>
      <w:r>
        <w:rPr>
          <w:rFonts w:hint="eastAsia" w:ascii="宋体" w:hAnsi="宋体"/>
          <w:color w:val="auto"/>
          <w:sz w:val="24"/>
        </w:rPr>
        <w:t>乙方未能按本合同规定的交货时间交付货物的/提供服务，从逾期之日起每日按本合同总价</w:t>
      </w:r>
      <w:r>
        <w:rPr>
          <w:rFonts w:hint="eastAsia" w:ascii="宋体" w:hAnsi="宋体"/>
          <w:color w:val="auto"/>
          <w:sz w:val="24"/>
          <w:u w:val="single"/>
        </w:rPr>
        <w:t>0.2‰</w:t>
      </w:r>
      <w:r>
        <w:rPr>
          <w:rFonts w:hint="eastAsia" w:ascii="宋体" w:hAnsi="宋体"/>
          <w:color w:val="auto"/>
          <w:sz w:val="24"/>
        </w:rPr>
        <w:t>的数额向甲方支付违约金；逾期15天以上（含15天）的，甲方有权终止合同，要求乙方支付违约金，</w:t>
      </w:r>
      <w:r>
        <w:rPr>
          <w:rFonts w:hint="eastAsia" w:ascii="宋体" w:hAnsi="宋体" w:cs="宋体"/>
          <w:bCs/>
          <w:color w:val="auto"/>
          <w:sz w:val="24"/>
          <w:lang w:val="en-US" w:eastAsia="zh-CN"/>
        </w:rPr>
        <w:t>不予退还履约保证金，</w:t>
      </w:r>
      <w:r>
        <w:rPr>
          <w:rFonts w:hint="eastAsia" w:ascii="宋体" w:hAnsi="宋体"/>
          <w:sz w:val="24"/>
        </w:rPr>
        <w:t>并且给甲方造成的经济损失由乙方承担赔偿责任。</w:t>
      </w:r>
    </w:p>
    <w:p w14:paraId="2BCE2B7E">
      <w:pPr>
        <w:keepNext w:val="0"/>
        <w:keepLines w:val="0"/>
        <w:pageBreakBefore w:val="0"/>
        <w:numPr>
          <w:ilvl w:val="0"/>
          <w:numId w:val="0"/>
        </w:numPr>
        <w:tabs>
          <w:tab w:val="left" w:pos="567"/>
        </w:tabs>
        <w:kinsoku/>
        <w:wordWrap/>
        <w:overflowPunct/>
        <w:topLinePunct w:val="0"/>
        <w:bidi w:val="0"/>
        <w:adjustRightInd w:val="0"/>
        <w:spacing w:line="440" w:lineRule="exact"/>
        <w:ind w:left="567" w:leftChars="0" w:hanging="567" w:firstLineChars="0"/>
        <w:textAlignment w:val="baseline"/>
        <w:rPr>
          <w:rFonts w:hint="eastAsia" w:ascii="宋体" w:hAnsi="宋体" w:cs="宋体"/>
          <w:color w:val="auto"/>
          <w:sz w:val="24"/>
        </w:rPr>
      </w:pPr>
      <w:r>
        <w:rPr>
          <w:rFonts w:hint="eastAsia" w:ascii="宋体" w:hAnsi="宋体" w:eastAsia="宋体" w:cs="宋体"/>
          <w:color w:val="auto"/>
          <w:sz w:val="24"/>
          <w:szCs w:val="24"/>
          <w:lang w:val="en-US" w:eastAsia="zh-CN" w:bidi="ar-SA"/>
        </w:rPr>
        <w:t>(三)</w:t>
      </w:r>
      <w:r>
        <w:rPr>
          <w:rFonts w:hint="eastAsia" w:ascii="宋体" w:hAnsi="宋体"/>
          <w:sz w:val="24"/>
        </w:rPr>
        <w:t>甲方无正当理由拒收接受服务，到期拒付服务款项的，甲方向乙方偿付本合同总价5%的违约金。甲</w:t>
      </w:r>
      <w:r>
        <w:rPr>
          <w:rFonts w:hint="eastAsia" w:ascii="宋体" w:hAnsi="宋体"/>
          <w:color w:val="auto"/>
          <w:sz w:val="24"/>
        </w:rPr>
        <w:t>方逾期付款，则每日按本合同总价的</w:t>
      </w:r>
      <w:r>
        <w:rPr>
          <w:rFonts w:hint="eastAsia" w:ascii="宋体" w:hAnsi="宋体"/>
          <w:color w:val="auto"/>
          <w:sz w:val="24"/>
          <w:u w:val="single"/>
        </w:rPr>
        <w:t>0.2‰</w:t>
      </w:r>
      <w:r>
        <w:rPr>
          <w:rFonts w:hint="eastAsia" w:ascii="宋体" w:hAnsi="宋体"/>
          <w:color w:val="auto"/>
          <w:sz w:val="24"/>
        </w:rPr>
        <w:t>向乙方偿付违约金。</w:t>
      </w:r>
    </w:p>
    <w:p w14:paraId="27EAA661">
      <w:pPr>
        <w:keepNext w:val="0"/>
        <w:keepLines w:val="0"/>
        <w:pageBreakBefore w:val="0"/>
        <w:numPr>
          <w:ilvl w:val="0"/>
          <w:numId w:val="0"/>
        </w:numPr>
        <w:tabs>
          <w:tab w:val="left" w:pos="567"/>
        </w:tabs>
        <w:kinsoku/>
        <w:wordWrap/>
        <w:overflowPunct/>
        <w:topLinePunct w:val="0"/>
        <w:bidi w:val="0"/>
        <w:adjustRightInd w:val="0"/>
        <w:spacing w:line="440" w:lineRule="exact"/>
        <w:ind w:left="567" w:leftChars="0" w:hanging="567" w:firstLineChars="0"/>
        <w:textAlignment w:val="baseline"/>
        <w:rPr>
          <w:rFonts w:ascii="宋体" w:hAnsi="宋体"/>
          <w:color w:val="auto"/>
          <w:sz w:val="24"/>
        </w:rPr>
      </w:pPr>
      <w:r>
        <w:rPr>
          <w:rFonts w:ascii="宋体" w:hAnsi="宋体" w:eastAsia="宋体" w:cs="Times New Roman"/>
          <w:color w:val="auto"/>
          <w:sz w:val="24"/>
          <w:szCs w:val="24"/>
          <w:lang w:val="en-US" w:eastAsia="zh-CN" w:bidi="ar-SA"/>
        </w:rPr>
        <w:t>(四)</w:t>
      </w:r>
      <w:r>
        <w:rPr>
          <w:rFonts w:hint="eastAsia" w:ascii="宋体" w:hAnsi="宋体" w:cs="宋体"/>
          <w:color w:val="auto"/>
          <w:sz w:val="24"/>
          <w:lang w:val="en-US" w:eastAsia="zh-CN"/>
        </w:rPr>
        <w:t>乙方违反合同及附件约定的任何义务的，甲方均有权在履约保证金中直接扣除乙方应向甲方支付的违约金或损失赔偿额，如有不足的，乙方应对超过的部分予以赔偿。扣除后，如合同仍继续履行的，乙方应在扣除之日起3个工作日内向甲方补足履约保证金。</w:t>
      </w:r>
    </w:p>
    <w:p w14:paraId="0A905B1E">
      <w:pPr>
        <w:keepNext w:val="0"/>
        <w:keepLines w:val="0"/>
        <w:pageBreakBefore w:val="0"/>
        <w:numPr>
          <w:ilvl w:val="0"/>
          <w:numId w:val="0"/>
        </w:numPr>
        <w:tabs>
          <w:tab w:val="left" w:pos="567"/>
        </w:tabs>
        <w:kinsoku/>
        <w:wordWrap/>
        <w:overflowPunct/>
        <w:topLinePunct w:val="0"/>
        <w:bidi w:val="0"/>
        <w:adjustRightInd w:val="0"/>
        <w:spacing w:line="440" w:lineRule="exact"/>
        <w:ind w:left="567" w:leftChars="0" w:hanging="567" w:firstLineChars="0"/>
        <w:textAlignment w:val="baseline"/>
        <w:rPr>
          <w:rFonts w:ascii="宋体" w:hAnsi="宋体"/>
          <w:color w:val="auto"/>
          <w:sz w:val="24"/>
        </w:rPr>
      </w:pPr>
      <w:r>
        <w:rPr>
          <w:rFonts w:ascii="宋体" w:hAnsi="宋体" w:eastAsia="宋体" w:cs="Times New Roman"/>
          <w:color w:val="auto"/>
          <w:sz w:val="24"/>
          <w:szCs w:val="24"/>
          <w:lang w:val="en-US" w:eastAsia="zh-CN" w:bidi="ar-SA"/>
        </w:rPr>
        <w:t>(五)</w:t>
      </w:r>
      <w:r>
        <w:rPr>
          <w:rFonts w:hint="eastAsia" w:ascii="宋体" w:hAnsi="宋体" w:eastAsia="宋体" w:cs="宋体"/>
          <w:color w:val="auto"/>
          <w:sz w:val="24"/>
        </w:rPr>
        <w:t>本合同中</w:t>
      </w:r>
      <w:r>
        <w:rPr>
          <w:rFonts w:hint="eastAsia" w:ascii="宋体" w:hAnsi="宋体" w:cs="宋体"/>
          <w:color w:val="auto"/>
          <w:sz w:val="24"/>
          <w:lang w:val="en-US" w:eastAsia="zh-CN"/>
        </w:rPr>
        <w:t>如因乙方违约，导致</w:t>
      </w:r>
      <w:r>
        <w:rPr>
          <w:rFonts w:hint="eastAsia" w:ascii="宋体" w:hAnsi="宋体" w:eastAsia="宋体" w:cs="宋体"/>
          <w:color w:val="auto"/>
          <w:sz w:val="24"/>
        </w:rPr>
        <w:t>甲方</w:t>
      </w:r>
      <w:r>
        <w:rPr>
          <w:rFonts w:hint="eastAsia" w:ascii="宋体" w:hAnsi="宋体" w:cs="宋体"/>
          <w:color w:val="auto"/>
          <w:sz w:val="24"/>
          <w:lang w:val="en-US" w:eastAsia="zh-CN"/>
        </w:rPr>
        <w:t>产生</w:t>
      </w:r>
      <w:r>
        <w:rPr>
          <w:rFonts w:hint="eastAsia" w:ascii="宋体" w:hAnsi="宋体" w:eastAsia="宋体" w:cs="宋体"/>
          <w:color w:val="auto"/>
          <w:sz w:val="24"/>
        </w:rPr>
        <w:t>的经济损失包括直接经济损失、间接经济损失，以及为追索经济损失所发生的相关费用，包括但不限于</w:t>
      </w:r>
      <w:r>
        <w:rPr>
          <w:rFonts w:hint="eastAsia" w:ascii="宋体" w:hAnsi="宋体" w:eastAsia="宋体" w:cs="宋体"/>
          <w:color w:val="auto"/>
          <w:sz w:val="24"/>
          <w:lang w:eastAsia="zh-CN"/>
        </w:rPr>
        <w:t>法院</w:t>
      </w:r>
      <w:r>
        <w:rPr>
          <w:rFonts w:hint="eastAsia" w:ascii="宋体" w:hAnsi="宋体" w:eastAsia="宋体" w:cs="宋体"/>
          <w:color w:val="auto"/>
          <w:sz w:val="24"/>
        </w:rPr>
        <w:t>受理费、财产保全费（含担保费用）、仲裁费、律师费、公证费、评估费、鉴定费、拍卖费、差旅费等</w:t>
      </w:r>
      <w:r>
        <w:rPr>
          <w:rFonts w:hint="eastAsia" w:ascii="宋体" w:hAnsi="宋体" w:cs="宋体"/>
          <w:color w:val="auto"/>
          <w:sz w:val="24"/>
          <w:lang w:val="en-US" w:eastAsia="zh-CN"/>
        </w:rPr>
        <w:t>由乙方承担</w:t>
      </w:r>
      <w:r>
        <w:rPr>
          <w:rFonts w:hint="eastAsia" w:ascii="宋体" w:hAnsi="宋体" w:cs="宋体"/>
          <w:color w:val="auto"/>
          <w:sz w:val="24"/>
        </w:rPr>
        <w:t>。</w:t>
      </w:r>
    </w:p>
    <w:p w14:paraId="3CA388B0">
      <w:pPr>
        <w:keepNext w:val="0"/>
        <w:keepLines w:val="0"/>
        <w:pageBreakBefore w:val="0"/>
        <w:numPr>
          <w:ilvl w:val="0"/>
          <w:numId w:val="0"/>
        </w:numPr>
        <w:tabs>
          <w:tab w:val="left" w:pos="567"/>
        </w:tabs>
        <w:kinsoku/>
        <w:wordWrap/>
        <w:overflowPunct/>
        <w:topLinePunct w:val="0"/>
        <w:bidi w:val="0"/>
        <w:adjustRightInd w:val="0"/>
        <w:spacing w:line="440" w:lineRule="exact"/>
        <w:ind w:left="567" w:leftChars="0" w:hanging="567" w:firstLineChars="0"/>
        <w:textAlignment w:val="baseline"/>
        <w:rPr>
          <w:rFonts w:ascii="宋体" w:hAnsi="宋体"/>
          <w:bCs/>
          <w:color w:val="auto"/>
          <w:sz w:val="24"/>
        </w:rPr>
      </w:pPr>
      <w:r>
        <w:rPr>
          <w:rFonts w:ascii="宋体" w:hAnsi="宋体" w:eastAsia="宋体" w:cs="Times New Roman"/>
          <w:bCs/>
          <w:color w:val="auto"/>
          <w:sz w:val="24"/>
          <w:szCs w:val="24"/>
          <w:lang w:val="en-US" w:eastAsia="zh-CN" w:bidi="ar-SA"/>
        </w:rPr>
        <w:t>(六)</w:t>
      </w:r>
      <w:r>
        <w:rPr>
          <w:rFonts w:hint="eastAsia" w:ascii="宋体" w:hAnsi="宋体"/>
          <w:bCs/>
          <w:color w:val="auto"/>
          <w:sz w:val="24"/>
        </w:rPr>
        <w:t>其它违约责任按《中华人民共和国民法典》处理。</w:t>
      </w:r>
    </w:p>
    <w:p w14:paraId="5280458B">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74" w:name="_Toc435540767"/>
      <w:r>
        <w:rPr>
          <w:rFonts w:hint="eastAsia" w:ascii="宋体" w:hAnsi="宋体"/>
          <w:b/>
          <w:sz w:val="24"/>
        </w:rPr>
        <w:t>争端的解决</w:t>
      </w:r>
      <w:bookmarkEnd w:id="74"/>
    </w:p>
    <w:p w14:paraId="5106B91C">
      <w:pPr>
        <w:keepNext w:val="0"/>
        <w:keepLines w:val="0"/>
        <w:pageBreakBefore w:val="0"/>
        <w:kinsoku/>
        <w:wordWrap/>
        <w:overflowPunct/>
        <w:topLinePunct w:val="0"/>
        <w:bidi w:val="0"/>
        <w:adjustRightInd w:val="0"/>
        <w:spacing w:line="440" w:lineRule="exact"/>
        <w:ind w:firstLine="480" w:firstLineChars="200"/>
        <w:textAlignment w:val="baseline"/>
        <w:rPr>
          <w:rFonts w:ascii="宋体" w:hAnsi="宋体"/>
          <w:sz w:val="24"/>
        </w:rPr>
      </w:pPr>
      <w:r>
        <w:rPr>
          <w:rFonts w:hint="eastAsia" w:ascii="宋体" w:hAnsi="宋体"/>
          <w:sz w:val="24"/>
        </w:rPr>
        <w:t>合同执行过程中发生的任何争议，如双方不能通过友好协商解决，甲、乙双方一致同意向甲方所在地人民法院提起诉讼。</w:t>
      </w:r>
    </w:p>
    <w:p w14:paraId="38824FBC">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75" w:name="_Toc435540768"/>
      <w:r>
        <w:rPr>
          <w:rFonts w:hint="eastAsia" w:ascii="宋体" w:hAnsi="宋体"/>
          <w:b/>
          <w:sz w:val="24"/>
        </w:rPr>
        <w:t>不可抗力</w:t>
      </w:r>
      <w:bookmarkEnd w:id="75"/>
    </w:p>
    <w:p w14:paraId="3A0D929A">
      <w:pPr>
        <w:keepNext w:val="0"/>
        <w:keepLines w:val="0"/>
        <w:pageBreakBefore w:val="0"/>
        <w:kinsoku/>
        <w:wordWrap/>
        <w:overflowPunct/>
        <w:topLinePunct w:val="0"/>
        <w:bidi w:val="0"/>
        <w:adjustRightInd w:val="0"/>
        <w:spacing w:line="440" w:lineRule="exact"/>
        <w:ind w:firstLine="480" w:firstLineChars="200"/>
        <w:textAlignment w:val="baseline"/>
        <w:rPr>
          <w:rFonts w:ascii="宋体" w:hAnsi="宋体"/>
          <w:sz w:val="24"/>
        </w:rPr>
      </w:pPr>
      <w:r>
        <w:rPr>
          <w:rFonts w:hint="eastAsia" w:ascii="宋体" w:hAnsi="宋体"/>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7B222F26">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76" w:name="_Toc435540769"/>
      <w:r>
        <w:rPr>
          <w:rFonts w:hint="eastAsia" w:ascii="宋体" w:hAnsi="宋体"/>
          <w:b/>
          <w:sz w:val="24"/>
        </w:rPr>
        <w:t>税费</w:t>
      </w:r>
      <w:bookmarkEnd w:id="76"/>
    </w:p>
    <w:p w14:paraId="09F9A739">
      <w:pPr>
        <w:keepNext w:val="0"/>
        <w:keepLines w:val="0"/>
        <w:pageBreakBefore w:val="0"/>
        <w:kinsoku/>
        <w:wordWrap/>
        <w:overflowPunct/>
        <w:topLinePunct w:val="0"/>
        <w:bidi w:val="0"/>
        <w:adjustRightInd w:val="0"/>
        <w:spacing w:line="440" w:lineRule="exact"/>
        <w:ind w:firstLine="480" w:firstLineChars="200"/>
        <w:textAlignment w:val="baseline"/>
        <w:rPr>
          <w:rFonts w:ascii="宋体" w:hAnsi="宋体"/>
          <w:sz w:val="24"/>
        </w:rPr>
      </w:pPr>
      <w:r>
        <w:rPr>
          <w:rFonts w:hint="eastAsia" w:ascii="宋体" w:hAnsi="宋体"/>
          <w:sz w:val="24"/>
        </w:rPr>
        <w:t>在中国境内、外发生的与本合同执行有关的一切税费均由乙方负担。</w:t>
      </w:r>
    </w:p>
    <w:p w14:paraId="1731F2EC">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77" w:name="_Toc435540770"/>
      <w:r>
        <w:rPr>
          <w:rFonts w:hint="eastAsia" w:ascii="宋体" w:hAnsi="宋体"/>
          <w:b/>
          <w:sz w:val="24"/>
        </w:rPr>
        <w:t>其它</w:t>
      </w:r>
      <w:bookmarkEnd w:id="77"/>
    </w:p>
    <w:p w14:paraId="05040322">
      <w:pPr>
        <w:keepNext w:val="0"/>
        <w:keepLines w:val="0"/>
        <w:pageBreakBefore w:val="0"/>
        <w:numPr>
          <w:ilvl w:val="0"/>
          <w:numId w:val="68"/>
        </w:numPr>
        <w:tabs>
          <w:tab w:val="left" w:pos="567"/>
        </w:tabs>
        <w:kinsoku/>
        <w:wordWrap/>
        <w:overflowPunct/>
        <w:topLinePunct w:val="0"/>
        <w:bidi w:val="0"/>
        <w:adjustRightInd w:val="0"/>
        <w:spacing w:line="440" w:lineRule="exact"/>
        <w:ind w:left="567" w:hanging="567"/>
        <w:textAlignment w:val="baseline"/>
        <w:rPr>
          <w:rFonts w:ascii="宋体" w:hAnsi="宋体"/>
          <w:b/>
          <w:sz w:val="24"/>
        </w:rPr>
      </w:pPr>
      <w:r>
        <w:rPr>
          <w:rFonts w:hint="eastAsia" w:ascii="宋体" w:hAnsi="宋体"/>
          <w:sz w:val="24"/>
        </w:rPr>
        <w:t>本合同所有附件、招标文件、投标文件、中标通知书均为合同的有效组成部分，与本合同具有同等法律效力。</w:t>
      </w:r>
    </w:p>
    <w:p w14:paraId="5A560305">
      <w:pPr>
        <w:keepNext w:val="0"/>
        <w:keepLines w:val="0"/>
        <w:pageBreakBefore w:val="0"/>
        <w:numPr>
          <w:ilvl w:val="0"/>
          <w:numId w:val="68"/>
        </w:numPr>
        <w:tabs>
          <w:tab w:val="left" w:pos="567"/>
        </w:tabs>
        <w:kinsoku/>
        <w:wordWrap/>
        <w:overflowPunct/>
        <w:topLinePunct w:val="0"/>
        <w:bidi w:val="0"/>
        <w:adjustRightInd w:val="0"/>
        <w:spacing w:line="440" w:lineRule="exact"/>
        <w:ind w:left="567" w:hanging="567"/>
        <w:textAlignment w:val="baseline"/>
        <w:rPr>
          <w:rFonts w:ascii="宋体" w:hAnsi="宋体"/>
          <w:sz w:val="24"/>
        </w:rPr>
      </w:pPr>
      <w:r>
        <w:rPr>
          <w:rFonts w:hint="eastAsia" w:ascii="宋体" w:hAnsi="宋体"/>
          <w:sz w:val="24"/>
        </w:rPr>
        <w:t>在执行本合同的过程中，所有经双方签署确认的文件（包括会议纪要、补充协议、往来信函）即成为本合同的有效组成部分。</w:t>
      </w:r>
    </w:p>
    <w:p w14:paraId="3F2BEC08">
      <w:pPr>
        <w:keepNext w:val="0"/>
        <w:keepLines w:val="0"/>
        <w:pageBreakBefore w:val="0"/>
        <w:numPr>
          <w:ilvl w:val="0"/>
          <w:numId w:val="68"/>
        </w:numPr>
        <w:tabs>
          <w:tab w:val="left" w:pos="567"/>
        </w:tabs>
        <w:kinsoku/>
        <w:wordWrap/>
        <w:overflowPunct/>
        <w:topLinePunct w:val="0"/>
        <w:bidi w:val="0"/>
        <w:adjustRightInd w:val="0"/>
        <w:spacing w:line="440" w:lineRule="exact"/>
        <w:ind w:left="567" w:hanging="567"/>
        <w:textAlignment w:val="baseline"/>
        <w:rPr>
          <w:rFonts w:ascii="宋体" w:hAnsi="宋体"/>
          <w:sz w:val="24"/>
        </w:rPr>
      </w:pPr>
      <w:r>
        <w:rPr>
          <w:rFonts w:hint="eastAsia" w:ascii="宋体" w:hAnsi="宋体"/>
          <w:sz w:val="24"/>
        </w:rPr>
        <w:t xml:space="preserve">如一方地址、电话、传真号码有变更，应在变更当日内书面通知对方，否则，应承担相应责任。 </w:t>
      </w:r>
    </w:p>
    <w:p w14:paraId="4871E914">
      <w:pPr>
        <w:keepNext w:val="0"/>
        <w:keepLines w:val="0"/>
        <w:pageBreakBefore w:val="0"/>
        <w:numPr>
          <w:ilvl w:val="0"/>
          <w:numId w:val="68"/>
        </w:numPr>
        <w:tabs>
          <w:tab w:val="left" w:pos="567"/>
        </w:tabs>
        <w:kinsoku/>
        <w:wordWrap/>
        <w:overflowPunct/>
        <w:topLinePunct w:val="0"/>
        <w:bidi w:val="0"/>
        <w:adjustRightInd w:val="0"/>
        <w:spacing w:line="440" w:lineRule="exact"/>
        <w:ind w:left="567" w:hanging="567"/>
        <w:textAlignment w:val="baseline"/>
        <w:rPr>
          <w:rFonts w:ascii="宋体" w:hAnsi="宋体"/>
          <w:sz w:val="24"/>
        </w:rPr>
      </w:pPr>
      <w:r>
        <w:rPr>
          <w:rFonts w:ascii="宋体" w:hAnsi="宋体" w:cs="宋体"/>
          <w:sz w:val="24"/>
        </w:rPr>
        <w:t>乙方不得全部转让其应履行的合同项下的义务。招标文件允许分包的，除招标文件和投标文件已确定的合同分包外，乙方不得部分转让其应履行的合同项下的义务。</w:t>
      </w:r>
    </w:p>
    <w:p w14:paraId="14049C39">
      <w:pPr>
        <w:keepNext w:val="0"/>
        <w:keepLines w:val="0"/>
        <w:pageBreakBefore w:val="0"/>
        <w:numPr>
          <w:ilvl w:val="0"/>
          <w:numId w:val="65"/>
        </w:numPr>
        <w:kinsoku/>
        <w:wordWrap/>
        <w:overflowPunct/>
        <w:topLinePunct w:val="0"/>
        <w:autoSpaceDE w:val="0"/>
        <w:autoSpaceDN w:val="0"/>
        <w:bidi w:val="0"/>
        <w:adjustRightInd w:val="0"/>
        <w:spacing w:line="440" w:lineRule="exact"/>
        <w:ind w:left="506" w:hanging="506" w:hangingChars="210"/>
        <w:jc w:val="left"/>
        <w:textAlignment w:val="baseline"/>
        <w:outlineLvl w:val="3"/>
        <w:rPr>
          <w:rFonts w:ascii="宋体" w:hAnsi="宋体"/>
          <w:b/>
          <w:sz w:val="24"/>
        </w:rPr>
      </w:pPr>
      <w:bookmarkStart w:id="78" w:name="_Toc435540771"/>
      <w:r>
        <w:rPr>
          <w:rFonts w:hint="eastAsia" w:ascii="宋体" w:hAnsi="宋体"/>
          <w:b/>
          <w:sz w:val="24"/>
        </w:rPr>
        <w:t>合同生效</w:t>
      </w:r>
      <w:bookmarkEnd w:id="78"/>
    </w:p>
    <w:p w14:paraId="43B0631C">
      <w:pPr>
        <w:keepNext w:val="0"/>
        <w:keepLines w:val="0"/>
        <w:pageBreakBefore w:val="0"/>
        <w:numPr>
          <w:ilvl w:val="0"/>
          <w:numId w:val="69"/>
        </w:numPr>
        <w:tabs>
          <w:tab w:val="left" w:pos="567"/>
        </w:tabs>
        <w:kinsoku/>
        <w:wordWrap/>
        <w:overflowPunct/>
        <w:topLinePunct w:val="0"/>
        <w:bidi w:val="0"/>
        <w:adjustRightInd w:val="0"/>
        <w:spacing w:line="440" w:lineRule="exact"/>
        <w:textAlignment w:val="baseline"/>
        <w:rPr>
          <w:rFonts w:ascii="宋体" w:hAnsi="宋体" w:cs="宋体"/>
          <w:sz w:val="24"/>
        </w:rPr>
      </w:pPr>
      <w:r>
        <w:rPr>
          <w:rFonts w:hint="eastAsia" w:ascii="宋体" w:hAnsi="宋体" w:cs="宋体"/>
          <w:sz w:val="24"/>
        </w:rPr>
        <w:t>合同自甲乙双方法人代表或其授权代表签字盖章之日起生效。</w:t>
      </w:r>
    </w:p>
    <w:p w14:paraId="08500A04">
      <w:pPr>
        <w:keepNext w:val="0"/>
        <w:keepLines w:val="0"/>
        <w:pageBreakBefore w:val="0"/>
        <w:numPr>
          <w:ilvl w:val="0"/>
          <w:numId w:val="69"/>
        </w:numPr>
        <w:tabs>
          <w:tab w:val="left" w:pos="567"/>
        </w:tabs>
        <w:kinsoku/>
        <w:wordWrap/>
        <w:overflowPunct/>
        <w:topLinePunct w:val="0"/>
        <w:bidi w:val="0"/>
        <w:adjustRightInd w:val="0"/>
        <w:spacing w:line="440" w:lineRule="exact"/>
        <w:textAlignment w:val="baseline"/>
        <w:rPr>
          <w:rFonts w:ascii="宋体" w:hAnsi="宋体"/>
          <w:sz w:val="24"/>
        </w:rPr>
      </w:pPr>
      <w:r>
        <w:rPr>
          <w:rFonts w:hint="eastAsia" w:ascii="宋体" w:hAnsi="宋体" w:cs="宋体"/>
          <w:sz w:val="24"/>
        </w:rPr>
        <w:t>合同壹式</w:t>
      </w:r>
      <w:r>
        <w:rPr>
          <w:rFonts w:hint="eastAsia" w:ascii="宋体" w:hAnsi="宋体" w:cs="宋体"/>
          <w:sz w:val="24"/>
          <w:u w:val="single"/>
        </w:rPr>
        <w:t xml:space="preserve">  </w:t>
      </w:r>
      <w:r>
        <w:rPr>
          <w:rFonts w:hint="eastAsia" w:ascii="宋体" w:hAnsi="宋体" w:cs="宋体"/>
          <w:sz w:val="24"/>
        </w:rPr>
        <w:t>份，其中甲乙双方各执</w:t>
      </w:r>
      <w:r>
        <w:rPr>
          <w:rFonts w:hint="eastAsia" w:ascii="宋体" w:hAnsi="宋体" w:cs="宋体"/>
          <w:sz w:val="24"/>
          <w:u w:val="single"/>
        </w:rPr>
        <w:t xml:space="preserve">  </w:t>
      </w:r>
      <w:r>
        <w:rPr>
          <w:rFonts w:hint="eastAsia" w:ascii="宋体" w:hAnsi="宋体" w:cs="宋体"/>
          <w:sz w:val="24"/>
        </w:rPr>
        <w:t>份</w:t>
      </w:r>
      <w:r>
        <w:rPr>
          <w:rFonts w:hint="eastAsia" w:ascii="宋体" w:hAnsi="宋体"/>
          <w:sz w:val="24"/>
        </w:rPr>
        <w:t>。</w:t>
      </w:r>
    </w:p>
    <w:p w14:paraId="408B2235">
      <w:pPr>
        <w:keepNext w:val="0"/>
        <w:keepLines w:val="0"/>
        <w:pageBreakBefore w:val="0"/>
        <w:kinsoku/>
        <w:wordWrap/>
        <w:overflowPunct/>
        <w:topLinePunct w:val="0"/>
        <w:bidi w:val="0"/>
        <w:adjustRightInd w:val="0"/>
        <w:snapToGrid w:val="0"/>
        <w:spacing w:line="440" w:lineRule="exact"/>
        <w:textAlignment w:val="baseline"/>
        <w:rPr>
          <w:rFonts w:ascii="宋体" w:hAnsi="宋体" w:cs="宋体"/>
          <w:sz w:val="24"/>
        </w:rPr>
      </w:pPr>
    </w:p>
    <w:p w14:paraId="08AC48A2">
      <w:pPr>
        <w:keepNext w:val="0"/>
        <w:keepLines w:val="0"/>
        <w:pageBreakBefore w:val="0"/>
        <w:kinsoku/>
        <w:wordWrap/>
        <w:overflowPunct/>
        <w:topLinePunct w:val="0"/>
        <w:bidi w:val="0"/>
        <w:adjustRightInd w:val="0"/>
        <w:snapToGrid w:val="0"/>
        <w:spacing w:line="440" w:lineRule="exact"/>
        <w:textAlignment w:val="baseline"/>
        <w:rPr>
          <w:rFonts w:ascii="宋体" w:hAnsi="宋体" w:cs="宋体"/>
          <w:sz w:val="24"/>
        </w:rPr>
      </w:pPr>
      <w:r>
        <w:rPr>
          <w:rFonts w:hint="eastAsia" w:ascii="宋体" w:hAnsi="宋体" w:cs="宋体"/>
          <w:sz w:val="24"/>
        </w:rPr>
        <w:t>甲方（盖章）：</w:t>
      </w:r>
      <w:r>
        <w:rPr>
          <w:rFonts w:hint="eastAsia" w:ascii="宋体" w:hAnsi="宋体"/>
          <w:bCs/>
          <w:sz w:val="24"/>
        </w:rPr>
        <w:t>佛山出入境边防检查站工会委员会</w:t>
      </w:r>
      <w:r>
        <w:rPr>
          <w:rFonts w:hint="eastAsia" w:ascii="宋体" w:hAnsi="宋体" w:cs="宋体"/>
          <w:sz w:val="24"/>
        </w:rPr>
        <w:t xml:space="preserve">   乙方（盖章）：</w:t>
      </w:r>
    </w:p>
    <w:p w14:paraId="73E95968">
      <w:pPr>
        <w:keepNext w:val="0"/>
        <w:keepLines w:val="0"/>
        <w:pageBreakBefore w:val="0"/>
        <w:kinsoku/>
        <w:wordWrap/>
        <w:overflowPunct/>
        <w:topLinePunct w:val="0"/>
        <w:bidi w:val="0"/>
        <w:adjustRightInd w:val="0"/>
        <w:snapToGrid w:val="0"/>
        <w:spacing w:line="440" w:lineRule="exact"/>
        <w:textAlignment w:val="baseline"/>
        <w:rPr>
          <w:rFonts w:ascii="宋体" w:hAnsi="宋体" w:cs="宋体"/>
          <w:sz w:val="24"/>
        </w:rPr>
      </w:pPr>
      <w:r>
        <w:rPr>
          <w:rFonts w:hint="eastAsia" w:ascii="宋体" w:hAnsi="宋体" w:cs="宋体"/>
          <w:sz w:val="24"/>
        </w:rPr>
        <w:t xml:space="preserve">代表：                                </w:t>
      </w:r>
      <w:r>
        <w:rPr>
          <w:rFonts w:ascii="宋体" w:hAnsi="宋体" w:cs="宋体"/>
          <w:sz w:val="24"/>
        </w:rPr>
        <w:t xml:space="preserve">       </w:t>
      </w:r>
      <w:r>
        <w:rPr>
          <w:rFonts w:hint="eastAsia" w:ascii="宋体" w:hAnsi="宋体" w:cs="宋体"/>
          <w:sz w:val="24"/>
        </w:rPr>
        <w:t xml:space="preserve">  代表： </w:t>
      </w:r>
    </w:p>
    <w:p w14:paraId="42B7BA9D">
      <w:pPr>
        <w:keepNext w:val="0"/>
        <w:keepLines w:val="0"/>
        <w:pageBreakBefore w:val="0"/>
        <w:kinsoku/>
        <w:wordWrap/>
        <w:overflowPunct/>
        <w:topLinePunct w:val="0"/>
        <w:bidi w:val="0"/>
        <w:adjustRightInd w:val="0"/>
        <w:snapToGrid w:val="0"/>
        <w:spacing w:line="440" w:lineRule="exact"/>
        <w:textAlignment w:val="baseline"/>
        <w:rPr>
          <w:rFonts w:ascii="宋体" w:hAnsi="宋体" w:cs="宋体"/>
          <w:sz w:val="24"/>
        </w:rPr>
      </w:pPr>
      <w:r>
        <w:rPr>
          <w:rFonts w:hint="eastAsia" w:ascii="宋体" w:hAnsi="宋体" w:cs="宋体"/>
          <w:sz w:val="24"/>
        </w:rPr>
        <w:t>签定地点：</w:t>
      </w:r>
    </w:p>
    <w:p w14:paraId="2AA373E0">
      <w:pPr>
        <w:keepNext w:val="0"/>
        <w:keepLines w:val="0"/>
        <w:pageBreakBefore w:val="0"/>
        <w:kinsoku/>
        <w:wordWrap/>
        <w:overflowPunct/>
        <w:topLinePunct w:val="0"/>
        <w:bidi w:val="0"/>
        <w:adjustRightInd w:val="0"/>
        <w:snapToGrid w:val="0"/>
        <w:spacing w:line="440" w:lineRule="exact"/>
        <w:textAlignment w:val="baseline"/>
        <w:rPr>
          <w:rFonts w:ascii="宋体" w:hAnsi="宋体" w:cs="宋体"/>
          <w:sz w:val="24"/>
        </w:rPr>
      </w:pPr>
      <w:r>
        <w:rPr>
          <w:rFonts w:hint="eastAsia" w:ascii="宋体" w:hAnsi="宋体" w:cs="宋体"/>
          <w:sz w:val="24"/>
        </w:rPr>
        <w:t xml:space="preserve">签定日期：        年     月    日     </w:t>
      </w:r>
      <w:r>
        <w:rPr>
          <w:rFonts w:ascii="宋体" w:hAnsi="宋体" w:cs="宋体"/>
          <w:sz w:val="24"/>
        </w:rPr>
        <w:t xml:space="preserve">       </w:t>
      </w:r>
      <w:r>
        <w:rPr>
          <w:rFonts w:hint="eastAsia" w:ascii="宋体" w:hAnsi="宋体" w:cs="宋体"/>
          <w:sz w:val="24"/>
        </w:rPr>
        <w:t xml:space="preserve">  签定日期：        年     月     日    </w:t>
      </w:r>
    </w:p>
    <w:p w14:paraId="6C399804">
      <w:pPr>
        <w:keepNext w:val="0"/>
        <w:keepLines w:val="0"/>
        <w:pageBreakBefore w:val="0"/>
        <w:kinsoku/>
        <w:wordWrap/>
        <w:overflowPunct/>
        <w:topLinePunct w:val="0"/>
        <w:bidi w:val="0"/>
        <w:adjustRightInd w:val="0"/>
        <w:snapToGrid w:val="0"/>
        <w:spacing w:line="440" w:lineRule="exact"/>
        <w:ind w:firstLine="4800" w:firstLineChars="2000"/>
        <w:textAlignment w:val="baseline"/>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开户名称：</w:t>
      </w:r>
    </w:p>
    <w:p w14:paraId="0FE66675">
      <w:pPr>
        <w:keepNext w:val="0"/>
        <w:keepLines w:val="0"/>
        <w:pageBreakBefore w:val="0"/>
        <w:kinsoku/>
        <w:wordWrap/>
        <w:overflowPunct/>
        <w:topLinePunct w:val="0"/>
        <w:bidi w:val="0"/>
        <w:adjustRightInd w:val="0"/>
        <w:snapToGrid w:val="0"/>
        <w:spacing w:line="440" w:lineRule="exact"/>
        <w:ind w:firstLine="4800" w:firstLineChars="2000"/>
        <w:textAlignment w:val="baseline"/>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银行账号：</w:t>
      </w:r>
    </w:p>
    <w:p w14:paraId="2CED92DD">
      <w:pPr>
        <w:keepNext w:val="0"/>
        <w:keepLines w:val="0"/>
        <w:pageBreakBefore w:val="0"/>
        <w:kinsoku/>
        <w:wordWrap/>
        <w:overflowPunct/>
        <w:topLinePunct w:val="0"/>
        <w:bidi w:val="0"/>
        <w:adjustRightInd w:val="0"/>
        <w:snapToGrid w:val="0"/>
        <w:spacing w:line="440" w:lineRule="exact"/>
        <w:ind w:firstLine="4800" w:firstLineChars="2000"/>
        <w:textAlignment w:val="baseline"/>
        <w:rPr>
          <w:rFonts w:ascii="宋体" w:hAnsi="宋体"/>
          <w:b/>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开 户 行：</w:t>
      </w:r>
      <w:r>
        <w:rPr>
          <w:rFonts w:ascii="宋体" w:hAnsi="宋体"/>
          <w:b/>
        </w:rPr>
        <w:br w:type="page"/>
      </w:r>
    </w:p>
    <w:p w14:paraId="55F1A2F6">
      <w:pPr>
        <w:spacing w:line="360" w:lineRule="auto"/>
        <w:ind w:left="588"/>
        <w:rPr>
          <w:rFonts w:ascii="宋体" w:hAnsi="宋体"/>
          <w:b/>
        </w:rPr>
        <w:sectPr>
          <w:headerReference r:id="rId10" w:type="default"/>
          <w:footerReference r:id="rId11" w:type="default"/>
          <w:pgSz w:w="11906" w:h="16838"/>
          <w:pgMar w:top="1440" w:right="849" w:bottom="1440" w:left="993" w:header="851" w:footer="992" w:gutter="0"/>
          <w:cols w:space="720" w:num="1"/>
          <w:docGrid w:type="lines" w:linePitch="312" w:charSpace="0"/>
        </w:sectPr>
      </w:pPr>
    </w:p>
    <w:p w14:paraId="4D8DC902">
      <w:pPr>
        <w:spacing w:before="156" w:beforeLines="50" w:after="156" w:afterLines="50" w:line="360" w:lineRule="auto"/>
        <w:jc w:val="center"/>
        <w:outlineLvl w:val="0"/>
        <w:rPr>
          <w:b/>
          <w:bCs/>
          <w:sz w:val="32"/>
          <w:szCs w:val="32"/>
        </w:rPr>
      </w:pPr>
      <w:bookmarkStart w:id="79" w:name="_Toc435514851"/>
      <w:bookmarkStart w:id="80" w:name="_Toc13067024"/>
      <w:bookmarkStart w:id="81" w:name="_Toc9672"/>
      <w:bookmarkStart w:id="82" w:name="_Toc435115056"/>
      <w:r>
        <w:rPr>
          <w:rFonts w:hint="eastAsia"/>
          <w:b/>
          <w:bCs/>
          <w:sz w:val="32"/>
          <w:szCs w:val="32"/>
        </w:rPr>
        <w:t>第六章 投标文件格式</w:t>
      </w:r>
      <w:bookmarkEnd w:id="79"/>
      <w:bookmarkEnd w:id="80"/>
      <w:bookmarkEnd w:id="81"/>
      <w:bookmarkEnd w:id="82"/>
    </w:p>
    <w:p w14:paraId="4B2A7B13">
      <w:pPr>
        <w:tabs>
          <w:tab w:val="left" w:pos="426"/>
        </w:tabs>
        <w:autoSpaceDE w:val="0"/>
        <w:autoSpaceDN w:val="0"/>
        <w:spacing w:line="360" w:lineRule="auto"/>
        <w:ind w:left="505"/>
        <w:jc w:val="center"/>
        <w:outlineLvl w:val="3"/>
        <w:rPr>
          <w:rFonts w:ascii="黑体" w:hAnsi="黑体" w:eastAsia="黑体"/>
          <w:sz w:val="32"/>
          <w:szCs w:val="32"/>
        </w:rPr>
      </w:pPr>
      <w:bookmarkStart w:id="83" w:name="_Toc435514852"/>
      <w:bookmarkStart w:id="84" w:name="_Toc435515292"/>
      <w:r>
        <w:rPr>
          <w:rFonts w:hint="eastAsia" w:ascii="黑体" w:hAnsi="黑体" w:eastAsia="黑体"/>
          <w:sz w:val="32"/>
          <w:szCs w:val="32"/>
        </w:rPr>
        <w:t>投标文件包装封面参考</w:t>
      </w:r>
      <w:bookmarkEnd w:id="83"/>
      <w:bookmarkEnd w:id="84"/>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8"/>
      </w:tblGrid>
      <w:tr w14:paraId="24FA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trPr>
        <w:tc>
          <w:tcPr>
            <w:tcW w:w="9018" w:type="dxa"/>
          </w:tcPr>
          <w:p w14:paraId="635C008B">
            <w:pPr>
              <w:pStyle w:val="16"/>
              <w:spacing w:line="360" w:lineRule="auto"/>
              <w:ind w:firstLine="482" w:firstLineChars="150"/>
              <w:rPr>
                <w:rFonts w:ascii="仿宋_GB2312" w:eastAsia="仿宋_GB2312"/>
                <w:b/>
                <w:sz w:val="32"/>
              </w:rPr>
            </w:pPr>
          </w:p>
          <w:p w14:paraId="4A55AF30">
            <w:pPr>
              <w:pStyle w:val="16"/>
              <w:spacing w:line="360" w:lineRule="auto"/>
              <w:ind w:firstLine="482" w:firstLineChars="150"/>
              <w:rPr>
                <w:rFonts w:ascii="仿宋_GB2312" w:eastAsia="仿宋_GB2312"/>
                <w:b/>
                <w:sz w:val="32"/>
              </w:rPr>
            </w:pPr>
          </w:p>
          <w:p w14:paraId="7C53E8DB">
            <w:pPr>
              <w:pStyle w:val="16"/>
              <w:spacing w:line="360" w:lineRule="auto"/>
              <w:ind w:firstLine="482" w:firstLineChars="150"/>
              <w:rPr>
                <w:rFonts w:ascii="仿宋_GB2312" w:eastAsia="仿宋_GB2312"/>
                <w:b/>
                <w:sz w:val="32"/>
              </w:rPr>
            </w:pPr>
          </w:p>
          <w:p w14:paraId="26283A9D">
            <w:pPr>
              <w:pStyle w:val="16"/>
              <w:spacing w:line="360" w:lineRule="auto"/>
              <w:jc w:val="center"/>
              <w:rPr>
                <w:rFonts w:ascii="黑体" w:eastAsia="黑体"/>
                <w:b/>
                <w:sz w:val="72"/>
                <w:szCs w:val="72"/>
              </w:rPr>
            </w:pPr>
            <w:r>
              <w:rPr>
                <w:rFonts w:hint="eastAsia" w:ascii="黑体" w:eastAsia="黑体"/>
                <w:b/>
                <w:sz w:val="72"/>
                <w:szCs w:val="72"/>
              </w:rPr>
              <w:t>投 标 文 件</w:t>
            </w:r>
          </w:p>
          <w:p w14:paraId="2EFA7685">
            <w:pPr>
              <w:pStyle w:val="16"/>
              <w:spacing w:line="360" w:lineRule="auto"/>
              <w:ind w:firstLine="3385" w:firstLineChars="651"/>
              <w:rPr>
                <w:rFonts w:ascii="黑体" w:eastAsia="黑体"/>
                <w:sz w:val="32"/>
              </w:rPr>
            </w:pPr>
            <w:r>
              <w:rPr>
                <w:rFonts w:hint="eastAsia" w:ascii="黑体" w:eastAsia="黑体"/>
                <w:sz w:val="52"/>
                <w:szCs w:val="52"/>
              </w:rPr>
              <w:t xml:space="preserve">口 </w:t>
            </w:r>
            <w:r>
              <w:rPr>
                <w:rFonts w:hint="eastAsia" w:ascii="黑体" w:eastAsia="黑体"/>
                <w:sz w:val="32"/>
              </w:rPr>
              <w:t>正本</w:t>
            </w:r>
          </w:p>
          <w:p w14:paraId="4A1F7888">
            <w:pPr>
              <w:pStyle w:val="16"/>
              <w:spacing w:line="360" w:lineRule="auto"/>
              <w:ind w:firstLine="3385" w:firstLineChars="651"/>
              <w:rPr>
                <w:rFonts w:ascii="黑体" w:eastAsia="黑体"/>
                <w:sz w:val="32"/>
              </w:rPr>
            </w:pPr>
            <w:r>
              <w:rPr>
                <w:rFonts w:hint="eastAsia" w:ascii="黑体" w:eastAsia="黑体"/>
                <w:sz w:val="52"/>
                <w:szCs w:val="52"/>
              </w:rPr>
              <w:t xml:space="preserve">口 </w:t>
            </w:r>
            <w:r>
              <w:rPr>
                <w:rFonts w:hint="eastAsia" w:ascii="黑体" w:eastAsia="黑体"/>
                <w:sz w:val="32"/>
              </w:rPr>
              <w:t>副本</w:t>
            </w:r>
          </w:p>
          <w:p w14:paraId="0923C430">
            <w:pPr>
              <w:pStyle w:val="16"/>
              <w:spacing w:line="360" w:lineRule="auto"/>
              <w:ind w:firstLine="3385" w:firstLineChars="651"/>
              <w:rPr>
                <w:rFonts w:ascii="黑体" w:eastAsia="黑体"/>
                <w:sz w:val="32"/>
              </w:rPr>
            </w:pPr>
            <w:r>
              <w:rPr>
                <w:rFonts w:hint="eastAsia" w:ascii="黑体" w:eastAsia="黑体"/>
                <w:sz w:val="52"/>
                <w:szCs w:val="52"/>
              </w:rPr>
              <w:t xml:space="preserve">口 </w:t>
            </w:r>
            <w:r>
              <w:rPr>
                <w:rFonts w:hint="eastAsia" w:ascii="黑体" w:eastAsia="黑体"/>
                <w:sz w:val="32"/>
              </w:rPr>
              <w:t>单独密封资料</w:t>
            </w:r>
          </w:p>
          <w:p w14:paraId="40D7C7E7">
            <w:pPr>
              <w:pStyle w:val="16"/>
              <w:spacing w:line="360" w:lineRule="auto"/>
              <w:ind w:firstLine="2091" w:firstLineChars="651"/>
              <w:rPr>
                <w:rFonts w:ascii="黑体" w:eastAsia="黑体"/>
                <w:b/>
                <w:sz w:val="32"/>
              </w:rPr>
            </w:pPr>
          </w:p>
          <w:p w14:paraId="588957DE">
            <w:pPr>
              <w:pStyle w:val="16"/>
              <w:spacing w:line="360" w:lineRule="auto"/>
              <w:rPr>
                <w:rFonts w:ascii="仿宋_GB2312" w:eastAsia="仿宋_GB2312"/>
                <w:b/>
                <w:sz w:val="32"/>
              </w:rPr>
            </w:pPr>
          </w:p>
          <w:p w14:paraId="193EE308">
            <w:pPr>
              <w:pStyle w:val="16"/>
              <w:spacing w:line="400" w:lineRule="exact"/>
              <w:ind w:firstLine="896" w:firstLineChars="320"/>
              <w:rPr>
                <w:rFonts w:hint="eastAsia" w:ascii="黑体" w:hAnsi="黑体" w:eastAsia="黑体"/>
                <w:sz w:val="28"/>
                <w:szCs w:val="28"/>
                <w:lang w:eastAsia="zh-CN"/>
              </w:rPr>
            </w:pPr>
            <w:r>
              <w:rPr>
                <w:rFonts w:hint="eastAsia" w:ascii="黑体" w:hAnsi="黑体" w:eastAsia="黑体"/>
                <w:sz w:val="28"/>
                <w:szCs w:val="28"/>
              </w:rPr>
              <w:t>项目编号：</w:t>
            </w:r>
            <w:r>
              <w:rPr>
                <w:rFonts w:hint="eastAsia" w:ascii="黑体" w:hAnsi="黑体" w:eastAsia="黑体"/>
                <w:sz w:val="28"/>
                <w:szCs w:val="28"/>
                <w:lang w:eastAsia="zh-CN"/>
              </w:rPr>
              <w:t>CLZ0126FS00QY05</w:t>
            </w:r>
          </w:p>
          <w:p w14:paraId="7D512D99">
            <w:pPr>
              <w:pStyle w:val="16"/>
              <w:spacing w:line="400" w:lineRule="exact"/>
              <w:ind w:firstLine="896" w:firstLineChars="320"/>
              <w:rPr>
                <w:rFonts w:hint="eastAsia" w:ascii="黑体" w:hAnsi="黑体" w:eastAsia="黑体"/>
                <w:sz w:val="28"/>
                <w:szCs w:val="28"/>
                <w:lang w:eastAsia="zh-CN"/>
              </w:rPr>
            </w:pPr>
            <w:r>
              <w:rPr>
                <w:rFonts w:hint="eastAsia" w:ascii="黑体" w:hAnsi="黑体" w:eastAsia="黑体"/>
                <w:sz w:val="28"/>
                <w:szCs w:val="28"/>
              </w:rPr>
              <w:t>项目名称：</w:t>
            </w:r>
            <w:r>
              <w:rPr>
                <w:rFonts w:hint="eastAsia" w:ascii="黑体" w:hAnsi="黑体" w:eastAsia="黑体"/>
                <w:sz w:val="28"/>
                <w:szCs w:val="28"/>
                <w:lang w:eastAsia="zh-CN"/>
              </w:rPr>
              <w:t>中华人民共和国佛山出入境边防检查站2026年度节日慰问品采购项目</w:t>
            </w:r>
          </w:p>
          <w:p w14:paraId="483E423A">
            <w:pPr>
              <w:pStyle w:val="16"/>
              <w:spacing w:line="400" w:lineRule="exact"/>
              <w:ind w:firstLine="896" w:firstLineChars="320"/>
              <w:rPr>
                <w:rFonts w:ascii="黑体" w:hAnsi="黑体" w:eastAsia="黑体"/>
                <w:sz w:val="28"/>
                <w:szCs w:val="28"/>
              </w:rPr>
            </w:pPr>
            <w:r>
              <w:rPr>
                <w:rFonts w:hint="eastAsia" w:ascii="黑体" w:hAnsi="黑体" w:eastAsia="黑体"/>
                <w:sz w:val="28"/>
                <w:szCs w:val="28"/>
              </w:rPr>
              <w:t>投标人名称：</w:t>
            </w:r>
          </w:p>
          <w:p w14:paraId="78AB5C62">
            <w:pPr>
              <w:pStyle w:val="16"/>
              <w:spacing w:line="400" w:lineRule="exact"/>
              <w:ind w:firstLine="896" w:firstLineChars="320"/>
              <w:rPr>
                <w:rFonts w:ascii="黑体" w:hAnsi="黑体" w:eastAsia="黑体"/>
                <w:sz w:val="28"/>
                <w:szCs w:val="28"/>
              </w:rPr>
            </w:pPr>
            <w:r>
              <w:rPr>
                <w:rFonts w:hint="eastAsia" w:ascii="黑体" w:hAnsi="黑体" w:eastAsia="黑体"/>
                <w:sz w:val="28"/>
                <w:szCs w:val="28"/>
              </w:rPr>
              <w:t>投标人地址：</w:t>
            </w:r>
          </w:p>
          <w:p w14:paraId="5DDBCFE7">
            <w:pPr>
              <w:pStyle w:val="16"/>
              <w:spacing w:line="400" w:lineRule="exact"/>
              <w:ind w:firstLine="1028" w:firstLineChars="320"/>
              <w:rPr>
                <w:rFonts w:ascii="仿宋_GB2312" w:eastAsia="仿宋_GB2312"/>
                <w:b/>
                <w:sz w:val="32"/>
              </w:rPr>
            </w:pPr>
          </w:p>
        </w:tc>
      </w:tr>
    </w:tbl>
    <w:p w14:paraId="6FF6A416">
      <w:pPr>
        <w:tabs>
          <w:tab w:val="left" w:pos="426"/>
        </w:tabs>
        <w:autoSpaceDE w:val="0"/>
        <w:autoSpaceDN w:val="0"/>
        <w:spacing w:line="360" w:lineRule="auto"/>
        <w:ind w:left="505"/>
        <w:jc w:val="center"/>
        <w:outlineLvl w:val="3"/>
        <w:rPr>
          <w:rFonts w:ascii="黑体" w:hAnsi="黑体" w:eastAsia="黑体"/>
          <w:sz w:val="32"/>
          <w:szCs w:val="32"/>
        </w:rPr>
      </w:pPr>
      <w:r>
        <w:rPr>
          <w:rFonts w:ascii="黑体"/>
          <w:bCs/>
          <w:sz w:val="28"/>
        </w:rPr>
        <w:br w:type="page"/>
      </w:r>
      <w:r>
        <w:rPr>
          <w:rFonts w:hint="eastAsia" w:ascii="黑体" w:hAnsi="黑体" w:eastAsia="黑体"/>
          <w:sz w:val="32"/>
          <w:szCs w:val="32"/>
        </w:rPr>
        <w:t>投标文件目录表</w:t>
      </w:r>
    </w:p>
    <w:p w14:paraId="4B111AFF">
      <w:pPr>
        <w:pStyle w:val="84"/>
        <w:numPr>
          <w:ilvl w:val="0"/>
          <w:numId w:val="70"/>
        </w:numPr>
        <w:snapToGrid w:val="0"/>
        <w:spacing w:line="360" w:lineRule="auto"/>
        <w:ind w:firstLineChars="0"/>
        <w:rPr>
          <w:rFonts w:ascii="宋体" w:hAnsi="宋体"/>
          <w:b/>
          <w:sz w:val="24"/>
        </w:rPr>
      </w:pPr>
      <w:r>
        <w:rPr>
          <w:rFonts w:hint="eastAsia" w:ascii="宋体" w:hAnsi="宋体"/>
          <w:b/>
          <w:sz w:val="24"/>
        </w:rPr>
        <w:t>相关说明：</w:t>
      </w:r>
    </w:p>
    <w:p w14:paraId="1DE51174">
      <w:pPr>
        <w:pStyle w:val="84"/>
        <w:numPr>
          <w:ilvl w:val="0"/>
          <w:numId w:val="71"/>
        </w:numPr>
        <w:snapToGrid w:val="0"/>
        <w:spacing w:line="360" w:lineRule="auto"/>
        <w:ind w:firstLineChars="0"/>
        <w:rPr>
          <w:rFonts w:ascii="宋体" w:hAnsi="宋体"/>
          <w:sz w:val="24"/>
        </w:rPr>
      </w:pPr>
      <w:r>
        <w:rPr>
          <w:rFonts w:hint="eastAsia" w:ascii="宋体" w:hAnsi="宋体"/>
          <w:sz w:val="24"/>
        </w:rPr>
        <w:t>投标文件包括但不限于以下组成内容，请按顺序制作。</w:t>
      </w:r>
    </w:p>
    <w:p w14:paraId="05518C4E">
      <w:pPr>
        <w:pStyle w:val="84"/>
        <w:numPr>
          <w:ilvl w:val="0"/>
          <w:numId w:val="71"/>
        </w:numPr>
        <w:snapToGrid w:val="0"/>
        <w:spacing w:line="360" w:lineRule="auto"/>
        <w:ind w:left="0" w:firstLine="0" w:firstLineChars="0"/>
        <w:jc w:val="left"/>
        <w:rPr>
          <w:rFonts w:ascii="宋体" w:hAnsi="宋体"/>
          <w:sz w:val="24"/>
        </w:rPr>
      </w:pPr>
      <w:r>
        <w:rPr>
          <w:rFonts w:hint="eastAsia" w:ascii="宋体" w:hAnsi="宋体"/>
          <w:sz w:val="24"/>
        </w:rPr>
        <w:t>投标人编制投标文件中的项目编号为</w:t>
      </w:r>
      <w:r>
        <w:rPr>
          <w:rFonts w:hint="eastAsia" w:ascii="宋体" w:hAnsi="宋体"/>
          <w:sz w:val="24"/>
          <w:lang w:eastAsia="zh-CN"/>
        </w:rPr>
        <w:t>CLZ0126FS00QY05</w:t>
      </w:r>
      <w:r>
        <w:rPr>
          <w:rFonts w:hint="eastAsia" w:ascii="宋体" w:hAnsi="宋体"/>
          <w:sz w:val="24"/>
        </w:rPr>
        <w:t>。</w:t>
      </w:r>
    </w:p>
    <w:p w14:paraId="7CDC806F">
      <w:pPr>
        <w:pStyle w:val="84"/>
        <w:widowControl/>
        <w:numPr>
          <w:ilvl w:val="0"/>
          <w:numId w:val="71"/>
        </w:numPr>
        <w:snapToGrid w:val="0"/>
        <w:spacing w:line="360" w:lineRule="auto"/>
        <w:ind w:left="0" w:firstLine="0" w:firstLineChars="0"/>
        <w:jc w:val="left"/>
        <w:rPr>
          <w:rFonts w:ascii="宋体" w:hAnsi="宋体"/>
          <w:sz w:val="24"/>
        </w:rPr>
      </w:pPr>
      <w:r>
        <w:rPr>
          <w:rFonts w:hint="eastAsia" w:ascii="宋体" w:hAnsi="宋体"/>
          <w:sz w:val="24"/>
        </w:rPr>
        <w:t>投标人按照《资格性审查表》的评审内容的要求如实提供证明材料</w:t>
      </w:r>
      <w:r>
        <w:rPr>
          <w:rFonts w:hint="eastAsia" w:ascii="宋体" w:hAnsi="宋体"/>
          <w:bCs/>
          <w:sz w:val="24"/>
        </w:rPr>
        <w:t>并应加盖投标人公章</w:t>
      </w:r>
      <w:r>
        <w:rPr>
          <w:rFonts w:hint="eastAsia" w:ascii="宋体" w:hAnsi="宋体"/>
          <w:sz w:val="24"/>
        </w:rPr>
        <w:t>。</w:t>
      </w:r>
      <w:r>
        <w:rPr>
          <w:rFonts w:hint="eastAsia" w:ascii="宋体" w:cs="宋体"/>
          <w:sz w:val="24"/>
        </w:rPr>
        <w:t>未通过资格性审查的投标人，为无效投标，不进入符合性审查。</w:t>
      </w:r>
    </w:p>
    <w:p w14:paraId="35ADB98A">
      <w:pPr>
        <w:pStyle w:val="84"/>
        <w:widowControl/>
        <w:numPr>
          <w:ilvl w:val="0"/>
          <w:numId w:val="71"/>
        </w:numPr>
        <w:snapToGrid w:val="0"/>
        <w:spacing w:line="360" w:lineRule="auto"/>
        <w:ind w:left="0" w:firstLine="0" w:firstLineChars="0"/>
        <w:jc w:val="left"/>
        <w:rPr>
          <w:rFonts w:ascii="宋体" w:cs="宋体"/>
          <w:strike/>
          <w:sz w:val="24"/>
        </w:rPr>
      </w:pPr>
      <w:r>
        <w:rPr>
          <w:rFonts w:hint="eastAsia" w:ascii="宋体" w:cs="宋体"/>
          <w:sz w:val="24"/>
        </w:rPr>
        <w:t>投标人按照《符合性审查表》的评审内容的要求如实提供证明材料</w:t>
      </w:r>
      <w:r>
        <w:rPr>
          <w:rFonts w:hint="eastAsia" w:ascii="宋体" w:hAnsi="宋体"/>
          <w:bCs/>
          <w:sz w:val="24"/>
        </w:rPr>
        <w:t>并应加盖投标人公章</w:t>
      </w:r>
      <w:r>
        <w:rPr>
          <w:rFonts w:hint="eastAsia" w:ascii="宋体" w:cs="宋体"/>
          <w:sz w:val="24"/>
        </w:rPr>
        <w:t>。未通过符合性审查的投标人，为无效投标，不进入详细评审。</w:t>
      </w:r>
    </w:p>
    <w:p w14:paraId="66CE50E0">
      <w:pPr>
        <w:pStyle w:val="84"/>
        <w:numPr>
          <w:ilvl w:val="0"/>
          <w:numId w:val="71"/>
        </w:numPr>
        <w:snapToGrid w:val="0"/>
        <w:spacing w:line="360" w:lineRule="auto"/>
        <w:ind w:left="0" w:firstLine="0" w:firstLineChars="0"/>
        <w:jc w:val="left"/>
        <w:rPr>
          <w:rFonts w:ascii="宋体" w:hAnsi="宋体"/>
          <w:sz w:val="24"/>
        </w:rPr>
      </w:pPr>
      <w:r>
        <w:rPr>
          <w:rFonts w:hint="eastAsia" w:ascii="宋体" w:hAnsi="宋体"/>
          <w:sz w:val="24"/>
        </w:rPr>
        <w:t>投标人根据第三章评标方法和标准的《综合评分表》要求提交相关各类证明材料，并</w:t>
      </w:r>
      <w:r>
        <w:rPr>
          <w:rFonts w:hint="eastAsia" w:ascii="宋体" w:hAnsi="宋体"/>
          <w:bCs/>
          <w:sz w:val="24"/>
        </w:rPr>
        <w:t>加盖投标人公章。</w:t>
      </w:r>
    </w:p>
    <w:p w14:paraId="44831D2E">
      <w:pPr>
        <w:widowControl/>
        <w:spacing w:line="360" w:lineRule="auto"/>
        <w:jc w:val="left"/>
        <w:rPr>
          <w:rFonts w:ascii="宋体" w:cs="宋体"/>
          <w:strike/>
          <w:sz w:val="24"/>
        </w:rPr>
      </w:pPr>
    </w:p>
    <w:p w14:paraId="24FF8AE6">
      <w:pPr>
        <w:pStyle w:val="84"/>
        <w:numPr>
          <w:ilvl w:val="0"/>
          <w:numId w:val="72"/>
        </w:numPr>
        <w:snapToGrid w:val="0"/>
        <w:spacing w:line="360" w:lineRule="auto"/>
        <w:ind w:firstLineChars="0"/>
        <w:jc w:val="center"/>
        <w:rPr>
          <w:rFonts w:ascii="宋体" w:hAnsi="宋体"/>
          <w:b/>
          <w:sz w:val="30"/>
          <w:szCs w:val="30"/>
        </w:rPr>
      </w:pPr>
      <w:r>
        <w:rPr>
          <w:rFonts w:hint="eastAsia" w:ascii="宋体" w:hAnsi="宋体"/>
          <w:b/>
          <w:sz w:val="30"/>
          <w:szCs w:val="30"/>
        </w:rPr>
        <w:t>价格评审自查表</w:t>
      </w:r>
    </w:p>
    <w:p w14:paraId="4D24F203">
      <w:pPr>
        <w:snapToGrid w:val="0"/>
        <w:spacing w:line="360" w:lineRule="auto"/>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p w14:paraId="3136D1BC">
      <w:pPr>
        <w:snapToGrid w:val="0"/>
        <w:spacing w:line="360" w:lineRule="auto"/>
        <w:rPr>
          <w:rFonts w:hint="eastAsia" w:ascii="宋体" w:hAnsi="宋体" w:eastAsia="宋体"/>
          <w:sz w:val="24"/>
          <w:lang w:eastAsia="zh-CN"/>
        </w:rPr>
      </w:pPr>
      <w:r>
        <w:rPr>
          <w:rFonts w:hint="eastAsia" w:ascii="宋体" w:hAnsi="宋体"/>
          <w:sz w:val="24"/>
        </w:rPr>
        <w:t>项目编号：</w:t>
      </w:r>
      <w:r>
        <w:rPr>
          <w:rFonts w:hint="eastAsia" w:ascii="宋体" w:hAnsi="宋体"/>
          <w:sz w:val="24"/>
          <w:lang w:eastAsia="zh-CN"/>
        </w:rPr>
        <w:t>CLZ0126FS00QY05</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5485"/>
        <w:gridCol w:w="3156"/>
      </w:tblGrid>
      <w:tr w14:paraId="4A104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02" w:type="pct"/>
            <w:tcBorders>
              <w:top w:val="single" w:color="auto" w:sz="12" w:space="0"/>
              <w:left w:val="single" w:color="auto" w:sz="12" w:space="0"/>
              <w:bottom w:val="single" w:color="auto" w:sz="4" w:space="0"/>
              <w:right w:val="single" w:color="auto" w:sz="4" w:space="0"/>
            </w:tcBorders>
            <w:vAlign w:val="center"/>
          </w:tcPr>
          <w:p w14:paraId="0961D324">
            <w:pPr>
              <w:snapToGrid w:val="0"/>
              <w:jc w:val="center"/>
              <w:rPr>
                <w:rFonts w:ascii="宋体" w:hAnsi="宋体"/>
                <w:b/>
                <w:sz w:val="24"/>
              </w:rPr>
            </w:pPr>
            <w:r>
              <w:rPr>
                <w:rFonts w:hint="eastAsia" w:ascii="宋体" w:hAnsi="宋体"/>
                <w:b/>
                <w:sz w:val="24"/>
              </w:rPr>
              <w:t>序号</w:t>
            </w:r>
          </w:p>
        </w:tc>
        <w:tc>
          <w:tcPr>
            <w:tcW w:w="2919" w:type="pct"/>
            <w:tcBorders>
              <w:top w:val="single" w:color="auto" w:sz="12" w:space="0"/>
              <w:left w:val="single" w:color="auto" w:sz="4" w:space="0"/>
              <w:bottom w:val="single" w:color="auto" w:sz="4" w:space="0"/>
              <w:right w:val="single" w:color="auto" w:sz="4" w:space="0"/>
            </w:tcBorders>
            <w:vAlign w:val="center"/>
          </w:tcPr>
          <w:p w14:paraId="56A22973">
            <w:pPr>
              <w:snapToGrid w:val="0"/>
              <w:jc w:val="center"/>
              <w:rPr>
                <w:rFonts w:ascii="宋体" w:hAnsi="宋体"/>
                <w:b/>
                <w:sz w:val="24"/>
              </w:rPr>
            </w:pPr>
            <w:r>
              <w:rPr>
                <w:rFonts w:hint="eastAsia" w:ascii="宋体" w:hAnsi="宋体"/>
                <w:b/>
                <w:sz w:val="24"/>
              </w:rPr>
              <w:t>评审分项</w:t>
            </w:r>
          </w:p>
        </w:tc>
        <w:tc>
          <w:tcPr>
            <w:tcW w:w="1679" w:type="pct"/>
            <w:tcBorders>
              <w:top w:val="single" w:color="auto" w:sz="12" w:space="0"/>
              <w:left w:val="single" w:color="auto" w:sz="4" w:space="0"/>
              <w:bottom w:val="single" w:color="auto" w:sz="4" w:space="0"/>
              <w:right w:val="single" w:color="auto" w:sz="12" w:space="0"/>
            </w:tcBorders>
            <w:vAlign w:val="center"/>
          </w:tcPr>
          <w:p w14:paraId="4C53B476">
            <w:pPr>
              <w:snapToGrid w:val="0"/>
              <w:jc w:val="center"/>
              <w:rPr>
                <w:rFonts w:ascii="宋体" w:hAnsi="宋体"/>
                <w:b/>
                <w:sz w:val="24"/>
              </w:rPr>
            </w:pPr>
            <w:r>
              <w:rPr>
                <w:rFonts w:hint="eastAsia" w:ascii="宋体" w:hAnsi="宋体"/>
                <w:b/>
                <w:sz w:val="24"/>
              </w:rPr>
              <w:t>证明文件</w:t>
            </w:r>
          </w:p>
        </w:tc>
      </w:tr>
      <w:tr w14:paraId="6F97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02" w:type="pct"/>
            <w:tcBorders>
              <w:top w:val="single" w:color="auto" w:sz="4" w:space="0"/>
              <w:left w:val="single" w:color="auto" w:sz="12" w:space="0"/>
              <w:bottom w:val="single" w:color="auto" w:sz="4" w:space="0"/>
              <w:right w:val="single" w:color="auto" w:sz="4" w:space="0"/>
            </w:tcBorders>
            <w:vAlign w:val="center"/>
          </w:tcPr>
          <w:p w14:paraId="2FB65E9A">
            <w:pPr>
              <w:numPr>
                <w:ilvl w:val="0"/>
                <w:numId w:val="73"/>
              </w:numPr>
              <w:snapToGrid w:val="0"/>
              <w:rPr>
                <w:rFonts w:ascii="宋体" w:hAnsi="宋体"/>
                <w:sz w:val="24"/>
              </w:rPr>
            </w:pPr>
          </w:p>
        </w:tc>
        <w:tc>
          <w:tcPr>
            <w:tcW w:w="2919" w:type="pct"/>
            <w:tcBorders>
              <w:top w:val="single" w:color="auto" w:sz="4" w:space="0"/>
              <w:left w:val="single" w:color="auto" w:sz="4" w:space="0"/>
              <w:bottom w:val="single" w:color="auto" w:sz="4" w:space="0"/>
              <w:right w:val="single" w:color="auto" w:sz="4" w:space="0"/>
            </w:tcBorders>
            <w:vAlign w:val="center"/>
          </w:tcPr>
          <w:p w14:paraId="3903F9F2">
            <w:pPr>
              <w:snapToGrid w:val="0"/>
              <w:jc w:val="center"/>
              <w:rPr>
                <w:rFonts w:ascii="宋体" w:hAnsi="宋体"/>
                <w:sz w:val="24"/>
              </w:rPr>
            </w:pPr>
            <w:r>
              <w:rPr>
                <w:rFonts w:hint="eastAsia" w:hAnsi="宋体" w:cs="Courier New"/>
                <w:sz w:val="24"/>
              </w:rPr>
              <w:t>开标一览表(报价表)</w:t>
            </w:r>
          </w:p>
        </w:tc>
        <w:tc>
          <w:tcPr>
            <w:tcW w:w="1679" w:type="pct"/>
            <w:tcBorders>
              <w:top w:val="single" w:color="auto" w:sz="4" w:space="0"/>
              <w:left w:val="single" w:color="auto" w:sz="4" w:space="0"/>
              <w:bottom w:val="single" w:color="auto" w:sz="4" w:space="0"/>
              <w:right w:val="single" w:color="auto" w:sz="12" w:space="0"/>
            </w:tcBorders>
            <w:vAlign w:val="center"/>
          </w:tcPr>
          <w:p w14:paraId="414626F8">
            <w:pPr>
              <w:snapToGrid w:val="0"/>
              <w:jc w:val="center"/>
              <w:rPr>
                <w:rFonts w:ascii="宋体" w:hAnsi="宋体"/>
                <w:sz w:val="24"/>
              </w:rPr>
            </w:pPr>
            <w:r>
              <w:rPr>
                <w:rFonts w:hint="eastAsia" w:asciiTheme="minorEastAsia" w:hAnsiTheme="minorEastAsia" w:eastAsiaTheme="minorEastAsia"/>
                <w:sz w:val="24"/>
              </w:rPr>
              <w:t>第（ ）页</w:t>
            </w:r>
          </w:p>
        </w:tc>
      </w:tr>
      <w:tr w14:paraId="26622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402" w:type="pct"/>
            <w:tcBorders>
              <w:top w:val="single" w:color="auto" w:sz="4" w:space="0"/>
              <w:left w:val="single" w:color="auto" w:sz="12" w:space="0"/>
              <w:bottom w:val="single" w:color="auto" w:sz="4" w:space="0"/>
              <w:right w:val="single" w:color="auto" w:sz="4" w:space="0"/>
            </w:tcBorders>
            <w:vAlign w:val="center"/>
          </w:tcPr>
          <w:p w14:paraId="62F3EB91">
            <w:pPr>
              <w:numPr>
                <w:ilvl w:val="0"/>
                <w:numId w:val="73"/>
              </w:numPr>
              <w:snapToGrid w:val="0"/>
              <w:rPr>
                <w:rFonts w:ascii="宋体" w:hAnsi="宋体"/>
                <w:sz w:val="24"/>
              </w:rPr>
            </w:pPr>
          </w:p>
        </w:tc>
        <w:tc>
          <w:tcPr>
            <w:tcW w:w="2919" w:type="pct"/>
            <w:tcBorders>
              <w:top w:val="single" w:color="auto" w:sz="4" w:space="0"/>
              <w:left w:val="single" w:color="auto" w:sz="4" w:space="0"/>
              <w:bottom w:val="single" w:color="auto" w:sz="4" w:space="0"/>
              <w:right w:val="single" w:color="auto" w:sz="4" w:space="0"/>
            </w:tcBorders>
            <w:vAlign w:val="center"/>
          </w:tcPr>
          <w:p w14:paraId="677E4E14">
            <w:pPr>
              <w:snapToGrid w:val="0"/>
              <w:jc w:val="center"/>
              <w:rPr>
                <w:rFonts w:ascii="宋体" w:hAnsi="宋体"/>
                <w:sz w:val="24"/>
              </w:rPr>
            </w:pPr>
            <w:r>
              <w:rPr>
                <w:rFonts w:hint="eastAsia" w:ascii="宋体" w:hAnsi="宋体"/>
                <w:sz w:val="24"/>
              </w:rPr>
              <w:t>投标分项报价表</w:t>
            </w:r>
          </w:p>
        </w:tc>
        <w:tc>
          <w:tcPr>
            <w:tcW w:w="1679" w:type="pct"/>
            <w:tcBorders>
              <w:top w:val="single" w:color="auto" w:sz="4" w:space="0"/>
              <w:left w:val="single" w:color="auto" w:sz="4" w:space="0"/>
              <w:bottom w:val="single" w:color="auto" w:sz="4" w:space="0"/>
              <w:right w:val="single" w:color="auto" w:sz="12" w:space="0"/>
            </w:tcBorders>
            <w:vAlign w:val="center"/>
          </w:tcPr>
          <w:p w14:paraId="0865120D">
            <w:pPr>
              <w:snapToGrid w:val="0"/>
              <w:jc w:val="center"/>
              <w:rPr>
                <w:rFonts w:ascii="宋体" w:hAnsi="宋体"/>
                <w:sz w:val="24"/>
              </w:rPr>
            </w:pPr>
            <w:r>
              <w:rPr>
                <w:rFonts w:hint="eastAsia" w:asciiTheme="minorEastAsia" w:hAnsiTheme="minorEastAsia" w:eastAsiaTheme="minorEastAsia"/>
                <w:sz w:val="24"/>
              </w:rPr>
              <w:t>第（ ）页</w:t>
            </w:r>
          </w:p>
        </w:tc>
      </w:tr>
      <w:tr w14:paraId="0B7AE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402" w:type="pct"/>
            <w:tcBorders>
              <w:top w:val="single" w:color="auto" w:sz="4" w:space="0"/>
              <w:left w:val="single" w:color="auto" w:sz="12" w:space="0"/>
              <w:bottom w:val="single" w:color="auto" w:sz="4" w:space="0"/>
              <w:right w:val="single" w:color="auto" w:sz="4" w:space="0"/>
            </w:tcBorders>
            <w:vAlign w:val="center"/>
          </w:tcPr>
          <w:p w14:paraId="0FAF6879">
            <w:pPr>
              <w:numPr>
                <w:ilvl w:val="0"/>
                <w:numId w:val="73"/>
              </w:numPr>
              <w:snapToGrid w:val="0"/>
              <w:rPr>
                <w:rFonts w:ascii="宋体" w:hAnsi="宋体"/>
                <w:sz w:val="24"/>
              </w:rPr>
            </w:pPr>
          </w:p>
        </w:tc>
        <w:tc>
          <w:tcPr>
            <w:tcW w:w="2919" w:type="pct"/>
            <w:tcBorders>
              <w:top w:val="single" w:color="auto" w:sz="4" w:space="0"/>
              <w:left w:val="single" w:color="auto" w:sz="4" w:space="0"/>
              <w:bottom w:val="single" w:color="auto" w:sz="4" w:space="0"/>
              <w:right w:val="single" w:color="auto" w:sz="4" w:space="0"/>
            </w:tcBorders>
            <w:vAlign w:val="center"/>
          </w:tcPr>
          <w:p w14:paraId="37473019">
            <w:pPr>
              <w:snapToGrid w:val="0"/>
              <w:jc w:val="center"/>
              <w:rPr>
                <w:rFonts w:ascii="宋体" w:hAnsi="宋体"/>
                <w:sz w:val="24"/>
              </w:rPr>
            </w:pPr>
            <w:r>
              <w:rPr>
                <w:rFonts w:hint="eastAsia" w:hAnsi="宋体" w:cs="Courier New"/>
                <w:sz w:val="24"/>
              </w:rPr>
              <w:t>中小企业声明函（如有）</w:t>
            </w:r>
          </w:p>
        </w:tc>
        <w:tc>
          <w:tcPr>
            <w:tcW w:w="1679" w:type="pct"/>
            <w:tcBorders>
              <w:top w:val="single" w:color="auto" w:sz="4" w:space="0"/>
              <w:left w:val="single" w:color="auto" w:sz="4" w:space="0"/>
              <w:bottom w:val="single" w:color="auto" w:sz="4" w:space="0"/>
              <w:right w:val="single" w:color="auto" w:sz="12" w:space="0"/>
            </w:tcBorders>
            <w:vAlign w:val="center"/>
          </w:tcPr>
          <w:p w14:paraId="7036005A">
            <w:pPr>
              <w:snapToGrid w:val="0"/>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37D7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402" w:type="pct"/>
            <w:tcBorders>
              <w:top w:val="single" w:color="auto" w:sz="4" w:space="0"/>
              <w:left w:val="single" w:color="auto" w:sz="12" w:space="0"/>
              <w:bottom w:val="single" w:color="auto" w:sz="4" w:space="0"/>
              <w:right w:val="single" w:color="auto" w:sz="4" w:space="0"/>
            </w:tcBorders>
            <w:vAlign w:val="center"/>
          </w:tcPr>
          <w:p w14:paraId="3BA0D1FA">
            <w:pPr>
              <w:numPr>
                <w:ilvl w:val="0"/>
                <w:numId w:val="73"/>
              </w:numPr>
              <w:snapToGrid w:val="0"/>
              <w:rPr>
                <w:rFonts w:ascii="宋体" w:hAnsi="宋体"/>
                <w:sz w:val="24"/>
              </w:rPr>
            </w:pPr>
          </w:p>
        </w:tc>
        <w:tc>
          <w:tcPr>
            <w:tcW w:w="2919" w:type="pct"/>
            <w:tcBorders>
              <w:top w:val="single" w:color="auto" w:sz="4" w:space="0"/>
              <w:left w:val="single" w:color="auto" w:sz="4" w:space="0"/>
              <w:bottom w:val="single" w:color="auto" w:sz="4" w:space="0"/>
              <w:right w:val="single" w:color="auto" w:sz="4" w:space="0"/>
            </w:tcBorders>
            <w:vAlign w:val="center"/>
          </w:tcPr>
          <w:p w14:paraId="57D8E6B2">
            <w:pPr>
              <w:snapToGrid w:val="0"/>
              <w:jc w:val="center"/>
              <w:rPr>
                <w:rFonts w:ascii="宋体" w:hAnsi="宋体"/>
                <w:sz w:val="24"/>
              </w:rPr>
            </w:pPr>
            <w:r>
              <w:rPr>
                <w:rFonts w:hint="eastAsia" w:hAnsi="宋体" w:cs="Courier New"/>
                <w:sz w:val="24"/>
              </w:rPr>
              <w:t>监狱企业的证明文件（如有）</w:t>
            </w:r>
          </w:p>
        </w:tc>
        <w:tc>
          <w:tcPr>
            <w:tcW w:w="1679" w:type="pct"/>
            <w:tcBorders>
              <w:top w:val="single" w:color="auto" w:sz="4" w:space="0"/>
              <w:left w:val="single" w:color="auto" w:sz="4" w:space="0"/>
              <w:bottom w:val="single" w:color="auto" w:sz="4" w:space="0"/>
              <w:right w:val="single" w:color="auto" w:sz="12" w:space="0"/>
            </w:tcBorders>
            <w:vAlign w:val="center"/>
          </w:tcPr>
          <w:p w14:paraId="1DBEE12A">
            <w:pPr>
              <w:snapToGrid w:val="0"/>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0D43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402" w:type="pct"/>
            <w:tcBorders>
              <w:top w:val="single" w:color="auto" w:sz="4" w:space="0"/>
              <w:left w:val="single" w:color="auto" w:sz="12" w:space="0"/>
              <w:bottom w:val="single" w:color="auto" w:sz="4" w:space="0"/>
              <w:right w:val="single" w:color="auto" w:sz="4" w:space="0"/>
            </w:tcBorders>
            <w:vAlign w:val="center"/>
          </w:tcPr>
          <w:p w14:paraId="6038F09F">
            <w:pPr>
              <w:numPr>
                <w:ilvl w:val="0"/>
                <w:numId w:val="73"/>
              </w:numPr>
              <w:snapToGrid w:val="0"/>
              <w:rPr>
                <w:rFonts w:ascii="宋体" w:hAnsi="宋体"/>
                <w:sz w:val="24"/>
              </w:rPr>
            </w:pPr>
          </w:p>
        </w:tc>
        <w:tc>
          <w:tcPr>
            <w:tcW w:w="2919" w:type="pct"/>
            <w:tcBorders>
              <w:top w:val="single" w:color="auto" w:sz="4" w:space="0"/>
              <w:left w:val="single" w:color="auto" w:sz="4" w:space="0"/>
              <w:bottom w:val="single" w:color="auto" w:sz="4" w:space="0"/>
              <w:right w:val="single" w:color="auto" w:sz="4" w:space="0"/>
            </w:tcBorders>
            <w:vAlign w:val="center"/>
          </w:tcPr>
          <w:p w14:paraId="525B2AD3">
            <w:pPr>
              <w:snapToGrid w:val="0"/>
              <w:jc w:val="center"/>
              <w:rPr>
                <w:rFonts w:ascii="宋体" w:hAnsi="宋体"/>
                <w:sz w:val="24"/>
              </w:rPr>
            </w:pPr>
            <w:r>
              <w:rPr>
                <w:rFonts w:hint="eastAsia" w:hAnsi="宋体" w:cs="Courier New"/>
                <w:sz w:val="24"/>
              </w:rPr>
              <w:t>残疾人福利性单位声明函（如有）</w:t>
            </w:r>
          </w:p>
        </w:tc>
        <w:tc>
          <w:tcPr>
            <w:tcW w:w="1679" w:type="pct"/>
            <w:tcBorders>
              <w:top w:val="single" w:color="auto" w:sz="4" w:space="0"/>
              <w:left w:val="single" w:color="auto" w:sz="4" w:space="0"/>
              <w:bottom w:val="single" w:color="auto" w:sz="4" w:space="0"/>
              <w:right w:val="single" w:color="auto" w:sz="12" w:space="0"/>
            </w:tcBorders>
            <w:vAlign w:val="center"/>
          </w:tcPr>
          <w:p w14:paraId="16E64760">
            <w:pPr>
              <w:snapToGrid w:val="0"/>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3A79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02" w:type="pct"/>
            <w:tcBorders>
              <w:left w:val="single" w:color="auto" w:sz="12" w:space="0"/>
              <w:bottom w:val="single" w:color="auto" w:sz="12" w:space="0"/>
              <w:right w:val="single" w:color="auto" w:sz="4" w:space="0"/>
            </w:tcBorders>
            <w:vAlign w:val="center"/>
          </w:tcPr>
          <w:p w14:paraId="59EB2359">
            <w:pPr>
              <w:numPr>
                <w:ilvl w:val="0"/>
                <w:numId w:val="73"/>
              </w:numPr>
              <w:snapToGrid w:val="0"/>
              <w:rPr>
                <w:rFonts w:ascii="宋体" w:hAnsi="宋体"/>
                <w:sz w:val="24"/>
              </w:rPr>
            </w:pPr>
          </w:p>
        </w:tc>
        <w:tc>
          <w:tcPr>
            <w:tcW w:w="2919" w:type="pct"/>
            <w:tcBorders>
              <w:left w:val="single" w:color="auto" w:sz="4" w:space="0"/>
              <w:bottom w:val="single" w:color="auto" w:sz="12" w:space="0"/>
              <w:right w:val="single" w:color="auto" w:sz="4" w:space="0"/>
            </w:tcBorders>
            <w:vAlign w:val="center"/>
          </w:tcPr>
          <w:p w14:paraId="40C7C8B3">
            <w:pPr>
              <w:snapToGrid w:val="0"/>
              <w:jc w:val="center"/>
              <w:rPr>
                <w:rFonts w:hAnsi="宋体" w:cs="Courier New"/>
                <w:sz w:val="24"/>
              </w:rPr>
            </w:pPr>
            <w:r>
              <w:rPr>
                <w:rFonts w:hint="eastAsia" w:hAnsi="宋体" w:cs="Courier New"/>
                <w:sz w:val="24"/>
              </w:rPr>
              <w:t>政策功能情况（如有）</w:t>
            </w:r>
          </w:p>
        </w:tc>
        <w:tc>
          <w:tcPr>
            <w:tcW w:w="1679" w:type="pct"/>
            <w:tcBorders>
              <w:top w:val="single" w:color="auto" w:sz="4" w:space="0"/>
              <w:left w:val="single" w:color="auto" w:sz="4" w:space="0"/>
              <w:bottom w:val="single" w:color="auto" w:sz="12" w:space="0"/>
              <w:right w:val="single" w:color="auto" w:sz="12" w:space="0"/>
            </w:tcBorders>
            <w:vAlign w:val="center"/>
          </w:tcPr>
          <w:p w14:paraId="36CF1B96">
            <w:pPr>
              <w:snapToGrid w:val="0"/>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bl>
    <w:p w14:paraId="386ED0A1">
      <w:pPr>
        <w:pStyle w:val="84"/>
        <w:numPr>
          <w:ilvl w:val="0"/>
          <w:numId w:val="72"/>
        </w:numPr>
        <w:snapToGrid w:val="0"/>
        <w:spacing w:line="360" w:lineRule="auto"/>
        <w:ind w:firstLineChars="0"/>
        <w:jc w:val="center"/>
        <w:rPr>
          <w:rFonts w:ascii="宋体" w:hAnsi="宋体"/>
          <w:b/>
          <w:sz w:val="30"/>
          <w:szCs w:val="30"/>
        </w:rPr>
      </w:pPr>
      <w:r>
        <w:rPr>
          <w:rFonts w:hint="eastAsia" w:ascii="宋体" w:hAnsi="宋体"/>
          <w:b/>
          <w:sz w:val="30"/>
          <w:szCs w:val="30"/>
        </w:rPr>
        <w:t>资格性自查表</w:t>
      </w:r>
    </w:p>
    <w:tbl>
      <w:tblPr>
        <w:tblStyle w:val="38"/>
        <w:tblW w:w="511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150" w:type="dxa"/>
          <w:left w:w="150" w:type="dxa"/>
          <w:bottom w:w="150" w:type="dxa"/>
          <w:right w:w="150" w:type="dxa"/>
        </w:tblCellMar>
      </w:tblPr>
      <w:tblGrid>
        <w:gridCol w:w="1002"/>
        <w:gridCol w:w="3977"/>
        <w:gridCol w:w="1341"/>
        <w:gridCol w:w="3356"/>
        <w:gridCol w:w="13"/>
      </w:tblGrid>
      <w:tr w14:paraId="0E2B5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249" w:hRule="atLeast"/>
        </w:trPr>
        <w:tc>
          <w:tcPr>
            <w:tcW w:w="517" w:type="pct"/>
          </w:tcPr>
          <w:p w14:paraId="4FDEBF9D">
            <w:pPr>
              <w:snapToGrid w:val="0"/>
              <w:spacing w:line="264" w:lineRule="auto"/>
              <w:jc w:val="center"/>
              <w:rPr>
                <w:rStyle w:val="41"/>
                <w:rFonts w:asciiTheme="majorEastAsia" w:hAnsiTheme="majorEastAsia" w:eastAsiaTheme="majorEastAsia"/>
                <w:sz w:val="24"/>
              </w:rPr>
            </w:pPr>
            <w:r>
              <w:rPr>
                <w:rFonts w:hint="eastAsia" w:asciiTheme="majorEastAsia" w:hAnsiTheme="majorEastAsia" w:eastAsiaTheme="majorEastAsia"/>
                <w:b/>
                <w:sz w:val="24"/>
              </w:rPr>
              <w:t>序号</w:t>
            </w:r>
          </w:p>
        </w:tc>
        <w:tc>
          <w:tcPr>
            <w:tcW w:w="2052" w:type="pct"/>
            <w:vAlign w:val="center"/>
          </w:tcPr>
          <w:p w14:paraId="5903C522">
            <w:pPr>
              <w:snapToGrid w:val="0"/>
              <w:spacing w:line="264" w:lineRule="auto"/>
              <w:jc w:val="center"/>
              <w:rPr>
                <w:rFonts w:cs="宋体" w:asciiTheme="majorEastAsia" w:hAnsiTheme="majorEastAsia" w:eastAsiaTheme="majorEastAsia"/>
                <w:sz w:val="24"/>
              </w:rPr>
            </w:pPr>
            <w:r>
              <w:rPr>
                <w:rStyle w:val="41"/>
                <w:rFonts w:hint="eastAsia" w:asciiTheme="majorEastAsia" w:hAnsiTheme="majorEastAsia" w:eastAsiaTheme="majorEastAsia"/>
                <w:sz w:val="24"/>
              </w:rPr>
              <w:t>招标文件要求</w:t>
            </w:r>
          </w:p>
        </w:tc>
        <w:tc>
          <w:tcPr>
            <w:tcW w:w="692" w:type="pct"/>
            <w:vAlign w:val="center"/>
          </w:tcPr>
          <w:p w14:paraId="644F5072">
            <w:pPr>
              <w:snapToGrid w:val="0"/>
              <w:spacing w:line="264" w:lineRule="auto"/>
              <w:jc w:val="center"/>
              <w:rPr>
                <w:rFonts w:cs="宋体" w:asciiTheme="majorEastAsia" w:hAnsiTheme="majorEastAsia" w:eastAsiaTheme="majorEastAsia"/>
                <w:sz w:val="24"/>
              </w:rPr>
            </w:pPr>
            <w:r>
              <w:rPr>
                <w:rStyle w:val="41"/>
                <w:rFonts w:hint="eastAsia" w:asciiTheme="majorEastAsia" w:hAnsiTheme="majorEastAsia" w:eastAsiaTheme="majorEastAsia"/>
                <w:sz w:val="24"/>
              </w:rPr>
              <w:t>自查结论</w:t>
            </w:r>
          </w:p>
        </w:tc>
        <w:tc>
          <w:tcPr>
            <w:tcW w:w="1732" w:type="pct"/>
            <w:vAlign w:val="center"/>
          </w:tcPr>
          <w:p w14:paraId="08C37492">
            <w:pPr>
              <w:snapToGrid w:val="0"/>
              <w:spacing w:line="264" w:lineRule="auto"/>
              <w:jc w:val="center"/>
              <w:rPr>
                <w:rFonts w:cs="宋体" w:asciiTheme="majorEastAsia" w:hAnsiTheme="majorEastAsia" w:eastAsiaTheme="majorEastAsia"/>
                <w:sz w:val="24"/>
              </w:rPr>
            </w:pPr>
            <w:r>
              <w:rPr>
                <w:rFonts w:hint="eastAsia" w:asciiTheme="majorEastAsia" w:hAnsiTheme="majorEastAsia" w:eastAsiaTheme="majorEastAsia"/>
                <w:b/>
                <w:sz w:val="24"/>
              </w:rPr>
              <w:t>证明文件</w:t>
            </w:r>
          </w:p>
        </w:tc>
      </w:tr>
      <w:tr w14:paraId="183B30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249" w:hRule="atLeast"/>
        </w:trPr>
        <w:tc>
          <w:tcPr>
            <w:tcW w:w="517" w:type="pct"/>
          </w:tcPr>
          <w:p w14:paraId="58049BEF">
            <w:pPr>
              <w:pStyle w:val="84"/>
              <w:numPr>
                <w:ilvl w:val="0"/>
                <w:numId w:val="74"/>
              </w:numPr>
              <w:snapToGrid w:val="0"/>
              <w:spacing w:line="264" w:lineRule="auto"/>
              <w:ind w:firstLineChars="0"/>
              <w:jc w:val="center"/>
              <w:rPr>
                <w:rFonts w:asciiTheme="majorEastAsia" w:hAnsiTheme="majorEastAsia" w:eastAsiaTheme="majorEastAsia"/>
                <w:sz w:val="24"/>
              </w:rPr>
            </w:pPr>
          </w:p>
        </w:tc>
        <w:tc>
          <w:tcPr>
            <w:tcW w:w="4483" w:type="pct"/>
            <w:gridSpan w:val="4"/>
            <w:vAlign w:val="center"/>
          </w:tcPr>
          <w:p w14:paraId="1C218FC4">
            <w:pPr>
              <w:snapToGrid w:val="0"/>
              <w:spacing w:line="264" w:lineRule="auto"/>
              <w:jc w:val="left"/>
              <w:rPr>
                <w:rFonts w:asciiTheme="majorEastAsia" w:hAnsiTheme="majorEastAsia" w:eastAsiaTheme="majorEastAsia"/>
                <w:b/>
                <w:sz w:val="24"/>
              </w:rPr>
            </w:pPr>
            <w:r>
              <w:rPr>
                <w:rFonts w:hint="eastAsia" w:asciiTheme="minorEastAsia" w:hAnsiTheme="minorEastAsia" w:eastAsiaTheme="minorEastAsia"/>
                <w:bCs/>
                <w:sz w:val="24"/>
              </w:rPr>
              <w:t>具备《中华人民共和国政府采购法》第二十二条规定的条件</w:t>
            </w:r>
            <w:r>
              <w:rPr>
                <w:rFonts w:hint="eastAsia" w:asciiTheme="minorEastAsia" w:hAnsiTheme="minorEastAsia" w:eastAsiaTheme="minorEastAsia"/>
                <w:sz w:val="24"/>
              </w:rPr>
              <w:t>；</w:t>
            </w:r>
          </w:p>
        </w:tc>
      </w:tr>
      <w:tr w14:paraId="382B7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534" w:hRule="atLeast"/>
        </w:trPr>
        <w:tc>
          <w:tcPr>
            <w:tcW w:w="517" w:type="pct"/>
            <w:vAlign w:val="center"/>
          </w:tcPr>
          <w:p w14:paraId="22E8F318">
            <w:pPr>
              <w:pStyle w:val="84"/>
              <w:numPr>
                <w:ilvl w:val="0"/>
                <w:numId w:val="75"/>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6B28B2E7">
            <w:pPr>
              <w:snapToGrid w:val="0"/>
              <w:spacing w:line="264" w:lineRule="auto"/>
              <w:rPr>
                <w:rFonts w:asciiTheme="majorEastAsia" w:hAnsiTheme="majorEastAsia" w:eastAsiaTheme="majorEastAsia"/>
                <w:bCs/>
                <w:sz w:val="24"/>
              </w:rPr>
            </w:pPr>
            <w:r>
              <w:rPr>
                <w:rFonts w:hint="eastAsia" w:asciiTheme="majorEastAsia" w:hAnsiTheme="majorEastAsia" w:eastAsiaTheme="majorEastAsia"/>
                <w:sz w:val="24"/>
              </w:rPr>
              <w:t>提供在中华人民共和国境内注册的法人或其他组织的营业执照或事业单位法人证书或社会团体法人登记证书</w:t>
            </w:r>
            <w:r>
              <w:rPr>
                <w:rFonts w:hint="eastAsia" w:cs="黑体" w:asciiTheme="majorEastAsia" w:hAnsiTheme="majorEastAsia" w:eastAsiaTheme="majorEastAsia"/>
                <w:sz w:val="24"/>
              </w:rPr>
              <w:t>复印件</w:t>
            </w:r>
            <w:r>
              <w:rPr>
                <w:rFonts w:hint="eastAsia" w:asciiTheme="majorEastAsia" w:hAnsiTheme="majorEastAsia" w:eastAsiaTheme="majorEastAsia"/>
                <w:sz w:val="24"/>
              </w:rPr>
              <w:t>，如投标人为自然人的提供自然人身份证明</w:t>
            </w:r>
            <w:r>
              <w:rPr>
                <w:rFonts w:hint="eastAsia" w:cs="黑体" w:asciiTheme="majorEastAsia" w:hAnsiTheme="majorEastAsia" w:eastAsiaTheme="majorEastAsia"/>
                <w:sz w:val="24"/>
              </w:rPr>
              <w:t>复印件</w:t>
            </w:r>
            <w:r>
              <w:rPr>
                <w:rFonts w:hint="eastAsia" w:asciiTheme="majorEastAsia" w:hAnsiTheme="majorEastAsia" w:eastAsiaTheme="majorEastAsia"/>
                <w:bCs/>
                <w:sz w:val="24"/>
              </w:rPr>
              <w:t>；</w:t>
            </w:r>
            <w:r>
              <w:rPr>
                <w:rFonts w:hint="eastAsia" w:asciiTheme="majorEastAsia" w:hAnsiTheme="majorEastAsia" w:eastAsiaTheme="majorEastAsia"/>
                <w:sz w:val="24"/>
              </w:rPr>
              <w:t>如国家另有规定的，则从其规定。</w:t>
            </w:r>
          </w:p>
        </w:tc>
        <w:tc>
          <w:tcPr>
            <w:tcW w:w="692" w:type="pct"/>
            <w:vAlign w:val="center"/>
          </w:tcPr>
          <w:p w14:paraId="0BB7537C">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390A16D3">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533E805F">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62AC3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856" w:hRule="atLeast"/>
        </w:trPr>
        <w:tc>
          <w:tcPr>
            <w:tcW w:w="517" w:type="pct"/>
            <w:vAlign w:val="center"/>
          </w:tcPr>
          <w:p w14:paraId="5B254F69">
            <w:pPr>
              <w:pStyle w:val="84"/>
              <w:snapToGrid w:val="0"/>
              <w:spacing w:line="264" w:lineRule="auto"/>
              <w:ind w:firstLine="0" w:firstLineChars="0"/>
              <w:rPr>
                <w:rFonts w:asciiTheme="majorEastAsia" w:hAnsiTheme="majorEastAsia" w:eastAsiaTheme="majorEastAsia"/>
                <w:bCs/>
                <w:sz w:val="24"/>
              </w:rPr>
            </w:pPr>
            <w:r>
              <w:rPr>
                <w:rFonts w:hint="eastAsia" w:asciiTheme="majorEastAsia" w:hAnsiTheme="majorEastAsia" w:eastAsiaTheme="majorEastAsia"/>
                <w:bCs/>
                <w:sz w:val="24"/>
              </w:rPr>
              <w:t>（</w:t>
            </w:r>
            <w:r>
              <w:rPr>
                <w:rFonts w:asciiTheme="majorEastAsia" w:hAnsiTheme="majorEastAsia" w:eastAsiaTheme="majorEastAsia"/>
                <w:bCs/>
                <w:sz w:val="24"/>
              </w:rPr>
              <w:t>1</w:t>
            </w:r>
            <w:r>
              <w:rPr>
                <w:rFonts w:hint="eastAsia" w:asciiTheme="majorEastAsia" w:hAnsiTheme="majorEastAsia" w:eastAsiaTheme="majorEastAsia"/>
                <w:bCs/>
                <w:sz w:val="24"/>
              </w:rPr>
              <w:t>）</w:t>
            </w:r>
          </w:p>
        </w:tc>
        <w:tc>
          <w:tcPr>
            <w:tcW w:w="2052" w:type="pct"/>
            <w:vAlign w:val="center"/>
          </w:tcPr>
          <w:p w14:paraId="4B9BA934">
            <w:pPr>
              <w:snapToGrid w:val="0"/>
              <w:spacing w:line="264" w:lineRule="auto"/>
              <w:rPr>
                <w:rFonts w:asciiTheme="majorEastAsia" w:hAnsiTheme="majorEastAsia" w:eastAsiaTheme="majorEastAsia"/>
                <w:sz w:val="24"/>
              </w:rPr>
            </w:pPr>
            <w:r>
              <w:rPr>
                <w:rFonts w:hint="eastAsia" w:cs="宋体" w:asciiTheme="majorEastAsia" w:hAnsiTheme="majorEastAsia" w:eastAsiaTheme="majorEastAsia"/>
                <w:sz w:val="24"/>
              </w:rPr>
              <w:t>投标供应商如果有名称变更的，应提供由行政主管部门出具的变更证明文件。</w:t>
            </w:r>
          </w:p>
        </w:tc>
        <w:tc>
          <w:tcPr>
            <w:tcW w:w="692" w:type="pct"/>
            <w:vAlign w:val="center"/>
          </w:tcPr>
          <w:p w14:paraId="68B2A6D8">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通过</w:t>
            </w:r>
          </w:p>
          <w:p w14:paraId="5715305D">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p w14:paraId="5E71E876">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不适用</w:t>
            </w:r>
          </w:p>
        </w:tc>
        <w:tc>
          <w:tcPr>
            <w:tcW w:w="1732" w:type="pct"/>
            <w:vAlign w:val="center"/>
          </w:tcPr>
          <w:p w14:paraId="31380CAB">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07BE1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534" w:hRule="atLeast"/>
        </w:trPr>
        <w:tc>
          <w:tcPr>
            <w:tcW w:w="517" w:type="pct"/>
            <w:vAlign w:val="center"/>
          </w:tcPr>
          <w:p w14:paraId="0A770ABA">
            <w:pPr>
              <w:pStyle w:val="84"/>
              <w:snapToGrid w:val="0"/>
              <w:spacing w:line="264" w:lineRule="auto"/>
              <w:ind w:firstLine="0" w:firstLineChars="0"/>
              <w:rPr>
                <w:rFonts w:asciiTheme="majorEastAsia" w:hAnsiTheme="majorEastAsia" w:eastAsiaTheme="majorEastAsia"/>
                <w:bCs/>
                <w:sz w:val="24"/>
              </w:rPr>
            </w:pPr>
            <w:r>
              <w:rPr>
                <w:rFonts w:hint="eastAsia" w:asciiTheme="majorEastAsia" w:hAnsiTheme="majorEastAsia" w:eastAsiaTheme="majorEastAsia"/>
                <w:bCs/>
                <w:sz w:val="24"/>
              </w:rPr>
              <w:t>（2）</w:t>
            </w:r>
          </w:p>
        </w:tc>
        <w:tc>
          <w:tcPr>
            <w:tcW w:w="2052" w:type="pct"/>
            <w:vAlign w:val="center"/>
          </w:tcPr>
          <w:p w14:paraId="2D2C5067">
            <w:pPr>
              <w:snapToGrid w:val="0"/>
              <w:spacing w:line="264" w:lineRule="auto"/>
              <w:rPr>
                <w:rFonts w:ascii="宋体" w:hAnsi="宋体"/>
                <w:sz w:val="24"/>
              </w:rPr>
            </w:pPr>
            <w:r>
              <w:rPr>
                <w:rFonts w:hint="eastAsia" w:ascii="宋体" w:hAnsi="宋体" w:cs="宋体"/>
                <w:sz w:val="24"/>
              </w:rPr>
              <w:t>分公司投标，须取得</w:t>
            </w:r>
            <w:r>
              <w:rPr>
                <w:rFonts w:hint="eastAsia" w:ascii="宋体" w:hAnsi="宋体" w:cs="黑体"/>
                <w:sz w:val="24"/>
              </w:rPr>
              <w:t>具有法人资格的总公司</w:t>
            </w:r>
            <w:r>
              <w:rPr>
                <w:rStyle w:val="59"/>
                <w:rFonts w:hint="eastAsia" w:ascii="宋体" w:hAnsi="宋体"/>
                <w:sz w:val="24"/>
                <w:szCs w:val="24"/>
              </w:rPr>
              <w:t>（总所）</w:t>
            </w:r>
            <w:r>
              <w:rPr>
                <w:rFonts w:hint="eastAsia" w:ascii="宋体" w:hAnsi="宋体" w:cs="黑体"/>
                <w:sz w:val="24"/>
              </w:rPr>
              <w:t>出具给分公司的授权书，并提供总公司</w:t>
            </w:r>
            <w:r>
              <w:rPr>
                <w:rStyle w:val="59"/>
                <w:rFonts w:hint="eastAsia" w:ascii="宋体" w:hAnsi="宋体"/>
                <w:sz w:val="24"/>
                <w:szCs w:val="24"/>
              </w:rPr>
              <w:t>（总所）</w:t>
            </w:r>
            <w:r>
              <w:rPr>
                <w:rFonts w:hint="eastAsia" w:ascii="宋体" w:hAnsi="宋体" w:cs="黑体"/>
                <w:sz w:val="24"/>
              </w:rPr>
              <w:t>和分公司的营业执照（执业许可证）复印件。</w:t>
            </w:r>
            <w:r>
              <w:rPr>
                <w:rStyle w:val="59"/>
                <w:rFonts w:hint="eastAsia" w:ascii="宋体" w:hAnsi="宋体"/>
                <w:sz w:val="24"/>
                <w:szCs w:val="24"/>
              </w:rPr>
              <w:t>已由总公司（总所）授权的，总公司（总所）取得的相关资质证书对分公司有效，法律法规或者行业另有规定的除外。</w:t>
            </w:r>
          </w:p>
        </w:tc>
        <w:tc>
          <w:tcPr>
            <w:tcW w:w="692" w:type="pct"/>
            <w:vAlign w:val="center"/>
          </w:tcPr>
          <w:p w14:paraId="407DCA6A">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通过</w:t>
            </w:r>
          </w:p>
          <w:p w14:paraId="0C2787CB">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p w14:paraId="2BA2D4B5">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不适用</w:t>
            </w:r>
          </w:p>
        </w:tc>
        <w:tc>
          <w:tcPr>
            <w:tcW w:w="1732" w:type="pct"/>
            <w:vAlign w:val="center"/>
          </w:tcPr>
          <w:p w14:paraId="3D997C07">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77EFA5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845" w:hRule="atLeast"/>
        </w:trPr>
        <w:tc>
          <w:tcPr>
            <w:tcW w:w="517" w:type="pct"/>
            <w:vAlign w:val="center"/>
          </w:tcPr>
          <w:p w14:paraId="1E2D13AD">
            <w:pPr>
              <w:pStyle w:val="84"/>
              <w:numPr>
                <w:ilvl w:val="0"/>
                <w:numId w:val="75"/>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03506BBE">
            <w:pPr>
              <w:snapToGrid w:val="0"/>
              <w:spacing w:line="264" w:lineRule="auto"/>
              <w:jc w:val="left"/>
              <w:rPr>
                <w:rFonts w:asciiTheme="majorEastAsia" w:hAnsiTheme="majorEastAsia" w:eastAsiaTheme="majorEastAsia"/>
                <w:bCs/>
                <w:sz w:val="24"/>
              </w:rPr>
            </w:pPr>
            <w:r>
              <w:rPr>
                <w:rFonts w:hint="eastAsia" w:ascii="宋体" w:hAnsi="宋体"/>
                <w:kern w:val="2"/>
                <w:sz w:val="24"/>
                <w:szCs w:val="21"/>
              </w:rPr>
              <w:t>提供</w:t>
            </w:r>
            <w:r>
              <w:rPr>
                <w:rFonts w:hint="eastAsia" w:ascii="宋体" w:hAnsi="宋体"/>
                <w:kern w:val="2"/>
                <w:sz w:val="24"/>
                <w:szCs w:val="21"/>
                <w:u w:val="single"/>
              </w:rPr>
              <w:t>202</w:t>
            </w:r>
            <w:r>
              <w:rPr>
                <w:rFonts w:hint="eastAsia" w:ascii="宋体" w:hAnsi="宋体"/>
                <w:kern w:val="2"/>
                <w:sz w:val="24"/>
                <w:szCs w:val="21"/>
                <w:u w:val="single"/>
                <w:lang w:val="en-US" w:eastAsia="zh-CN"/>
              </w:rPr>
              <w:t>4</w:t>
            </w:r>
            <w:r>
              <w:rPr>
                <w:rFonts w:hint="eastAsia" w:ascii="宋体" w:hAnsi="宋体"/>
                <w:kern w:val="2"/>
                <w:sz w:val="24"/>
                <w:szCs w:val="21"/>
              </w:rPr>
              <w:t>年度财务状况报告或</w:t>
            </w:r>
            <w:r>
              <w:rPr>
                <w:rFonts w:hint="eastAsia" w:ascii="宋体" w:hAnsi="宋体"/>
                <w:kern w:val="2"/>
                <w:sz w:val="24"/>
                <w:szCs w:val="21"/>
                <w:u w:val="single"/>
              </w:rPr>
              <w:t>202</w:t>
            </w:r>
            <w:r>
              <w:rPr>
                <w:rFonts w:hint="eastAsia" w:ascii="宋体" w:hAnsi="宋体"/>
                <w:kern w:val="2"/>
                <w:sz w:val="24"/>
                <w:szCs w:val="21"/>
                <w:u w:val="single"/>
                <w:lang w:val="en-US" w:eastAsia="zh-CN"/>
              </w:rPr>
              <w:t>5</w:t>
            </w:r>
            <w:r>
              <w:rPr>
                <w:rFonts w:hint="eastAsia" w:ascii="宋体" w:hAnsi="宋体"/>
                <w:kern w:val="2"/>
                <w:sz w:val="24"/>
                <w:szCs w:val="21"/>
              </w:rPr>
              <w:t>年任意</w:t>
            </w:r>
            <w:r>
              <w:rPr>
                <w:rFonts w:hint="eastAsia" w:ascii="宋体" w:hAnsi="宋体"/>
                <w:kern w:val="2"/>
                <w:sz w:val="24"/>
                <w:szCs w:val="21"/>
                <w:u w:val="single"/>
              </w:rPr>
              <w:t>1</w:t>
            </w:r>
            <w:r>
              <w:rPr>
                <w:rFonts w:hint="eastAsia" w:ascii="宋体" w:hAnsi="宋体"/>
                <w:kern w:val="2"/>
                <w:sz w:val="24"/>
                <w:szCs w:val="21"/>
              </w:rPr>
              <w:t>个月的财务状况报告复印件，或银行出具的资信证明材料复印件</w:t>
            </w:r>
            <w:r>
              <w:rPr>
                <w:rFonts w:hint="eastAsia" w:ascii="宋体" w:hAnsi="宋体"/>
                <w:kern w:val="2"/>
                <w:sz w:val="24"/>
                <w:szCs w:val="21"/>
                <w:lang w:eastAsia="zh-CN"/>
              </w:rPr>
              <w:t>。</w:t>
            </w:r>
          </w:p>
        </w:tc>
        <w:tc>
          <w:tcPr>
            <w:tcW w:w="692" w:type="pct"/>
            <w:vAlign w:val="center"/>
          </w:tcPr>
          <w:p w14:paraId="572742C9">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0D934094">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03BE361D">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2537CB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845" w:hRule="atLeast"/>
        </w:trPr>
        <w:tc>
          <w:tcPr>
            <w:tcW w:w="517" w:type="pct"/>
            <w:vAlign w:val="center"/>
          </w:tcPr>
          <w:p w14:paraId="57D08023">
            <w:pPr>
              <w:pStyle w:val="84"/>
              <w:numPr>
                <w:ilvl w:val="0"/>
                <w:numId w:val="75"/>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563F38A4">
            <w:pPr>
              <w:snapToGrid w:val="0"/>
              <w:spacing w:line="264" w:lineRule="auto"/>
              <w:jc w:val="left"/>
              <w:rPr>
                <w:rFonts w:asciiTheme="majorEastAsia" w:hAnsiTheme="majorEastAsia" w:eastAsiaTheme="majorEastAsia"/>
                <w:bCs/>
                <w:sz w:val="24"/>
              </w:rPr>
            </w:pPr>
            <w:r>
              <w:rPr>
                <w:rFonts w:hint="eastAsia" w:asciiTheme="minorEastAsia" w:hAnsiTheme="minorEastAsia" w:eastAsiaTheme="minorEastAsia"/>
                <w:bCs/>
                <w:sz w:val="24"/>
              </w:rPr>
              <w:t>提供2025年任意1个月缴纳税收的凭据证明材料复印件；如依法免税的，应提供相关材料。</w:t>
            </w:r>
          </w:p>
        </w:tc>
        <w:tc>
          <w:tcPr>
            <w:tcW w:w="692" w:type="pct"/>
            <w:vAlign w:val="center"/>
          </w:tcPr>
          <w:p w14:paraId="31613F9A">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160AF54B">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51FD5A48">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26A25F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721" w:hRule="atLeast"/>
        </w:trPr>
        <w:tc>
          <w:tcPr>
            <w:tcW w:w="517" w:type="pct"/>
            <w:vAlign w:val="center"/>
          </w:tcPr>
          <w:p w14:paraId="74D60CBD">
            <w:pPr>
              <w:pStyle w:val="84"/>
              <w:numPr>
                <w:ilvl w:val="0"/>
                <w:numId w:val="75"/>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4528BAEE">
            <w:pPr>
              <w:snapToGrid w:val="0"/>
              <w:spacing w:line="264" w:lineRule="auto"/>
              <w:rPr>
                <w:rFonts w:asciiTheme="majorEastAsia" w:hAnsiTheme="majorEastAsia" w:eastAsiaTheme="majorEastAsia"/>
                <w:bCs/>
                <w:sz w:val="24"/>
              </w:rPr>
            </w:pPr>
            <w:r>
              <w:rPr>
                <w:rFonts w:hint="eastAsia" w:asciiTheme="minorEastAsia" w:hAnsiTheme="minorEastAsia" w:eastAsiaTheme="minorEastAsia"/>
                <w:bCs/>
                <w:sz w:val="24"/>
              </w:rPr>
              <w:t>提供2025年任意1个月缴纳社会保障资金的凭据证明材料复印件；如依法不需要缴纳社会保障资金的，应提供相关材料。</w:t>
            </w:r>
          </w:p>
        </w:tc>
        <w:tc>
          <w:tcPr>
            <w:tcW w:w="692" w:type="pct"/>
            <w:vAlign w:val="center"/>
          </w:tcPr>
          <w:p w14:paraId="3D1D4DB0">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2016081D">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6D8EDC52">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062FE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721" w:hRule="atLeast"/>
        </w:trPr>
        <w:tc>
          <w:tcPr>
            <w:tcW w:w="517" w:type="pct"/>
            <w:vAlign w:val="center"/>
          </w:tcPr>
          <w:p w14:paraId="241E3F3B">
            <w:pPr>
              <w:pStyle w:val="84"/>
              <w:numPr>
                <w:ilvl w:val="0"/>
                <w:numId w:val="75"/>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2F1F1203">
            <w:pPr>
              <w:snapToGrid w:val="0"/>
              <w:spacing w:line="264" w:lineRule="auto"/>
              <w:rPr>
                <w:rFonts w:hint="eastAsia" w:asciiTheme="minorEastAsia" w:hAnsiTheme="minorEastAsia" w:eastAsiaTheme="minorEastAsia"/>
                <w:bCs/>
                <w:sz w:val="24"/>
              </w:rPr>
            </w:pPr>
            <w:r>
              <w:rPr>
                <w:rFonts w:hint="eastAsia" w:asciiTheme="minorEastAsia" w:hAnsiTheme="minorEastAsia" w:eastAsiaTheme="minorEastAsia"/>
                <w:bCs/>
                <w:sz w:val="24"/>
              </w:rPr>
              <w:t>具提供履行合同所必需的设备和专业技术能力的证明材料。（提供《投标人资格声明函》）</w:t>
            </w:r>
          </w:p>
        </w:tc>
        <w:tc>
          <w:tcPr>
            <w:tcW w:w="1341" w:type="dxa"/>
            <w:vAlign w:val="center"/>
          </w:tcPr>
          <w:p w14:paraId="28C2FEE8">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51336309">
            <w:pPr>
              <w:snapToGrid w:val="0"/>
              <w:spacing w:line="264" w:lineRule="auto"/>
              <w:rPr>
                <w:rFonts w:hint="eastAsia"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3356" w:type="dxa"/>
            <w:vAlign w:val="center"/>
          </w:tcPr>
          <w:p w14:paraId="2A52E4EA">
            <w:pPr>
              <w:snapToGrid w:val="0"/>
              <w:spacing w:line="264" w:lineRule="auto"/>
              <w:jc w:val="center"/>
              <w:rPr>
                <w:rFonts w:hint="eastAsia" w:asciiTheme="majorEastAsia" w:hAnsiTheme="majorEastAsia" w:eastAsiaTheme="majorEastAsia"/>
                <w:sz w:val="24"/>
              </w:rPr>
            </w:pPr>
            <w:r>
              <w:rPr>
                <w:rFonts w:hint="eastAsia" w:asciiTheme="majorEastAsia" w:hAnsiTheme="majorEastAsia" w:eastAsiaTheme="majorEastAsia"/>
                <w:sz w:val="24"/>
              </w:rPr>
              <w:t>第（ ）页</w:t>
            </w:r>
          </w:p>
        </w:tc>
      </w:tr>
      <w:tr w14:paraId="1FBF8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721" w:hRule="atLeast"/>
        </w:trPr>
        <w:tc>
          <w:tcPr>
            <w:tcW w:w="517" w:type="pct"/>
            <w:vAlign w:val="center"/>
          </w:tcPr>
          <w:p w14:paraId="7C449600">
            <w:pPr>
              <w:pStyle w:val="84"/>
              <w:numPr>
                <w:ilvl w:val="0"/>
                <w:numId w:val="75"/>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48D4868B">
            <w:pPr>
              <w:snapToGrid w:val="0"/>
              <w:spacing w:line="264" w:lineRule="auto"/>
              <w:rPr>
                <w:rFonts w:asciiTheme="majorEastAsia" w:hAnsiTheme="majorEastAsia" w:eastAsiaTheme="majorEastAsia"/>
                <w:bCs/>
                <w:sz w:val="24"/>
              </w:rPr>
            </w:pPr>
            <w:r>
              <w:rPr>
                <w:rFonts w:hint="eastAsia" w:asciiTheme="minorEastAsia" w:hAnsiTheme="minorEastAsia" w:eastAsiaTheme="minorEastAsia"/>
                <w:bCs/>
                <w:sz w:val="24"/>
              </w:rPr>
              <w:t>提供参加采购活动前3年内在经营活动中没有重大违法记录的书面声明。（提供《投标人资格声明函》）</w:t>
            </w:r>
          </w:p>
        </w:tc>
        <w:tc>
          <w:tcPr>
            <w:tcW w:w="692" w:type="pct"/>
            <w:vAlign w:val="center"/>
          </w:tcPr>
          <w:p w14:paraId="160E078F">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736AEB26">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334B6946">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2F368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721" w:hRule="atLeast"/>
        </w:trPr>
        <w:tc>
          <w:tcPr>
            <w:tcW w:w="517" w:type="pct"/>
            <w:vAlign w:val="center"/>
          </w:tcPr>
          <w:p w14:paraId="18324DC3">
            <w:pPr>
              <w:pStyle w:val="84"/>
              <w:numPr>
                <w:ilvl w:val="0"/>
                <w:numId w:val="75"/>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6B50F84C">
            <w:pPr>
              <w:snapToGrid w:val="0"/>
              <w:spacing w:line="264" w:lineRule="auto"/>
              <w:rPr>
                <w:rFonts w:asciiTheme="minorEastAsia" w:hAnsiTheme="minorEastAsia" w:eastAsiaTheme="minorEastAsia"/>
                <w:bCs/>
                <w:sz w:val="24"/>
              </w:rPr>
            </w:pPr>
            <w:r>
              <w:rPr>
                <w:rFonts w:hint="eastAsia" w:asciiTheme="minorEastAsia" w:hAnsiTheme="minorEastAsia" w:eastAsiaTheme="minorEastAsia"/>
                <w:bCs/>
                <w:sz w:val="24"/>
              </w:rPr>
              <w:t>法律、行政法规规定的其他条件。（提供《投标人资格声明函》）</w:t>
            </w:r>
          </w:p>
        </w:tc>
        <w:tc>
          <w:tcPr>
            <w:tcW w:w="692" w:type="pct"/>
            <w:vAlign w:val="center"/>
          </w:tcPr>
          <w:p w14:paraId="385D5DAF">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1FDABD7C">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7F4E8063">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0CEC0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721" w:hRule="atLeast"/>
        </w:trPr>
        <w:tc>
          <w:tcPr>
            <w:tcW w:w="517" w:type="pct"/>
            <w:vAlign w:val="center"/>
          </w:tcPr>
          <w:p w14:paraId="50C61909">
            <w:pPr>
              <w:pStyle w:val="84"/>
              <w:numPr>
                <w:ilvl w:val="0"/>
                <w:numId w:val="74"/>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738B4A09">
            <w:pPr>
              <w:snapToGrid w:val="0"/>
              <w:spacing w:line="264" w:lineRule="auto"/>
              <w:rPr>
                <w:rFonts w:asciiTheme="minorEastAsia" w:hAnsiTheme="minorEastAsia" w:eastAsiaTheme="minorEastAsia"/>
                <w:bCs/>
                <w:sz w:val="24"/>
              </w:rPr>
            </w:pPr>
            <w:r>
              <w:rPr>
                <w:rFonts w:hint="eastAsia" w:asciiTheme="minorEastAsia" w:hAnsiTheme="minorEastAsia" w:eastAsiaTheme="minorEastAsia"/>
                <w:bCs/>
                <w:sz w:val="24"/>
              </w:rPr>
              <w:t>为采购项目提供整体设计、规范编制或者项目管理、监理、检测等服务的供应商，不得再参加该采购项目的其他采购活动。（提供《投标人资格声明函》）</w:t>
            </w:r>
          </w:p>
        </w:tc>
        <w:tc>
          <w:tcPr>
            <w:tcW w:w="692" w:type="pct"/>
            <w:vAlign w:val="center"/>
          </w:tcPr>
          <w:p w14:paraId="74CADF10">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6B975118">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4FEAD7B2">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64607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721" w:hRule="atLeast"/>
        </w:trPr>
        <w:tc>
          <w:tcPr>
            <w:tcW w:w="517" w:type="pct"/>
            <w:vAlign w:val="center"/>
          </w:tcPr>
          <w:p w14:paraId="3AB0A4AA">
            <w:pPr>
              <w:pStyle w:val="84"/>
              <w:numPr>
                <w:ilvl w:val="0"/>
                <w:numId w:val="74"/>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1E3C9DDE">
            <w:pPr>
              <w:snapToGrid w:val="0"/>
              <w:spacing w:line="264" w:lineRule="auto"/>
              <w:rPr>
                <w:rFonts w:asciiTheme="minorEastAsia" w:hAnsiTheme="minorEastAsia" w:eastAsiaTheme="minorEastAsia"/>
                <w:bCs/>
                <w:sz w:val="24"/>
              </w:rPr>
            </w:pPr>
            <w:r>
              <w:rPr>
                <w:rFonts w:hint="eastAsia" w:ascii="宋体" w:hAnsi="宋体"/>
                <w:bCs/>
                <w:kern w:val="2"/>
                <w:sz w:val="24"/>
              </w:rPr>
              <w:t>单位负责人为同一人或者存在直接控股、管理关系的不同供应商，不得参加同一合同项下的政府采购活动。</w:t>
            </w:r>
            <w:r>
              <w:rPr>
                <w:rFonts w:hint="eastAsia" w:ascii="宋体" w:hAnsi="宋体"/>
                <w:bCs/>
                <w:kern w:val="2"/>
                <w:sz w:val="24"/>
                <w:szCs w:val="20"/>
              </w:rPr>
              <w:t>（提供《</w:t>
            </w:r>
            <w:r>
              <w:rPr>
                <w:rFonts w:hint="eastAsia" w:ascii="宋体" w:hAnsi="宋体"/>
                <w:kern w:val="2"/>
                <w:sz w:val="24"/>
              </w:rPr>
              <w:t>投标人</w:t>
            </w:r>
            <w:r>
              <w:rPr>
                <w:rFonts w:hint="eastAsia" w:ascii="宋体" w:hAnsi="宋体"/>
                <w:bCs/>
                <w:kern w:val="2"/>
                <w:sz w:val="24"/>
                <w:szCs w:val="20"/>
              </w:rPr>
              <w:t>资格声明函》）</w:t>
            </w:r>
          </w:p>
        </w:tc>
        <w:tc>
          <w:tcPr>
            <w:tcW w:w="692" w:type="pct"/>
            <w:vAlign w:val="center"/>
          </w:tcPr>
          <w:p w14:paraId="2A27E668">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16B4C3BE">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715A39A7">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7D08C8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721" w:hRule="atLeast"/>
        </w:trPr>
        <w:tc>
          <w:tcPr>
            <w:tcW w:w="517" w:type="pct"/>
            <w:vAlign w:val="center"/>
          </w:tcPr>
          <w:p w14:paraId="1419D86B">
            <w:pPr>
              <w:pStyle w:val="84"/>
              <w:numPr>
                <w:ilvl w:val="0"/>
                <w:numId w:val="74"/>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0E425F16">
            <w:pPr>
              <w:snapToGrid w:val="0"/>
              <w:spacing w:line="264" w:lineRule="auto"/>
              <w:rPr>
                <w:rFonts w:asciiTheme="minorEastAsia" w:hAnsiTheme="minorEastAsia" w:eastAsiaTheme="minorEastAsia"/>
                <w:bCs/>
                <w:sz w:val="24"/>
              </w:rPr>
            </w:pPr>
            <w:r>
              <w:rPr>
                <w:rFonts w:asciiTheme="minorEastAsia" w:hAnsiTheme="minorEastAsia" w:eastAsiaTheme="minorEastAsia"/>
                <w:sz w:val="24"/>
              </w:rPr>
              <w:t>投标人未被列入“信用中国”网站(</w:t>
            </w:r>
            <w:r>
              <w:fldChar w:fldCharType="begin"/>
            </w:r>
            <w:r>
              <w:instrText xml:space="preserve"> HYPERLINK "http://www.creditchina.gov.cn" </w:instrText>
            </w:r>
            <w:r>
              <w:fldChar w:fldCharType="separate"/>
            </w:r>
            <w:r>
              <w:rPr>
                <w:rStyle w:val="45"/>
                <w:rFonts w:asciiTheme="minorEastAsia" w:hAnsiTheme="minorEastAsia" w:eastAsiaTheme="minorEastAsia"/>
                <w:color w:val="auto"/>
                <w:sz w:val="24"/>
              </w:rPr>
              <w:t>www.creditchina.gov.cn</w:t>
            </w:r>
            <w:r>
              <w:rPr>
                <w:rStyle w:val="45"/>
                <w:rFonts w:asciiTheme="minorEastAsia" w:hAnsiTheme="minorEastAsia" w:eastAsiaTheme="minorEastAsia"/>
                <w:color w:val="auto"/>
                <w:sz w:val="24"/>
              </w:rPr>
              <w:fldChar w:fldCharType="end"/>
            </w:r>
            <w:r>
              <w:rPr>
                <w:rFonts w:asciiTheme="minorEastAsia" w:hAnsiTheme="minorEastAsia" w:eastAsiaTheme="minorEastAsia"/>
                <w:sz w:val="24"/>
              </w:rPr>
              <w:t>)</w:t>
            </w:r>
            <w:r>
              <w:rPr>
                <w:rFonts w:hint="eastAsia" w:asciiTheme="minorEastAsia" w:hAnsiTheme="minorEastAsia" w:eastAsiaTheme="minorEastAsia"/>
                <w:sz w:val="24"/>
              </w:rPr>
              <w:t>以下任何记录名单之一：①</w:t>
            </w:r>
            <w:r>
              <w:rPr>
                <w:rFonts w:asciiTheme="minorEastAsia" w:hAnsiTheme="minorEastAsia" w:eastAsiaTheme="minorEastAsia"/>
                <w:sz w:val="24"/>
              </w:rPr>
              <w:t>失信被执行人</w:t>
            </w:r>
            <w:r>
              <w:rPr>
                <w:rFonts w:hint="eastAsia" w:asciiTheme="minorEastAsia" w:hAnsiTheme="minorEastAsia" w:eastAsiaTheme="minorEastAsia"/>
                <w:sz w:val="24"/>
              </w:rPr>
              <w:t>；②</w:t>
            </w:r>
            <w:r>
              <w:rPr>
                <w:rFonts w:asciiTheme="minorEastAsia" w:hAnsiTheme="minorEastAsia" w:eastAsiaTheme="minorEastAsia"/>
                <w:sz w:val="24"/>
              </w:rPr>
              <w:t>重大税收违法失信主体</w:t>
            </w:r>
            <w:r>
              <w:rPr>
                <w:rFonts w:hint="eastAsia" w:asciiTheme="minorEastAsia" w:hAnsiTheme="minorEastAsia" w:eastAsiaTheme="minorEastAsia"/>
                <w:sz w:val="24"/>
              </w:rPr>
              <w:t>；③</w:t>
            </w:r>
            <w:r>
              <w:rPr>
                <w:rFonts w:asciiTheme="minorEastAsia" w:hAnsiTheme="minorEastAsia" w:eastAsiaTheme="minorEastAsia"/>
                <w:sz w:val="24"/>
              </w:rPr>
              <w:t>政府采购严重违法失信行为</w:t>
            </w:r>
            <w:r>
              <w:rPr>
                <w:rFonts w:hint="eastAsia" w:asciiTheme="minorEastAsia" w:hAnsiTheme="minorEastAsia" w:eastAsiaTheme="minorEastAsia"/>
                <w:sz w:val="24"/>
              </w:rPr>
              <w:t>。同时，</w:t>
            </w:r>
            <w:r>
              <w:rPr>
                <w:rFonts w:asciiTheme="minorEastAsia" w:hAnsiTheme="minorEastAsia" w:eastAsiaTheme="minorEastAsia"/>
                <w:sz w:val="24"/>
              </w:rPr>
              <w:t>不处于中国政府采购网(www.ccgp.gov.cn)“政府采购严重违法失信行为信息记录”中的禁止参加政府采购活动期间。</w:t>
            </w:r>
          </w:p>
        </w:tc>
        <w:tc>
          <w:tcPr>
            <w:tcW w:w="692" w:type="pct"/>
            <w:vAlign w:val="center"/>
          </w:tcPr>
          <w:p w14:paraId="019F3206">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1642CA1D">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6C0B9289">
            <w:pPr>
              <w:snapToGrid w:val="0"/>
              <w:spacing w:line="264" w:lineRule="auto"/>
              <w:jc w:val="left"/>
              <w:rPr>
                <w:rFonts w:asciiTheme="minorEastAsia" w:hAnsiTheme="minorEastAsia" w:eastAsiaTheme="minorEastAsia"/>
                <w:sz w:val="24"/>
              </w:rPr>
            </w:pPr>
            <w:r>
              <w:rPr>
                <w:rFonts w:hint="eastAsia" w:asciiTheme="minorEastAsia" w:hAnsiTheme="minorEastAsia" w:eastAsiaTheme="minorEastAsia"/>
                <w:sz w:val="24"/>
              </w:rPr>
              <w:t>1、由采购人、采购代理机构</w:t>
            </w:r>
            <w:r>
              <w:rPr>
                <w:rFonts w:asciiTheme="minorEastAsia" w:hAnsiTheme="minorEastAsia" w:eastAsiaTheme="minorEastAsia"/>
                <w:sz w:val="24"/>
              </w:rPr>
              <w:t>于</w:t>
            </w:r>
            <w:r>
              <w:rPr>
                <w:rFonts w:hint="eastAsia" w:asciiTheme="minorEastAsia" w:hAnsiTheme="minorEastAsia" w:eastAsiaTheme="minorEastAsia"/>
                <w:sz w:val="24"/>
              </w:rPr>
              <w:t>投标截止日</w:t>
            </w:r>
            <w:r>
              <w:rPr>
                <w:rFonts w:asciiTheme="minorEastAsia" w:hAnsiTheme="minorEastAsia" w:eastAsiaTheme="minorEastAsia"/>
                <w:sz w:val="24"/>
              </w:rPr>
              <w:t>在“信用中国”网站（www.creditchina.gov.cn）及中国政府采购网(www.ccgp.gov.cn)查询结果为准</w:t>
            </w:r>
            <w:r>
              <w:rPr>
                <w:rFonts w:hint="eastAsia" w:asciiTheme="minorEastAsia" w:hAnsiTheme="minorEastAsia" w:eastAsiaTheme="minorEastAsia"/>
                <w:sz w:val="24"/>
              </w:rPr>
              <w:t>，</w:t>
            </w:r>
            <w:r>
              <w:rPr>
                <w:rFonts w:asciiTheme="minorEastAsia" w:hAnsiTheme="minorEastAsia" w:eastAsiaTheme="minorEastAsia"/>
                <w:sz w:val="24"/>
              </w:rPr>
              <w:t>如在上述网站查询结果均显示没有相关记录，视为</w:t>
            </w:r>
            <w:r>
              <w:rPr>
                <w:rFonts w:hint="eastAsia" w:asciiTheme="minorEastAsia" w:hAnsiTheme="minorEastAsia" w:eastAsiaTheme="minorEastAsia"/>
                <w:sz w:val="24"/>
              </w:rPr>
              <w:t>不存在</w:t>
            </w:r>
            <w:r>
              <w:rPr>
                <w:rFonts w:asciiTheme="minorEastAsia" w:hAnsiTheme="minorEastAsia" w:eastAsiaTheme="minorEastAsia"/>
                <w:sz w:val="24"/>
              </w:rPr>
              <w:t>上述不良信用记录。</w:t>
            </w:r>
          </w:p>
          <w:p w14:paraId="6B206CF3">
            <w:pPr>
              <w:rPr>
                <w:rFonts w:asciiTheme="minorEastAsia" w:hAnsiTheme="minorEastAsia" w:eastAsiaTheme="minorEastAsia"/>
                <w:sz w:val="24"/>
              </w:rPr>
            </w:pPr>
            <w:r>
              <w:rPr>
                <w:rFonts w:hint="eastAsia" w:cs="宋体" w:asciiTheme="minorEastAsia" w:hAnsiTheme="minorEastAsia" w:eastAsiaTheme="minorEastAsia"/>
                <w:sz w:val="24"/>
              </w:rPr>
              <w:t>2、采购代理机构同时对信用信息查询记录和证据截图或下载存档</w:t>
            </w:r>
            <w:r>
              <w:rPr>
                <w:rFonts w:hint="eastAsia" w:asciiTheme="minorEastAsia" w:hAnsiTheme="minorEastAsia" w:eastAsiaTheme="minorEastAsia"/>
                <w:sz w:val="24"/>
              </w:rPr>
              <w:t>；</w:t>
            </w:r>
          </w:p>
          <w:p w14:paraId="4CE8F1B0">
            <w:pPr>
              <w:rPr>
                <w:rFonts w:asciiTheme="minorEastAsia" w:hAnsiTheme="minorEastAsia" w:eastAsiaTheme="minorEastAsia"/>
                <w:sz w:val="24"/>
              </w:rPr>
            </w:pPr>
            <w:r>
              <w:rPr>
                <w:rFonts w:hint="eastAsia" w:asciiTheme="minorEastAsia" w:hAnsiTheme="minorEastAsia" w:eastAsiaTheme="minorEastAsia"/>
                <w:sz w:val="24"/>
              </w:rPr>
              <w:t>3、投标人为分公司或联合体有成员为分公司的，同时对该分公司所属</w:t>
            </w:r>
            <w:r>
              <w:rPr>
                <w:rFonts w:hint="eastAsia" w:cs="黑体" w:asciiTheme="minorEastAsia" w:hAnsiTheme="minorEastAsia" w:eastAsiaTheme="minorEastAsia"/>
                <w:sz w:val="24"/>
              </w:rPr>
              <w:t>总公司</w:t>
            </w:r>
            <w:r>
              <w:rPr>
                <w:rStyle w:val="59"/>
                <w:rFonts w:hint="eastAsia" w:asciiTheme="minorEastAsia" w:hAnsiTheme="minorEastAsia" w:eastAsiaTheme="minorEastAsia"/>
                <w:sz w:val="24"/>
                <w:szCs w:val="24"/>
              </w:rPr>
              <w:t>（总所）进行信用记录查询，</w:t>
            </w:r>
            <w:r>
              <w:rPr>
                <w:rFonts w:hint="eastAsia" w:asciiTheme="minorEastAsia" w:hAnsiTheme="minorEastAsia" w:eastAsiaTheme="minorEastAsia"/>
                <w:sz w:val="24"/>
              </w:rPr>
              <w:t>该分公司所属</w:t>
            </w:r>
            <w:r>
              <w:rPr>
                <w:rFonts w:hint="eastAsia" w:cs="黑体" w:asciiTheme="minorEastAsia" w:hAnsiTheme="minorEastAsia" w:eastAsiaTheme="minorEastAsia"/>
                <w:sz w:val="24"/>
              </w:rPr>
              <w:t>总公司</w:t>
            </w:r>
            <w:r>
              <w:rPr>
                <w:rStyle w:val="59"/>
                <w:rFonts w:hint="eastAsia" w:asciiTheme="minorEastAsia" w:hAnsiTheme="minorEastAsia" w:eastAsiaTheme="minorEastAsia"/>
                <w:sz w:val="24"/>
                <w:szCs w:val="24"/>
              </w:rPr>
              <w:t>（总所）</w:t>
            </w:r>
            <w:r>
              <w:rPr>
                <w:rFonts w:asciiTheme="minorEastAsia" w:hAnsiTheme="minorEastAsia" w:eastAsiaTheme="minorEastAsia"/>
                <w:sz w:val="24"/>
              </w:rPr>
              <w:t>存在</w:t>
            </w:r>
            <w:r>
              <w:rPr>
                <w:rFonts w:hint="eastAsia" w:asciiTheme="minorEastAsia" w:hAnsiTheme="minorEastAsia" w:eastAsiaTheme="minorEastAsia"/>
                <w:sz w:val="24"/>
              </w:rPr>
              <w:t>不良信用</w:t>
            </w:r>
            <w:r>
              <w:rPr>
                <w:rFonts w:asciiTheme="minorEastAsia" w:hAnsiTheme="minorEastAsia" w:eastAsiaTheme="minorEastAsia"/>
                <w:sz w:val="24"/>
              </w:rPr>
              <w:t>记录的</w:t>
            </w:r>
            <w:r>
              <w:rPr>
                <w:rFonts w:hint="eastAsia" w:asciiTheme="minorEastAsia" w:hAnsiTheme="minorEastAsia" w:eastAsiaTheme="minorEastAsia"/>
                <w:sz w:val="24"/>
              </w:rPr>
              <w:t>，视同供应商（联合体）存在不良信用记录</w:t>
            </w:r>
            <w:r>
              <w:rPr>
                <w:rFonts w:asciiTheme="minorEastAsia" w:hAnsiTheme="minorEastAsia" w:eastAsiaTheme="minorEastAsia"/>
                <w:sz w:val="24"/>
              </w:rPr>
              <w:t>。</w:t>
            </w:r>
          </w:p>
          <w:p w14:paraId="0215AD22">
            <w:pPr>
              <w:rPr>
                <w:rFonts w:asciiTheme="majorEastAsia" w:hAnsiTheme="majorEastAsia" w:eastAsiaTheme="majorEastAsia"/>
              </w:rPr>
            </w:pPr>
            <w:r>
              <w:rPr>
                <w:rFonts w:hint="eastAsia" w:asciiTheme="minorEastAsia" w:hAnsiTheme="minorEastAsia" w:eastAsiaTheme="minorEastAsia"/>
                <w:sz w:val="24"/>
              </w:rPr>
              <w:t>4、</w:t>
            </w:r>
            <w:r>
              <w:rPr>
                <w:rFonts w:asciiTheme="minorEastAsia" w:hAnsiTheme="minorEastAsia" w:eastAsiaTheme="minorEastAsia"/>
                <w:bCs/>
                <w:sz w:val="24"/>
              </w:rPr>
              <w:t>如相关失信记录已失效，</w:t>
            </w:r>
            <w:r>
              <w:rPr>
                <w:rFonts w:hint="eastAsia" w:asciiTheme="minorEastAsia" w:hAnsiTheme="minorEastAsia" w:eastAsiaTheme="minorEastAsia"/>
                <w:bCs/>
                <w:sz w:val="24"/>
              </w:rPr>
              <w:t>投标人必须</w:t>
            </w:r>
            <w:r>
              <w:rPr>
                <w:rFonts w:asciiTheme="minorEastAsia" w:hAnsiTheme="minorEastAsia" w:eastAsiaTheme="minorEastAsia"/>
                <w:bCs/>
                <w:sz w:val="24"/>
              </w:rPr>
              <w:t>提供相关证明资料。</w:t>
            </w:r>
          </w:p>
        </w:tc>
      </w:tr>
      <w:tr w14:paraId="3CDAC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663" w:hRule="atLeast"/>
        </w:trPr>
        <w:tc>
          <w:tcPr>
            <w:tcW w:w="517" w:type="pct"/>
            <w:vAlign w:val="center"/>
          </w:tcPr>
          <w:p w14:paraId="42618C05">
            <w:pPr>
              <w:pStyle w:val="84"/>
              <w:numPr>
                <w:ilvl w:val="0"/>
                <w:numId w:val="74"/>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12D5F892">
            <w:pPr>
              <w:snapToGrid w:val="0"/>
              <w:spacing w:line="264" w:lineRule="auto"/>
              <w:rPr>
                <w:rFonts w:asciiTheme="minorEastAsia" w:hAnsiTheme="minorEastAsia" w:eastAsiaTheme="minorEastAsia"/>
                <w:bCs/>
                <w:sz w:val="24"/>
              </w:rPr>
            </w:pPr>
            <w:r>
              <w:rPr>
                <w:rFonts w:hint="eastAsia" w:cs="宋体" w:asciiTheme="minorEastAsia" w:hAnsiTheme="minorEastAsia" w:eastAsiaTheme="minorEastAsia"/>
                <w:sz w:val="24"/>
              </w:rPr>
              <w:t>投标人资格声明函已提交并符合招标文件要求的；</w:t>
            </w:r>
          </w:p>
        </w:tc>
        <w:tc>
          <w:tcPr>
            <w:tcW w:w="692" w:type="pct"/>
            <w:vAlign w:val="center"/>
          </w:tcPr>
          <w:p w14:paraId="26397847">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 xml:space="preserve">通过 </w:t>
            </w:r>
          </w:p>
          <w:p w14:paraId="2213077F">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tc>
        <w:tc>
          <w:tcPr>
            <w:tcW w:w="1732" w:type="pct"/>
            <w:vAlign w:val="center"/>
          </w:tcPr>
          <w:p w14:paraId="044D55DC">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r w14:paraId="5679D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gridAfter w:val="1"/>
          <w:wAfter w:w="7" w:type="pct"/>
          <w:trHeight w:val="663" w:hRule="atLeast"/>
        </w:trPr>
        <w:tc>
          <w:tcPr>
            <w:tcW w:w="517" w:type="pct"/>
            <w:vAlign w:val="center"/>
          </w:tcPr>
          <w:p w14:paraId="3738E898">
            <w:pPr>
              <w:pStyle w:val="84"/>
              <w:numPr>
                <w:ilvl w:val="0"/>
                <w:numId w:val="74"/>
              </w:numPr>
              <w:snapToGrid w:val="0"/>
              <w:spacing w:line="264" w:lineRule="auto"/>
              <w:ind w:firstLineChars="0"/>
              <w:jc w:val="center"/>
              <w:rPr>
                <w:rFonts w:asciiTheme="majorEastAsia" w:hAnsiTheme="majorEastAsia" w:eastAsiaTheme="majorEastAsia"/>
                <w:bCs/>
                <w:sz w:val="24"/>
              </w:rPr>
            </w:pPr>
          </w:p>
        </w:tc>
        <w:tc>
          <w:tcPr>
            <w:tcW w:w="2052" w:type="pct"/>
            <w:vAlign w:val="center"/>
          </w:tcPr>
          <w:p w14:paraId="58214B1A">
            <w:pPr>
              <w:adjustRightInd/>
              <w:snapToGrid w:val="0"/>
              <w:spacing w:line="360" w:lineRule="auto"/>
              <w:textAlignment w:val="auto"/>
              <w:rPr>
                <w:rFonts w:cs="宋体" w:asciiTheme="minorEastAsia" w:hAnsiTheme="minorEastAsia" w:eastAsiaTheme="minorEastAsia"/>
                <w:sz w:val="24"/>
              </w:rPr>
            </w:pPr>
            <w:r>
              <w:rPr>
                <w:rFonts w:hint="eastAsia" w:ascii="宋体" w:hAnsi="宋体" w:cs="仿宋_GB2312"/>
                <w:kern w:val="2"/>
                <w:sz w:val="24"/>
              </w:rPr>
              <w:t>落实政府采购政策需满足的资格要求：</w:t>
            </w:r>
            <w:r>
              <w:rPr>
                <w:rFonts w:hint="eastAsia" w:cs="宋体" w:asciiTheme="minorEastAsia" w:hAnsiTheme="minorEastAsia" w:eastAsiaTheme="minorEastAsia"/>
                <w:sz w:val="24"/>
              </w:rPr>
              <w:t>无。本项目不属于专门面向中小企业采购的项目。</w:t>
            </w:r>
          </w:p>
        </w:tc>
        <w:tc>
          <w:tcPr>
            <w:tcW w:w="692" w:type="pct"/>
            <w:vAlign w:val="center"/>
          </w:tcPr>
          <w:p w14:paraId="781E2906">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通过</w:t>
            </w:r>
          </w:p>
          <w:p w14:paraId="7C82D6C0">
            <w:pPr>
              <w:snapToGrid w:val="0"/>
              <w:spacing w:line="264" w:lineRule="auto"/>
              <w:rPr>
                <w:rFonts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不通过</w:t>
            </w:r>
          </w:p>
          <w:p w14:paraId="19094E92">
            <w:pPr>
              <w:snapToGrid w:val="0"/>
              <w:spacing w:line="264" w:lineRule="auto"/>
              <w:rPr>
                <w:rFonts w:cs="Arial" w:asciiTheme="majorEastAsia" w:hAnsiTheme="majorEastAsia" w:eastAsiaTheme="majorEastAsia"/>
                <w:sz w:val="24"/>
              </w:rPr>
            </w:pPr>
            <w:r>
              <w:rPr>
                <w:rFonts w:hint="eastAsia" w:cs="Arial" w:asciiTheme="majorEastAsia" w:hAnsiTheme="majorEastAsia" w:eastAsiaTheme="majorEastAsia"/>
                <w:sz w:val="24"/>
              </w:rPr>
              <w:t>□</w:t>
            </w:r>
            <w:r>
              <w:rPr>
                <w:rFonts w:hint="eastAsia" w:asciiTheme="majorEastAsia" w:hAnsiTheme="majorEastAsia" w:eastAsiaTheme="majorEastAsia"/>
                <w:sz w:val="24"/>
              </w:rPr>
              <w:t>不适用</w:t>
            </w:r>
          </w:p>
        </w:tc>
        <w:tc>
          <w:tcPr>
            <w:tcW w:w="1732" w:type="pct"/>
            <w:vAlign w:val="center"/>
          </w:tcPr>
          <w:p w14:paraId="3949D4B3">
            <w:pPr>
              <w:snapToGrid w:val="0"/>
              <w:spacing w:line="264" w:lineRule="auto"/>
              <w:jc w:val="center"/>
              <w:rPr>
                <w:rFonts w:asciiTheme="majorEastAsia" w:hAnsiTheme="majorEastAsia" w:eastAsiaTheme="majorEastAsia"/>
                <w:sz w:val="24"/>
              </w:rPr>
            </w:pPr>
            <w:r>
              <w:rPr>
                <w:rFonts w:hint="eastAsia" w:asciiTheme="majorEastAsia" w:hAnsiTheme="majorEastAsia" w:eastAsiaTheme="majorEastAsia"/>
                <w:sz w:val="24"/>
              </w:rPr>
              <w:t>第（ ）页</w:t>
            </w:r>
          </w:p>
        </w:tc>
      </w:tr>
    </w:tbl>
    <w:p w14:paraId="5FC4874C">
      <w:pPr>
        <w:pStyle w:val="84"/>
        <w:numPr>
          <w:ilvl w:val="0"/>
          <w:numId w:val="72"/>
        </w:numPr>
        <w:snapToGrid w:val="0"/>
        <w:spacing w:line="360" w:lineRule="auto"/>
        <w:ind w:firstLineChars="0"/>
        <w:jc w:val="center"/>
        <w:rPr>
          <w:rFonts w:ascii="宋体" w:hAnsi="宋体"/>
          <w:b/>
          <w:sz w:val="30"/>
          <w:szCs w:val="30"/>
        </w:rPr>
      </w:pPr>
      <w:r>
        <w:rPr>
          <w:rFonts w:hint="eastAsia" w:ascii="宋体" w:hAnsi="宋体"/>
          <w:b/>
          <w:sz w:val="30"/>
          <w:szCs w:val="30"/>
        </w:rPr>
        <w:t>符合性自查表</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150" w:type="dxa"/>
          <w:left w:w="150" w:type="dxa"/>
          <w:bottom w:w="150" w:type="dxa"/>
          <w:right w:w="150" w:type="dxa"/>
        </w:tblCellMar>
      </w:tblPr>
      <w:tblGrid>
        <w:gridCol w:w="865"/>
        <w:gridCol w:w="5575"/>
        <w:gridCol w:w="1460"/>
        <w:gridCol w:w="1580"/>
      </w:tblGrid>
      <w:tr w14:paraId="008788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181" w:hRule="atLeast"/>
        </w:trPr>
        <w:tc>
          <w:tcPr>
            <w:tcW w:w="456" w:type="pct"/>
          </w:tcPr>
          <w:p w14:paraId="15B1B291">
            <w:pPr>
              <w:snapToGrid w:val="0"/>
              <w:spacing w:line="264" w:lineRule="auto"/>
              <w:jc w:val="center"/>
              <w:rPr>
                <w:rStyle w:val="41"/>
                <w:rFonts w:asciiTheme="minorEastAsia" w:hAnsiTheme="minorEastAsia" w:eastAsiaTheme="minorEastAsia"/>
                <w:sz w:val="24"/>
              </w:rPr>
            </w:pPr>
            <w:r>
              <w:rPr>
                <w:rFonts w:hint="eastAsia" w:asciiTheme="minorEastAsia" w:hAnsiTheme="minorEastAsia" w:eastAsiaTheme="minorEastAsia"/>
                <w:b/>
                <w:sz w:val="24"/>
              </w:rPr>
              <w:t>序号</w:t>
            </w:r>
          </w:p>
        </w:tc>
        <w:tc>
          <w:tcPr>
            <w:tcW w:w="2940" w:type="pct"/>
            <w:vAlign w:val="center"/>
          </w:tcPr>
          <w:p w14:paraId="113F359C">
            <w:pPr>
              <w:snapToGrid w:val="0"/>
              <w:spacing w:line="264" w:lineRule="auto"/>
              <w:jc w:val="center"/>
              <w:rPr>
                <w:rFonts w:cs="宋体" w:asciiTheme="minorEastAsia" w:hAnsiTheme="minorEastAsia" w:eastAsiaTheme="minorEastAsia"/>
                <w:sz w:val="24"/>
              </w:rPr>
            </w:pPr>
            <w:r>
              <w:rPr>
                <w:rStyle w:val="41"/>
                <w:rFonts w:hint="eastAsia" w:asciiTheme="minorEastAsia" w:hAnsiTheme="minorEastAsia" w:eastAsiaTheme="minorEastAsia"/>
                <w:sz w:val="24"/>
              </w:rPr>
              <w:t>招标文件要求</w:t>
            </w:r>
          </w:p>
        </w:tc>
        <w:tc>
          <w:tcPr>
            <w:tcW w:w="770" w:type="pct"/>
            <w:vAlign w:val="center"/>
          </w:tcPr>
          <w:p w14:paraId="3493DE36">
            <w:pPr>
              <w:snapToGrid w:val="0"/>
              <w:spacing w:line="264" w:lineRule="auto"/>
              <w:jc w:val="center"/>
              <w:rPr>
                <w:rFonts w:cs="宋体" w:asciiTheme="minorEastAsia" w:hAnsiTheme="minorEastAsia" w:eastAsiaTheme="minorEastAsia"/>
                <w:sz w:val="24"/>
              </w:rPr>
            </w:pPr>
            <w:r>
              <w:rPr>
                <w:rStyle w:val="41"/>
                <w:rFonts w:hint="eastAsia" w:asciiTheme="minorEastAsia" w:hAnsiTheme="minorEastAsia" w:eastAsiaTheme="minorEastAsia"/>
                <w:sz w:val="24"/>
              </w:rPr>
              <w:t>自查结论</w:t>
            </w:r>
          </w:p>
        </w:tc>
        <w:tc>
          <w:tcPr>
            <w:tcW w:w="833" w:type="pct"/>
            <w:vAlign w:val="center"/>
          </w:tcPr>
          <w:p w14:paraId="468C145C">
            <w:pPr>
              <w:snapToGrid w:val="0"/>
              <w:spacing w:line="264" w:lineRule="auto"/>
              <w:jc w:val="center"/>
              <w:rPr>
                <w:rFonts w:cs="宋体" w:asciiTheme="minorEastAsia" w:hAnsiTheme="minorEastAsia" w:eastAsiaTheme="minorEastAsia"/>
                <w:sz w:val="24"/>
              </w:rPr>
            </w:pPr>
            <w:r>
              <w:rPr>
                <w:rFonts w:hint="eastAsia" w:asciiTheme="minorEastAsia" w:hAnsiTheme="minorEastAsia" w:eastAsiaTheme="minorEastAsia"/>
                <w:b/>
                <w:sz w:val="24"/>
              </w:rPr>
              <w:t>证明文件</w:t>
            </w:r>
          </w:p>
        </w:tc>
      </w:tr>
      <w:tr w14:paraId="1AFA0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181" w:hRule="atLeast"/>
        </w:trPr>
        <w:tc>
          <w:tcPr>
            <w:tcW w:w="456" w:type="pct"/>
          </w:tcPr>
          <w:p w14:paraId="66955939">
            <w:pPr>
              <w:pStyle w:val="84"/>
              <w:numPr>
                <w:ilvl w:val="0"/>
                <w:numId w:val="76"/>
              </w:numPr>
              <w:snapToGrid w:val="0"/>
              <w:spacing w:line="264" w:lineRule="auto"/>
              <w:ind w:firstLineChars="0"/>
              <w:rPr>
                <w:rFonts w:cs="宋体" w:asciiTheme="minorEastAsia" w:hAnsiTheme="minorEastAsia" w:eastAsiaTheme="minorEastAsia"/>
                <w:sz w:val="24"/>
              </w:rPr>
            </w:pPr>
          </w:p>
        </w:tc>
        <w:tc>
          <w:tcPr>
            <w:tcW w:w="2940" w:type="pct"/>
            <w:vAlign w:val="center"/>
          </w:tcPr>
          <w:p w14:paraId="361E9D5F">
            <w:pPr>
              <w:snapToGrid w:val="0"/>
              <w:spacing w:line="264" w:lineRule="auto"/>
              <w:jc w:val="left"/>
              <w:rPr>
                <w:rStyle w:val="41"/>
                <w:rFonts w:asciiTheme="minorEastAsia" w:hAnsiTheme="minorEastAsia" w:eastAsiaTheme="minorEastAsia"/>
                <w:sz w:val="24"/>
              </w:rPr>
            </w:pPr>
            <w:r>
              <w:rPr>
                <w:rFonts w:hint="eastAsia" w:cs="宋体" w:asciiTheme="minorEastAsia" w:hAnsiTheme="minorEastAsia" w:eastAsiaTheme="minorEastAsia"/>
                <w:sz w:val="24"/>
              </w:rPr>
              <w:t>按照招标文件规定要求签署、盖章且投标文件有法定代表人签字或盖个人名章（或签字人有法定代表人有效授权书）的；</w:t>
            </w:r>
          </w:p>
        </w:tc>
        <w:tc>
          <w:tcPr>
            <w:tcW w:w="770" w:type="pct"/>
            <w:vAlign w:val="center"/>
          </w:tcPr>
          <w:p w14:paraId="3F27BD5A">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08C709AA">
            <w:pPr>
              <w:snapToGrid w:val="0"/>
              <w:spacing w:line="264" w:lineRule="auto"/>
              <w:rPr>
                <w:rFonts w:cs="宋体"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40D2E2AD">
            <w:pPr>
              <w:snapToGrid w:val="0"/>
              <w:spacing w:line="264" w:lineRule="auto"/>
              <w:jc w:val="center"/>
              <w:rPr>
                <w:rFonts w:cs="宋体" w:asciiTheme="minorEastAsia" w:hAnsiTheme="minorEastAsia" w:eastAsiaTheme="minorEastAsia"/>
                <w:sz w:val="24"/>
              </w:rPr>
            </w:pPr>
            <w:r>
              <w:rPr>
                <w:rFonts w:asciiTheme="minorEastAsia" w:hAnsiTheme="minorEastAsia" w:eastAsiaTheme="minorEastAsia"/>
                <w:sz w:val="24"/>
              </w:rPr>
              <w:t>/</w:t>
            </w:r>
          </w:p>
        </w:tc>
      </w:tr>
      <w:tr w14:paraId="2ECBAE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35" w:hRule="atLeast"/>
        </w:trPr>
        <w:tc>
          <w:tcPr>
            <w:tcW w:w="456" w:type="pct"/>
            <w:vAlign w:val="center"/>
          </w:tcPr>
          <w:p w14:paraId="273CB235">
            <w:pPr>
              <w:snapToGrid w:val="0"/>
              <w:spacing w:line="264"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1.1</w:t>
            </w:r>
          </w:p>
        </w:tc>
        <w:tc>
          <w:tcPr>
            <w:tcW w:w="2940" w:type="pct"/>
            <w:vAlign w:val="center"/>
          </w:tcPr>
          <w:p w14:paraId="30C3AD9E">
            <w:pPr>
              <w:snapToGrid w:val="0"/>
              <w:spacing w:line="264" w:lineRule="auto"/>
              <w:jc w:val="left"/>
              <w:rPr>
                <w:rFonts w:cs="宋体" w:asciiTheme="minorEastAsia" w:hAnsiTheme="minorEastAsia" w:eastAsiaTheme="minorEastAsia"/>
                <w:b/>
                <w:bCs/>
                <w:sz w:val="24"/>
              </w:rPr>
            </w:pPr>
            <w:r>
              <w:rPr>
                <w:rFonts w:hint="eastAsia" w:cs="宋体" w:asciiTheme="minorEastAsia" w:hAnsiTheme="minorEastAsia" w:eastAsiaTheme="minorEastAsia"/>
                <w:sz w:val="24"/>
              </w:rPr>
              <w:t>法定代表人授权委托书；</w:t>
            </w:r>
          </w:p>
        </w:tc>
        <w:tc>
          <w:tcPr>
            <w:tcW w:w="770" w:type="pct"/>
            <w:vAlign w:val="center"/>
          </w:tcPr>
          <w:p w14:paraId="26C2528C">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476397E1">
            <w:pPr>
              <w:snapToGrid w:val="0"/>
              <w:spacing w:line="264" w:lineRule="auto"/>
              <w:rPr>
                <w:rFonts w:cs="宋体"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64ABD415">
            <w:pPr>
              <w:snapToGrid w:val="0"/>
              <w:spacing w:line="264" w:lineRule="auto"/>
              <w:jc w:val="center"/>
              <w:rPr>
                <w:rFonts w:cs="宋体" w:asciiTheme="minorEastAsia" w:hAnsiTheme="minorEastAsia" w:eastAsiaTheme="minorEastAsia"/>
                <w:sz w:val="24"/>
              </w:rPr>
            </w:pPr>
            <w:r>
              <w:rPr>
                <w:rFonts w:hint="eastAsia" w:asciiTheme="minorEastAsia" w:hAnsiTheme="minorEastAsia" w:eastAsiaTheme="minorEastAsia"/>
                <w:sz w:val="24"/>
              </w:rPr>
              <w:t>第（ ）页</w:t>
            </w:r>
          </w:p>
        </w:tc>
      </w:tr>
      <w:tr w14:paraId="7312E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159" w:hRule="atLeast"/>
        </w:trPr>
        <w:tc>
          <w:tcPr>
            <w:tcW w:w="456" w:type="pct"/>
            <w:vAlign w:val="center"/>
          </w:tcPr>
          <w:p w14:paraId="005D2973">
            <w:pPr>
              <w:snapToGrid w:val="0"/>
              <w:spacing w:line="264"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1.2</w:t>
            </w:r>
          </w:p>
        </w:tc>
        <w:tc>
          <w:tcPr>
            <w:tcW w:w="2940" w:type="pct"/>
            <w:vAlign w:val="center"/>
          </w:tcPr>
          <w:p w14:paraId="0FF309B9">
            <w:pPr>
              <w:snapToGrid w:val="0"/>
              <w:spacing w:line="264" w:lineRule="auto"/>
              <w:jc w:val="left"/>
              <w:rPr>
                <w:rFonts w:cs="宋体" w:asciiTheme="minorEastAsia" w:hAnsiTheme="minorEastAsia" w:eastAsiaTheme="minorEastAsia"/>
                <w:sz w:val="24"/>
              </w:rPr>
            </w:pPr>
            <w:r>
              <w:rPr>
                <w:rFonts w:hint="eastAsia" w:cs="宋体" w:asciiTheme="minorEastAsia" w:hAnsiTheme="minorEastAsia" w:eastAsiaTheme="minorEastAsia"/>
                <w:sz w:val="24"/>
              </w:rPr>
              <w:t>法定代表人证明书；</w:t>
            </w:r>
          </w:p>
        </w:tc>
        <w:tc>
          <w:tcPr>
            <w:tcW w:w="770" w:type="pct"/>
            <w:vAlign w:val="center"/>
          </w:tcPr>
          <w:p w14:paraId="2C644CA7">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478DAC5E">
            <w:pPr>
              <w:snapToGrid w:val="0"/>
              <w:spacing w:line="264" w:lineRule="auto"/>
              <w:rPr>
                <w:rFonts w:cs="宋体"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4A0FDB83">
            <w:pPr>
              <w:snapToGrid w:val="0"/>
              <w:spacing w:line="264" w:lineRule="auto"/>
              <w:jc w:val="center"/>
              <w:rPr>
                <w:rFonts w:cs="宋体" w:asciiTheme="minorEastAsia" w:hAnsiTheme="minorEastAsia" w:eastAsiaTheme="minorEastAsia"/>
                <w:sz w:val="24"/>
              </w:rPr>
            </w:pPr>
            <w:r>
              <w:rPr>
                <w:rFonts w:hint="eastAsia" w:asciiTheme="minorEastAsia" w:hAnsiTheme="minorEastAsia" w:eastAsiaTheme="minorEastAsia"/>
                <w:sz w:val="24"/>
              </w:rPr>
              <w:t>第（ ）页</w:t>
            </w:r>
          </w:p>
        </w:tc>
      </w:tr>
      <w:tr w14:paraId="724674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270" w:hRule="atLeast"/>
        </w:trPr>
        <w:tc>
          <w:tcPr>
            <w:tcW w:w="456" w:type="pct"/>
          </w:tcPr>
          <w:p w14:paraId="2DBF43C3">
            <w:pPr>
              <w:pStyle w:val="84"/>
              <w:numPr>
                <w:ilvl w:val="0"/>
                <w:numId w:val="76"/>
              </w:numPr>
              <w:snapToGrid w:val="0"/>
              <w:spacing w:line="264" w:lineRule="auto"/>
              <w:ind w:firstLineChars="0"/>
              <w:rPr>
                <w:rFonts w:cs="宋体" w:asciiTheme="minorEastAsia" w:hAnsiTheme="minorEastAsia" w:eastAsiaTheme="minorEastAsia"/>
                <w:sz w:val="24"/>
              </w:rPr>
            </w:pPr>
          </w:p>
        </w:tc>
        <w:tc>
          <w:tcPr>
            <w:tcW w:w="2940" w:type="pct"/>
            <w:vAlign w:val="center"/>
          </w:tcPr>
          <w:p w14:paraId="69CD8D48">
            <w:pPr>
              <w:snapToGrid w:val="0"/>
              <w:spacing w:line="264" w:lineRule="auto"/>
              <w:jc w:val="left"/>
              <w:rPr>
                <w:rFonts w:cs="宋体" w:asciiTheme="minorEastAsia" w:hAnsiTheme="minorEastAsia" w:eastAsiaTheme="minorEastAsia"/>
                <w:sz w:val="24"/>
              </w:rPr>
            </w:pPr>
            <w:r>
              <w:rPr>
                <w:rFonts w:hint="eastAsia" w:cs="宋体" w:asciiTheme="minorEastAsia" w:hAnsiTheme="minorEastAsia" w:eastAsiaTheme="minorEastAsia"/>
                <w:sz w:val="24"/>
              </w:rPr>
              <w:t>投标函已提交并符合招标文件要求的</w:t>
            </w:r>
            <w:r>
              <w:rPr>
                <w:rFonts w:hint="eastAsia" w:ascii="宋体" w:hAnsi="宋体" w:cs="宋体"/>
                <w:sz w:val="24"/>
              </w:rPr>
              <w:t>，且</w:t>
            </w:r>
            <w:r>
              <w:rPr>
                <w:rFonts w:hint="eastAsia" w:ascii="宋体" w:hAnsi="宋体"/>
                <w:sz w:val="24"/>
              </w:rPr>
              <w:t>投标有效期不少于招标文件中载明的投标有效期；</w:t>
            </w:r>
          </w:p>
        </w:tc>
        <w:tc>
          <w:tcPr>
            <w:tcW w:w="770" w:type="pct"/>
            <w:vAlign w:val="center"/>
          </w:tcPr>
          <w:p w14:paraId="0C7A38E9">
            <w:pPr>
              <w:snapToGrid w:val="0"/>
              <w:spacing w:line="264" w:lineRule="auto"/>
              <w:rPr>
                <w:rFonts w:asciiTheme="minorEastAsia" w:hAnsiTheme="minorEastAsia" w:eastAsiaTheme="minorEastAsia"/>
                <w:sz w:val="24"/>
              </w:rPr>
            </w:pPr>
            <w:r>
              <w:rPr>
                <w:rFonts w:hint="eastAsia" w:asciiTheme="minorEastAsia" w:hAnsiTheme="minorEastAsia" w:eastAsiaTheme="minorEastAsia"/>
                <w:sz w:val="24"/>
              </w:rPr>
              <w:t xml:space="preserve">□通过 </w:t>
            </w:r>
          </w:p>
          <w:p w14:paraId="06288CCA">
            <w:pPr>
              <w:snapToGrid w:val="0"/>
              <w:spacing w:line="264" w:lineRule="auto"/>
              <w:rPr>
                <w:rFonts w:asciiTheme="minorEastAsia" w:hAnsiTheme="minorEastAsia" w:eastAsiaTheme="minorEastAsia"/>
                <w:sz w:val="24"/>
              </w:rPr>
            </w:pPr>
            <w:r>
              <w:rPr>
                <w:rFonts w:hint="eastAsia" w:asciiTheme="minorEastAsia" w:hAnsiTheme="minorEastAsia" w:eastAsiaTheme="minorEastAsia"/>
                <w:sz w:val="24"/>
              </w:rPr>
              <w:t>□不通过</w:t>
            </w:r>
          </w:p>
        </w:tc>
        <w:tc>
          <w:tcPr>
            <w:tcW w:w="833" w:type="pct"/>
            <w:vAlign w:val="center"/>
          </w:tcPr>
          <w:p w14:paraId="65047830">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1F8EA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310" w:hRule="atLeast"/>
        </w:trPr>
        <w:tc>
          <w:tcPr>
            <w:tcW w:w="456" w:type="pct"/>
          </w:tcPr>
          <w:p w14:paraId="5BAF6327">
            <w:pPr>
              <w:pStyle w:val="84"/>
              <w:numPr>
                <w:ilvl w:val="0"/>
                <w:numId w:val="76"/>
              </w:numPr>
              <w:snapToGrid w:val="0"/>
              <w:spacing w:line="264" w:lineRule="auto"/>
              <w:ind w:firstLineChars="0"/>
              <w:rPr>
                <w:rFonts w:cs="宋体" w:asciiTheme="minorEastAsia" w:hAnsiTheme="minorEastAsia" w:eastAsiaTheme="minorEastAsia"/>
                <w:sz w:val="24"/>
              </w:rPr>
            </w:pPr>
          </w:p>
        </w:tc>
        <w:tc>
          <w:tcPr>
            <w:tcW w:w="2940" w:type="pct"/>
            <w:vAlign w:val="center"/>
          </w:tcPr>
          <w:p w14:paraId="57849BD9">
            <w:pPr>
              <w:snapToGrid w:val="0"/>
              <w:spacing w:line="264" w:lineRule="auto"/>
              <w:jc w:val="left"/>
              <w:rPr>
                <w:rFonts w:asciiTheme="minorEastAsia" w:hAnsiTheme="minorEastAsia" w:eastAsiaTheme="minorEastAsia"/>
                <w:b/>
                <w:bCs/>
                <w:i/>
                <w:sz w:val="24"/>
                <w:shd w:val="pct10" w:color="auto" w:fill="FFFFFF"/>
              </w:rPr>
            </w:pPr>
            <w:r>
              <w:rPr>
                <w:rFonts w:hint="eastAsia" w:asciiTheme="minorEastAsia" w:hAnsiTheme="minorEastAsia" w:eastAsiaTheme="minorEastAsia"/>
                <w:sz w:val="24"/>
              </w:rPr>
              <w:t>投标综合折扣率报价没有大于100%，也没有为负数或零</w:t>
            </w:r>
            <w:r>
              <w:rPr>
                <w:rFonts w:hint="eastAsia" w:cs="宋体" w:asciiTheme="minorEastAsia" w:hAnsiTheme="minorEastAsia" w:eastAsiaTheme="minorEastAsia"/>
                <w:sz w:val="24"/>
              </w:rPr>
              <w:t>，且是固定唯一值的；</w:t>
            </w:r>
          </w:p>
        </w:tc>
        <w:tc>
          <w:tcPr>
            <w:tcW w:w="770" w:type="pct"/>
            <w:vAlign w:val="center"/>
          </w:tcPr>
          <w:p w14:paraId="21BCB725">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649EE7B9">
            <w:pPr>
              <w:snapToGrid w:val="0"/>
              <w:spacing w:line="264" w:lineRule="auto"/>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7D1CE266">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0B46AF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73" w:hRule="atLeast"/>
        </w:trPr>
        <w:tc>
          <w:tcPr>
            <w:tcW w:w="456" w:type="pct"/>
          </w:tcPr>
          <w:p w14:paraId="717D307E">
            <w:pPr>
              <w:pStyle w:val="84"/>
              <w:numPr>
                <w:ilvl w:val="0"/>
                <w:numId w:val="76"/>
              </w:numPr>
              <w:snapToGrid w:val="0"/>
              <w:spacing w:line="264" w:lineRule="auto"/>
              <w:ind w:firstLineChars="0"/>
              <w:rPr>
                <w:rFonts w:cs="宋体" w:asciiTheme="minorEastAsia" w:hAnsiTheme="minorEastAsia" w:eastAsiaTheme="minorEastAsia"/>
                <w:sz w:val="24"/>
              </w:rPr>
            </w:pPr>
          </w:p>
        </w:tc>
        <w:tc>
          <w:tcPr>
            <w:tcW w:w="2940" w:type="pct"/>
            <w:vAlign w:val="center"/>
          </w:tcPr>
          <w:p w14:paraId="755A7D08">
            <w:pPr>
              <w:snapToGrid w:val="0"/>
              <w:spacing w:line="264" w:lineRule="auto"/>
              <w:ind w:left="7" w:hanging="7" w:hangingChars="3"/>
              <w:jc w:val="left"/>
              <w:rPr>
                <w:rFonts w:cs="宋体" w:asciiTheme="minorEastAsia" w:hAnsiTheme="minorEastAsia" w:eastAsiaTheme="minorEastAsia"/>
                <w:sz w:val="24"/>
              </w:rPr>
            </w:pPr>
            <w:r>
              <w:rPr>
                <w:rFonts w:hint="eastAsia" w:ascii="宋体" w:hAnsi="宋体" w:cs="宋体"/>
                <w:sz w:val="24"/>
              </w:rPr>
              <w:t>投标文件未出现选择性报价或有附加条件报价的情形；</w:t>
            </w:r>
          </w:p>
        </w:tc>
        <w:tc>
          <w:tcPr>
            <w:tcW w:w="770" w:type="pct"/>
            <w:vAlign w:val="center"/>
          </w:tcPr>
          <w:p w14:paraId="4D432A1C">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38E822C7">
            <w:pPr>
              <w:snapToGrid w:val="0"/>
              <w:spacing w:line="264" w:lineRule="auto"/>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18EBD3D6">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36123B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310" w:hRule="atLeast"/>
        </w:trPr>
        <w:tc>
          <w:tcPr>
            <w:tcW w:w="456" w:type="pct"/>
          </w:tcPr>
          <w:p w14:paraId="517185AE">
            <w:pPr>
              <w:pStyle w:val="84"/>
              <w:numPr>
                <w:ilvl w:val="0"/>
                <w:numId w:val="76"/>
              </w:numPr>
              <w:snapToGrid w:val="0"/>
              <w:spacing w:line="264" w:lineRule="auto"/>
              <w:ind w:firstLineChars="0"/>
              <w:rPr>
                <w:rFonts w:cs="宋体" w:asciiTheme="minorEastAsia" w:hAnsiTheme="minorEastAsia" w:eastAsiaTheme="minorEastAsia"/>
                <w:sz w:val="24"/>
              </w:rPr>
            </w:pPr>
          </w:p>
        </w:tc>
        <w:tc>
          <w:tcPr>
            <w:tcW w:w="2940" w:type="pct"/>
            <w:vAlign w:val="center"/>
          </w:tcPr>
          <w:p w14:paraId="2628A08C">
            <w:pPr>
              <w:snapToGrid w:val="0"/>
              <w:spacing w:line="264" w:lineRule="auto"/>
              <w:jc w:val="left"/>
              <w:rPr>
                <w:rFonts w:asciiTheme="minorEastAsia" w:hAnsiTheme="minorEastAsia" w:eastAsiaTheme="minorEastAsia"/>
                <w:b/>
                <w:bCs/>
                <w:i/>
                <w:sz w:val="24"/>
                <w:shd w:val="pct10" w:color="auto" w:fill="FFFFFF"/>
              </w:rPr>
            </w:pPr>
            <w:r>
              <w:rPr>
                <w:rFonts w:hint="eastAsia" w:ascii="宋体" w:hAnsi="宋体" w:cs="宋体"/>
                <w:sz w:val="24"/>
              </w:rPr>
              <w:t>投标文件完全满足招标文件的实质性条款（即标注★号条款）无负偏离的；</w:t>
            </w:r>
          </w:p>
        </w:tc>
        <w:tc>
          <w:tcPr>
            <w:tcW w:w="770" w:type="pct"/>
            <w:vAlign w:val="center"/>
          </w:tcPr>
          <w:p w14:paraId="75346552">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199321A4">
            <w:pPr>
              <w:snapToGrid w:val="0"/>
              <w:spacing w:line="264" w:lineRule="auto"/>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51424233">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23FA5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310" w:hRule="atLeast"/>
        </w:trPr>
        <w:tc>
          <w:tcPr>
            <w:tcW w:w="456" w:type="pct"/>
          </w:tcPr>
          <w:p w14:paraId="1DC29C4B">
            <w:pPr>
              <w:pStyle w:val="84"/>
              <w:numPr>
                <w:ilvl w:val="0"/>
                <w:numId w:val="76"/>
              </w:numPr>
              <w:snapToGrid w:val="0"/>
              <w:spacing w:line="264" w:lineRule="auto"/>
              <w:ind w:firstLineChars="0"/>
              <w:rPr>
                <w:rFonts w:cs="宋体" w:asciiTheme="minorEastAsia" w:hAnsiTheme="minorEastAsia" w:eastAsiaTheme="minorEastAsia"/>
                <w:sz w:val="24"/>
              </w:rPr>
            </w:pPr>
          </w:p>
        </w:tc>
        <w:tc>
          <w:tcPr>
            <w:tcW w:w="2940" w:type="pct"/>
            <w:vAlign w:val="center"/>
          </w:tcPr>
          <w:p w14:paraId="008344D9">
            <w:pPr>
              <w:snapToGrid w:val="0"/>
              <w:spacing w:line="264" w:lineRule="auto"/>
              <w:jc w:val="left"/>
              <w:rPr>
                <w:rFonts w:ascii="宋体"/>
                <w:b/>
                <w:bCs/>
                <w:i/>
                <w:sz w:val="24"/>
                <w:shd w:val="pct10" w:color="auto" w:fill="FFFFFF"/>
              </w:rPr>
            </w:pPr>
            <w:r>
              <w:rPr>
                <w:rFonts w:hint="eastAsia" w:ascii="宋体" w:hAnsi="宋体" w:cs="宋体"/>
                <w:sz w:val="24"/>
              </w:rPr>
              <w:t>投标文件没有招标文件中规定的其它无效投标条款的；</w:t>
            </w:r>
          </w:p>
        </w:tc>
        <w:tc>
          <w:tcPr>
            <w:tcW w:w="770" w:type="pct"/>
            <w:vAlign w:val="center"/>
          </w:tcPr>
          <w:p w14:paraId="03FC1F58">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5BD11A8E">
            <w:pPr>
              <w:snapToGrid w:val="0"/>
              <w:spacing w:line="264" w:lineRule="auto"/>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0CFCBB38">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r>
      <w:tr w14:paraId="09309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278" w:hRule="atLeast"/>
        </w:trPr>
        <w:tc>
          <w:tcPr>
            <w:tcW w:w="456" w:type="pct"/>
          </w:tcPr>
          <w:p w14:paraId="3CAD054B">
            <w:pPr>
              <w:pStyle w:val="84"/>
              <w:numPr>
                <w:ilvl w:val="0"/>
                <w:numId w:val="76"/>
              </w:numPr>
              <w:snapToGrid w:val="0"/>
              <w:spacing w:line="264" w:lineRule="auto"/>
              <w:ind w:firstLineChars="0"/>
              <w:rPr>
                <w:rFonts w:cs="宋体" w:asciiTheme="minorEastAsia" w:hAnsiTheme="minorEastAsia" w:eastAsiaTheme="minorEastAsia"/>
                <w:sz w:val="24"/>
              </w:rPr>
            </w:pPr>
          </w:p>
        </w:tc>
        <w:tc>
          <w:tcPr>
            <w:tcW w:w="2940" w:type="pct"/>
            <w:vAlign w:val="center"/>
          </w:tcPr>
          <w:p w14:paraId="677991B9">
            <w:pPr>
              <w:snapToGrid w:val="0"/>
              <w:spacing w:line="264" w:lineRule="auto"/>
              <w:jc w:val="left"/>
              <w:rPr>
                <w:rFonts w:cs="宋体" w:asciiTheme="minorEastAsia" w:hAnsiTheme="minorEastAsia" w:eastAsiaTheme="minorEastAsia"/>
                <w:sz w:val="24"/>
              </w:rPr>
            </w:pPr>
            <w:r>
              <w:rPr>
                <w:rFonts w:hint="eastAsia" w:ascii="宋体" w:hAnsi="宋体" w:cs="宋体"/>
                <w:sz w:val="24"/>
              </w:rPr>
              <w:t>按有关法律、法规、规章不属于投标无效的。</w:t>
            </w:r>
          </w:p>
        </w:tc>
        <w:tc>
          <w:tcPr>
            <w:tcW w:w="770" w:type="pct"/>
            <w:vAlign w:val="center"/>
          </w:tcPr>
          <w:p w14:paraId="1F0078EE">
            <w:pPr>
              <w:snapToGrid w:val="0"/>
              <w:spacing w:line="264" w:lineRule="auto"/>
              <w:rPr>
                <w:rFonts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 xml:space="preserve">通过 </w:t>
            </w:r>
          </w:p>
          <w:p w14:paraId="58EDF316">
            <w:pPr>
              <w:snapToGrid w:val="0"/>
              <w:spacing w:line="264" w:lineRule="auto"/>
              <w:rPr>
                <w:rFonts w:cs="宋体" w:asciiTheme="minorEastAsia" w:hAnsiTheme="minorEastAsia" w:eastAsiaTheme="minorEastAsia"/>
                <w:sz w:val="24"/>
              </w:rPr>
            </w:pPr>
            <w:r>
              <w:rPr>
                <w:rFonts w:hint="eastAsia" w:cs="Arial" w:asciiTheme="minorEastAsia" w:hAnsiTheme="minorEastAsia" w:eastAsiaTheme="minorEastAsia"/>
                <w:sz w:val="24"/>
              </w:rPr>
              <w:t>□</w:t>
            </w:r>
            <w:r>
              <w:rPr>
                <w:rFonts w:hint="eastAsia" w:asciiTheme="minorEastAsia" w:hAnsiTheme="minorEastAsia" w:eastAsiaTheme="minorEastAsia"/>
                <w:sz w:val="24"/>
              </w:rPr>
              <w:t>不通过</w:t>
            </w:r>
          </w:p>
        </w:tc>
        <w:tc>
          <w:tcPr>
            <w:tcW w:w="833" w:type="pct"/>
            <w:vAlign w:val="center"/>
          </w:tcPr>
          <w:p w14:paraId="394E4414">
            <w:pPr>
              <w:snapToGrid w:val="0"/>
              <w:spacing w:line="264" w:lineRule="auto"/>
              <w:jc w:val="center"/>
              <w:rPr>
                <w:rFonts w:cs="宋体" w:asciiTheme="minorEastAsia" w:hAnsiTheme="minorEastAsia" w:eastAsiaTheme="minorEastAsia"/>
                <w:sz w:val="24"/>
              </w:rPr>
            </w:pPr>
            <w:r>
              <w:rPr>
                <w:rFonts w:hint="eastAsia" w:asciiTheme="minorEastAsia" w:hAnsiTheme="minorEastAsia" w:eastAsiaTheme="minorEastAsia"/>
                <w:sz w:val="24"/>
              </w:rPr>
              <w:t>/</w:t>
            </w:r>
          </w:p>
        </w:tc>
      </w:tr>
    </w:tbl>
    <w:p w14:paraId="349FDA48">
      <w:pPr>
        <w:pStyle w:val="84"/>
        <w:numPr>
          <w:ilvl w:val="0"/>
          <w:numId w:val="72"/>
        </w:numPr>
        <w:snapToGrid w:val="0"/>
        <w:spacing w:line="360" w:lineRule="auto"/>
        <w:ind w:firstLineChars="0"/>
        <w:jc w:val="center"/>
        <w:rPr>
          <w:rFonts w:ascii="宋体" w:hAnsi="宋体"/>
          <w:b/>
          <w:sz w:val="30"/>
          <w:szCs w:val="30"/>
        </w:rPr>
      </w:pPr>
      <w:r>
        <w:rPr>
          <w:rFonts w:hint="eastAsia" w:ascii="宋体" w:hAnsi="宋体"/>
          <w:b/>
          <w:sz w:val="30"/>
          <w:szCs w:val="30"/>
        </w:rPr>
        <w:t>技术、商务评审自查表</w:t>
      </w:r>
    </w:p>
    <w:tbl>
      <w:tblPr>
        <w:tblStyle w:val="38"/>
        <w:tblW w:w="513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65"/>
        <w:gridCol w:w="969"/>
        <w:gridCol w:w="6255"/>
        <w:gridCol w:w="12"/>
        <w:gridCol w:w="1939"/>
        <w:gridCol w:w="15"/>
      </w:tblGrid>
      <w:tr w14:paraId="509017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0068DFAE">
            <w:pPr>
              <w:snapToGrid w:val="0"/>
              <w:spacing w:line="264" w:lineRule="auto"/>
              <w:jc w:val="center"/>
              <w:rPr>
                <w:rFonts w:ascii="宋体" w:hAnsi="宋体"/>
                <w:b/>
                <w:sz w:val="24"/>
              </w:rPr>
            </w:pPr>
            <w:r>
              <w:rPr>
                <w:rFonts w:hint="eastAsia" w:ascii="宋体" w:hAnsi="宋体"/>
                <w:b/>
                <w:sz w:val="24"/>
              </w:rPr>
              <w:t>序号</w:t>
            </w:r>
          </w:p>
        </w:tc>
        <w:tc>
          <w:tcPr>
            <w:tcW w:w="502" w:type="pct"/>
            <w:vAlign w:val="center"/>
          </w:tcPr>
          <w:p w14:paraId="0520A119">
            <w:pPr>
              <w:snapToGrid w:val="0"/>
              <w:spacing w:line="264" w:lineRule="auto"/>
              <w:jc w:val="center"/>
              <w:rPr>
                <w:rFonts w:ascii="宋体" w:hAnsi="宋体"/>
                <w:b/>
                <w:sz w:val="24"/>
              </w:rPr>
            </w:pPr>
            <w:r>
              <w:rPr>
                <w:rFonts w:hint="eastAsia" w:ascii="宋体" w:hAnsi="宋体" w:cs="宋体"/>
                <w:b/>
                <w:sz w:val="24"/>
              </w:rPr>
              <w:t>评审因素</w:t>
            </w:r>
          </w:p>
        </w:tc>
        <w:tc>
          <w:tcPr>
            <w:tcW w:w="3239" w:type="pct"/>
            <w:vAlign w:val="center"/>
          </w:tcPr>
          <w:p w14:paraId="7B8A1C52">
            <w:pPr>
              <w:snapToGrid w:val="0"/>
              <w:spacing w:line="264" w:lineRule="auto"/>
              <w:jc w:val="center"/>
              <w:rPr>
                <w:rFonts w:ascii="宋体" w:hAnsi="宋体"/>
                <w:b/>
                <w:sz w:val="24"/>
              </w:rPr>
            </w:pPr>
            <w:r>
              <w:rPr>
                <w:rFonts w:hint="eastAsia" w:ascii="宋体" w:hAnsi="宋体"/>
                <w:b/>
                <w:sz w:val="24"/>
              </w:rPr>
              <w:t>评审内容</w:t>
            </w:r>
          </w:p>
        </w:tc>
        <w:tc>
          <w:tcPr>
            <w:tcW w:w="1010" w:type="pct"/>
            <w:gridSpan w:val="2"/>
            <w:vAlign w:val="center"/>
          </w:tcPr>
          <w:p w14:paraId="48BBCFB3">
            <w:pPr>
              <w:snapToGrid w:val="0"/>
              <w:spacing w:line="264" w:lineRule="auto"/>
              <w:jc w:val="center"/>
              <w:rPr>
                <w:rFonts w:ascii="宋体" w:hAnsi="宋体"/>
                <w:b/>
                <w:sz w:val="24"/>
              </w:rPr>
            </w:pPr>
            <w:r>
              <w:rPr>
                <w:rFonts w:hint="eastAsia" w:ascii="宋体" w:hAnsi="宋体"/>
                <w:b/>
                <w:sz w:val="24"/>
              </w:rPr>
              <w:t>证明文件</w:t>
            </w:r>
          </w:p>
        </w:tc>
      </w:tr>
      <w:tr w14:paraId="27DD9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5000" w:type="pct"/>
            <w:gridSpan w:val="6"/>
            <w:vAlign w:val="center"/>
          </w:tcPr>
          <w:p w14:paraId="4B8C346F">
            <w:pPr>
              <w:snapToGrid w:val="0"/>
              <w:spacing w:line="264" w:lineRule="auto"/>
              <w:jc w:val="center"/>
              <w:rPr>
                <w:rFonts w:ascii="宋体" w:hAnsi="宋体"/>
                <w:sz w:val="24"/>
              </w:rPr>
            </w:pPr>
            <w:r>
              <w:rPr>
                <w:rFonts w:hint="eastAsia" w:asciiTheme="minorEastAsia" w:hAnsiTheme="minorEastAsia" w:eastAsiaTheme="minorEastAsia"/>
                <w:sz w:val="24"/>
              </w:rPr>
              <w:t>技术部分</w:t>
            </w:r>
          </w:p>
        </w:tc>
      </w:tr>
      <w:tr w14:paraId="61161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77F79492">
            <w:pPr>
              <w:numPr>
                <w:ilvl w:val="0"/>
                <w:numId w:val="77"/>
              </w:numPr>
              <w:snapToGrid w:val="0"/>
              <w:spacing w:line="264" w:lineRule="auto"/>
              <w:rPr>
                <w:rFonts w:ascii="宋体" w:hAnsi="宋体"/>
                <w:sz w:val="24"/>
              </w:rPr>
            </w:pPr>
          </w:p>
        </w:tc>
        <w:tc>
          <w:tcPr>
            <w:tcW w:w="502" w:type="pct"/>
            <w:vAlign w:val="center"/>
          </w:tcPr>
          <w:p w14:paraId="344E79F0">
            <w:pPr>
              <w:autoSpaceDE w:val="0"/>
              <w:autoSpaceDN w:val="0"/>
              <w:snapToGrid w:val="0"/>
              <w:spacing w:line="240" w:lineRule="auto"/>
              <w:jc w:val="center"/>
              <w:textAlignment w:val="auto"/>
              <w:rPr>
                <w:rFonts w:hAnsi="宋体"/>
                <w:bCs/>
                <w:sz w:val="24"/>
              </w:rPr>
            </w:pPr>
            <w:r>
              <w:rPr>
                <w:rFonts w:hint="eastAsia" w:ascii="宋体" w:hAnsi="宋体" w:cs="宋体"/>
                <w:sz w:val="24"/>
                <w:lang w:val="en-GB"/>
              </w:rPr>
              <w:t>货物丰富性、可选择性</w:t>
            </w:r>
          </w:p>
        </w:tc>
        <w:tc>
          <w:tcPr>
            <w:tcW w:w="3239" w:type="pct"/>
            <w:vAlign w:val="center"/>
          </w:tcPr>
          <w:p w14:paraId="37215577">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根据投标人拟提供的商品的多样性、可选择性（包括但不限于商品的品种、涵盖的范围、数量等）进行综合评审：</w:t>
            </w:r>
          </w:p>
          <w:p w14:paraId="11738DF9">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1、投标人拟提供的商品种类多、可选择性多，完全满足且优于项目需求的，得</w:t>
            </w:r>
            <w:r>
              <w:rPr>
                <w:rFonts w:ascii="宋体" w:hAnsi="宋体" w:cs="宋体"/>
                <w:sz w:val="24"/>
                <w:lang w:bidi="ar"/>
              </w:rPr>
              <w:t>8</w:t>
            </w:r>
            <w:r>
              <w:rPr>
                <w:rFonts w:hint="eastAsia" w:ascii="宋体" w:hAnsi="宋体" w:cs="宋体"/>
                <w:sz w:val="24"/>
                <w:lang w:bidi="ar"/>
              </w:rPr>
              <w:t>分；</w:t>
            </w:r>
          </w:p>
          <w:p w14:paraId="170D4B91">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2、投标人拟提供的商品种类较多、可选择性较多，完全满足项目需求的，得</w:t>
            </w:r>
            <w:r>
              <w:rPr>
                <w:rFonts w:ascii="宋体" w:hAnsi="宋体" w:cs="宋体"/>
                <w:sz w:val="24"/>
                <w:lang w:bidi="ar"/>
              </w:rPr>
              <w:t>5</w:t>
            </w:r>
            <w:r>
              <w:rPr>
                <w:rFonts w:hint="eastAsia" w:ascii="宋体" w:hAnsi="宋体" w:cs="宋体"/>
                <w:sz w:val="24"/>
                <w:lang w:bidi="ar"/>
              </w:rPr>
              <w:t>分；</w:t>
            </w:r>
          </w:p>
          <w:p w14:paraId="7E601026">
            <w:pPr>
              <w:autoSpaceDE w:val="0"/>
              <w:autoSpaceDN w:val="0"/>
              <w:snapToGrid w:val="0"/>
              <w:spacing w:line="240" w:lineRule="auto"/>
              <w:jc w:val="left"/>
              <w:textAlignment w:val="auto"/>
              <w:rPr>
                <w:rFonts w:ascii="宋体" w:hAnsi="宋体" w:cs="宋体"/>
                <w:sz w:val="24"/>
                <w:lang w:bidi="ar"/>
              </w:rPr>
            </w:pPr>
            <w:r>
              <w:rPr>
                <w:rFonts w:ascii="宋体" w:hAnsi="宋体" w:cs="宋体"/>
                <w:sz w:val="24"/>
                <w:lang w:bidi="ar"/>
              </w:rPr>
              <w:t>3</w:t>
            </w:r>
            <w:r>
              <w:rPr>
                <w:rFonts w:hint="eastAsia" w:ascii="宋体" w:hAnsi="宋体" w:cs="宋体"/>
                <w:sz w:val="24"/>
                <w:lang w:bidi="ar"/>
              </w:rPr>
              <w:t>、投标人拟提供的商品种类较少、可选择性较少，不完全满足项目需求的，得</w:t>
            </w:r>
            <w:r>
              <w:rPr>
                <w:rFonts w:ascii="宋体" w:hAnsi="宋体" w:cs="宋体"/>
                <w:sz w:val="24"/>
                <w:lang w:bidi="ar"/>
              </w:rPr>
              <w:t>2</w:t>
            </w:r>
            <w:r>
              <w:rPr>
                <w:rFonts w:hint="eastAsia" w:ascii="宋体" w:hAnsi="宋体" w:cs="宋体"/>
                <w:sz w:val="24"/>
                <w:lang w:bidi="ar"/>
              </w:rPr>
              <w:t>分。</w:t>
            </w:r>
          </w:p>
          <w:p w14:paraId="43AEFB04">
            <w:pPr>
              <w:autoSpaceDE w:val="0"/>
              <w:autoSpaceDN w:val="0"/>
              <w:snapToGrid w:val="0"/>
              <w:spacing w:line="240" w:lineRule="auto"/>
              <w:jc w:val="left"/>
              <w:textAlignment w:val="auto"/>
              <w:rPr>
                <w:rFonts w:ascii="宋体" w:hAnsi="宋体"/>
                <w:sz w:val="24"/>
              </w:rPr>
            </w:pPr>
            <w:r>
              <w:rPr>
                <w:rFonts w:ascii="宋体" w:hAnsi="宋体" w:cs="宋体"/>
                <w:sz w:val="24"/>
                <w:lang w:bidi="ar"/>
              </w:rPr>
              <w:t>4</w:t>
            </w:r>
            <w:r>
              <w:rPr>
                <w:rFonts w:hint="eastAsia" w:ascii="宋体" w:hAnsi="宋体" w:cs="宋体"/>
                <w:sz w:val="24"/>
                <w:lang w:bidi="ar"/>
              </w:rPr>
              <w:t>、没有提供证明资料或提供的资料不能体现投标人拟提供的商品品种、范围、数量等信息的，不得分。</w:t>
            </w:r>
          </w:p>
        </w:tc>
        <w:tc>
          <w:tcPr>
            <w:tcW w:w="1010" w:type="pct"/>
            <w:gridSpan w:val="2"/>
            <w:vAlign w:val="center"/>
          </w:tcPr>
          <w:p w14:paraId="63867A6C">
            <w:pPr>
              <w:snapToGrid w:val="0"/>
              <w:spacing w:line="264" w:lineRule="auto"/>
              <w:jc w:val="center"/>
              <w:rPr>
                <w:rFonts w:ascii="宋体" w:hAnsi="宋体"/>
                <w:sz w:val="24"/>
              </w:rPr>
            </w:pPr>
            <w:r>
              <w:rPr>
                <w:rFonts w:hint="eastAsia" w:asciiTheme="minorEastAsia" w:hAnsiTheme="minorEastAsia" w:eastAsiaTheme="minorEastAsia"/>
                <w:sz w:val="24"/>
              </w:rPr>
              <w:t>第（ ）页</w:t>
            </w:r>
            <w:r>
              <w:rPr>
                <w:rFonts w:hint="eastAsia" w:ascii="宋体" w:hAnsi="宋体"/>
                <w:sz w:val="24"/>
              </w:rPr>
              <w:t>-（ ）页</w:t>
            </w:r>
          </w:p>
        </w:tc>
      </w:tr>
      <w:tr w14:paraId="49CA2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40055200">
            <w:pPr>
              <w:numPr>
                <w:ilvl w:val="0"/>
                <w:numId w:val="77"/>
              </w:numPr>
              <w:snapToGrid w:val="0"/>
              <w:spacing w:line="264" w:lineRule="auto"/>
              <w:rPr>
                <w:rFonts w:ascii="宋体" w:hAnsi="宋体"/>
                <w:sz w:val="24"/>
              </w:rPr>
            </w:pPr>
          </w:p>
        </w:tc>
        <w:tc>
          <w:tcPr>
            <w:tcW w:w="502" w:type="pct"/>
            <w:vAlign w:val="center"/>
          </w:tcPr>
          <w:p w14:paraId="29457738">
            <w:pPr>
              <w:autoSpaceDE w:val="0"/>
              <w:autoSpaceDN w:val="0"/>
              <w:snapToGrid w:val="0"/>
              <w:spacing w:line="240" w:lineRule="auto"/>
              <w:jc w:val="center"/>
              <w:textAlignment w:val="auto"/>
              <w:rPr>
                <w:rFonts w:hAnsi="宋体"/>
                <w:bCs/>
                <w:sz w:val="24"/>
              </w:rPr>
            </w:pPr>
            <w:r>
              <w:rPr>
                <w:rFonts w:hint="eastAsia" w:ascii="宋体" w:hAnsi="宋体"/>
                <w:bCs/>
                <w:kern w:val="2"/>
                <w:sz w:val="24"/>
              </w:rPr>
              <w:t>项目实施方案</w:t>
            </w:r>
          </w:p>
        </w:tc>
        <w:tc>
          <w:tcPr>
            <w:tcW w:w="3239" w:type="pct"/>
            <w:vAlign w:val="center"/>
          </w:tcPr>
          <w:p w14:paraId="50FBE2A3">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根据投标人项目实施方案内容进行评分：</w:t>
            </w:r>
          </w:p>
          <w:p w14:paraId="2207D9F6">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1、技术成熟度高、配送安排方案完善、合理性及可行性高、设备配置充足，完全满足且优于本项目需求得</w:t>
            </w:r>
            <w:r>
              <w:rPr>
                <w:rFonts w:ascii="宋体" w:hAnsi="宋体" w:cs="宋体"/>
                <w:sz w:val="24"/>
                <w:lang w:bidi="ar"/>
              </w:rPr>
              <w:t>8</w:t>
            </w:r>
            <w:r>
              <w:rPr>
                <w:rFonts w:hint="eastAsia" w:ascii="宋体" w:hAnsi="宋体" w:cs="宋体"/>
                <w:sz w:val="24"/>
                <w:lang w:bidi="ar"/>
              </w:rPr>
              <w:t>分；</w:t>
            </w:r>
          </w:p>
          <w:p w14:paraId="43CC0E12">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2、技术成熟度较高、配送安排方案较为完善、具有较好的合理性及可行性、设备配置较为充足，完全满足本项目需求得</w:t>
            </w:r>
            <w:r>
              <w:rPr>
                <w:rFonts w:ascii="宋体" w:hAnsi="宋体" w:cs="宋体"/>
                <w:sz w:val="24"/>
                <w:lang w:bidi="ar"/>
              </w:rPr>
              <w:t>5</w:t>
            </w:r>
            <w:r>
              <w:rPr>
                <w:rFonts w:hint="eastAsia" w:ascii="宋体" w:hAnsi="宋体" w:cs="宋体"/>
                <w:sz w:val="24"/>
                <w:lang w:bidi="ar"/>
              </w:rPr>
              <w:t>分；</w:t>
            </w:r>
          </w:p>
          <w:p w14:paraId="2233AE1E">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3、技术成熟度较差、配送安排方案较差、合理性及可行性较差、设备配置较差，不完全满足本项目需求得</w:t>
            </w:r>
            <w:r>
              <w:rPr>
                <w:rFonts w:ascii="宋体" w:hAnsi="宋体" w:cs="宋体"/>
                <w:sz w:val="24"/>
                <w:lang w:bidi="ar"/>
              </w:rPr>
              <w:t>2</w:t>
            </w:r>
            <w:r>
              <w:rPr>
                <w:rFonts w:hint="eastAsia" w:ascii="宋体" w:hAnsi="宋体" w:cs="宋体"/>
                <w:sz w:val="24"/>
                <w:lang w:bidi="ar"/>
              </w:rPr>
              <w:t>分；</w:t>
            </w:r>
          </w:p>
          <w:p w14:paraId="24476316">
            <w:pPr>
              <w:autoSpaceDE w:val="0"/>
              <w:autoSpaceDN w:val="0"/>
              <w:snapToGrid w:val="0"/>
              <w:spacing w:line="240" w:lineRule="auto"/>
              <w:jc w:val="left"/>
              <w:textAlignment w:val="auto"/>
              <w:rPr>
                <w:rFonts w:ascii="宋体" w:hAnsi="宋体"/>
                <w:sz w:val="24"/>
              </w:rPr>
            </w:pPr>
            <w:r>
              <w:rPr>
                <w:rFonts w:hint="eastAsia" w:ascii="宋体" w:hAnsi="宋体" w:cs="宋体"/>
                <w:sz w:val="24"/>
                <w:lang w:bidi="ar"/>
              </w:rPr>
              <w:t>4、未提供方案得0分。</w:t>
            </w:r>
          </w:p>
        </w:tc>
        <w:tc>
          <w:tcPr>
            <w:tcW w:w="1010" w:type="pct"/>
            <w:gridSpan w:val="2"/>
            <w:vAlign w:val="center"/>
          </w:tcPr>
          <w:p w14:paraId="51B993F8">
            <w:pPr>
              <w:snapToGrid w:val="0"/>
              <w:spacing w:line="264" w:lineRule="auto"/>
              <w:jc w:val="center"/>
              <w:rPr>
                <w:rFonts w:ascii="宋体" w:hAnsi="宋体"/>
                <w:sz w:val="24"/>
              </w:rPr>
            </w:pPr>
            <w:r>
              <w:rPr>
                <w:rFonts w:hint="eastAsia" w:asciiTheme="minorEastAsia" w:hAnsiTheme="minorEastAsia" w:eastAsiaTheme="minorEastAsia"/>
                <w:sz w:val="24"/>
              </w:rPr>
              <w:t>第（ ）页</w:t>
            </w:r>
            <w:r>
              <w:rPr>
                <w:rFonts w:hint="eastAsia" w:ascii="宋体" w:hAnsi="宋体"/>
                <w:sz w:val="24"/>
              </w:rPr>
              <w:t>-（ ）页</w:t>
            </w:r>
          </w:p>
        </w:tc>
      </w:tr>
      <w:tr w14:paraId="1C75E2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048D3FA1">
            <w:pPr>
              <w:numPr>
                <w:ilvl w:val="0"/>
                <w:numId w:val="77"/>
              </w:numPr>
              <w:snapToGrid w:val="0"/>
              <w:spacing w:line="264" w:lineRule="auto"/>
              <w:rPr>
                <w:rFonts w:ascii="宋体" w:hAnsi="宋体"/>
                <w:sz w:val="24"/>
              </w:rPr>
            </w:pPr>
          </w:p>
        </w:tc>
        <w:tc>
          <w:tcPr>
            <w:tcW w:w="502" w:type="pct"/>
            <w:vAlign w:val="center"/>
          </w:tcPr>
          <w:p w14:paraId="7A8FF11B">
            <w:pPr>
              <w:autoSpaceDE w:val="0"/>
              <w:autoSpaceDN w:val="0"/>
              <w:snapToGrid w:val="0"/>
              <w:spacing w:line="240" w:lineRule="auto"/>
              <w:jc w:val="center"/>
              <w:textAlignment w:val="auto"/>
              <w:rPr>
                <w:rFonts w:hAnsi="宋体"/>
                <w:bCs/>
                <w:sz w:val="24"/>
              </w:rPr>
            </w:pPr>
            <w:r>
              <w:rPr>
                <w:rFonts w:hint="eastAsia" w:ascii="宋体" w:hAnsi="宋体"/>
                <w:bCs/>
                <w:kern w:val="2"/>
                <w:sz w:val="24"/>
              </w:rPr>
              <w:t>质量保障措施</w:t>
            </w:r>
          </w:p>
        </w:tc>
        <w:tc>
          <w:tcPr>
            <w:tcW w:w="3239" w:type="pct"/>
            <w:vAlign w:val="center"/>
          </w:tcPr>
          <w:p w14:paraId="135F1D98">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根据货物来源（包括加工、包装、存储、运输）等环节的质量保障措施进行综合评审：</w:t>
            </w:r>
          </w:p>
          <w:p w14:paraId="6997E5E2">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 xml:space="preserve">1、货物来源真实可靠有保障，在加工、包装、存储、运输各环节均具有科学合理的质量保证措施及方案，完全满足且优于项目需求的，得8分； </w:t>
            </w:r>
          </w:p>
          <w:p w14:paraId="2DA59C05">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 xml:space="preserve">2、货物来源真实可靠有保障，在加工、包装、存储、运输各环节均具有较好的质量保证措施及方案，完全满足项目需求的，得5分； </w:t>
            </w:r>
          </w:p>
          <w:p w14:paraId="4FCEE6C0">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3、货物来源无安全保障，在加工、包装、存储、运输各环节粗糙不完整的，不完全满足项目需求的，得2分。</w:t>
            </w:r>
          </w:p>
          <w:p w14:paraId="5484510B">
            <w:pPr>
              <w:autoSpaceDE w:val="0"/>
              <w:autoSpaceDN w:val="0"/>
              <w:snapToGrid w:val="0"/>
              <w:spacing w:line="240" w:lineRule="auto"/>
              <w:jc w:val="left"/>
              <w:textAlignment w:val="auto"/>
              <w:rPr>
                <w:rFonts w:ascii="宋体" w:hAnsi="宋体"/>
                <w:sz w:val="24"/>
              </w:rPr>
            </w:pPr>
            <w:r>
              <w:rPr>
                <w:rFonts w:hint="eastAsia" w:ascii="宋体" w:hAnsi="宋体" w:cs="宋体"/>
                <w:sz w:val="24"/>
                <w:lang w:bidi="ar"/>
              </w:rPr>
              <w:t>4、不提供不得分。</w:t>
            </w:r>
          </w:p>
        </w:tc>
        <w:tc>
          <w:tcPr>
            <w:tcW w:w="1010" w:type="pct"/>
            <w:gridSpan w:val="2"/>
            <w:vAlign w:val="center"/>
          </w:tcPr>
          <w:p w14:paraId="3767554A">
            <w:pPr>
              <w:snapToGrid w:val="0"/>
              <w:spacing w:line="264" w:lineRule="auto"/>
              <w:jc w:val="center"/>
              <w:rPr>
                <w:rFonts w:ascii="宋体" w:hAnsi="宋体"/>
                <w:sz w:val="24"/>
              </w:rPr>
            </w:pPr>
            <w:r>
              <w:rPr>
                <w:rFonts w:hint="eastAsia" w:asciiTheme="minorEastAsia" w:hAnsiTheme="minorEastAsia" w:eastAsiaTheme="minorEastAsia"/>
                <w:sz w:val="24"/>
              </w:rPr>
              <w:t>第（ ）页</w:t>
            </w:r>
            <w:r>
              <w:rPr>
                <w:rFonts w:hint="eastAsia" w:ascii="宋体" w:hAnsi="宋体"/>
                <w:sz w:val="24"/>
              </w:rPr>
              <w:t>-（ ）页</w:t>
            </w:r>
          </w:p>
        </w:tc>
      </w:tr>
      <w:tr w14:paraId="2D5C7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48947B89">
            <w:pPr>
              <w:numPr>
                <w:ilvl w:val="0"/>
                <w:numId w:val="77"/>
              </w:numPr>
              <w:snapToGrid w:val="0"/>
              <w:spacing w:line="264" w:lineRule="auto"/>
              <w:rPr>
                <w:rFonts w:ascii="宋体" w:hAnsi="宋体"/>
                <w:sz w:val="24"/>
              </w:rPr>
            </w:pPr>
          </w:p>
        </w:tc>
        <w:tc>
          <w:tcPr>
            <w:tcW w:w="502" w:type="pct"/>
            <w:vAlign w:val="center"/>
          </w:tcPr>
          <w:p w14:paraId="4DE0AA36">
            <w:pPr>
              <w:autoSpaceDE w:val="0"/>
              <w:autoSpaceDN w:val="0"/>
              <w:snapToGrid w:val="0"/>
              <w:spacing w:line="240" w:lineRule="auto"/>
              <w:jc w:val="center"/>
              <w:textAlignment w:val="auto"/>
              <w:rPr>
                <w:rFonts w:hAnsi="宋体"/>
                <w:bCs/>
                <w:sz w:val="24"/>
              </w:rPr>
            </w:pPr>
            <w:r>
              <w:rPr>
                <w:rFonts w:hint="eastAsia" w:ascii="宋体" w:hAnsi="宋体" w:cs="宋体"/>
                <w:sz w:val="24"/>
                <w:lang w:val="en-GB"/>
              </w:rPr>
              <w:t>售后服务方案</w:t>
            </w:r>
          </w:p>
        </w:tc>
        <w:tc>
          <w:tcPr>
            <w:tcW w:w="3239" w:type="pct"/>
            <w:vAlign w:val="center"/>
          </w:tcPr>
          <w:p w14:paraId="47C2912E">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根据投标人的售后服务方案、售后人员配置、售后服务方案及出现食品安全质量问题退换货保障措施进行综合评价：</w:t>
            </w:r>
          </w:p>
          <w:p w14:paraId="78166445">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1、投标人货物来源、加工、包装、保存、运输各环节的质量保障措施合理，保障措施有力的及投标人售后服务方案、售后人员配置、售后服务承诺合理，方案措施有力的；食品出现质量问题退换货时间短、流程简洁有效，完全满足且优于本项目需求的，得</w:t>
            </w:r>
            <w:r>
              <w:rPr>
                <w:rFonts w:ascii="宋体" w:hAnsi="宋体" w:cs="宋体"/>
                <w:sz w:val="24"/>
                <w:lang w:val="en-GB" w:bidi="ar"/>
              </w:rPr>
              <w:t>8</w:t>
            </w:r>
            <w:r>
              <w:rPr>
                <w:rFonts w:hint="eastAsia" w:ascii="宋体" w:hAnsi="宋体" w:cs="宋体"/>
                <w:sz w:val="24"/>
                <w:lang w:val="en-GB" w:bidi="ar"/>
              </w:rPr>
              <w:t>分；</w:t>
            </w:r>
          </w:p>
          <w:p w14:paraId="2B42A958">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2、投标人货物来源、加工、包装、保存、运输各环节的质量保障措施较为合理，有较好的保障措施的及投标人售后服务方案、售后人员配置、售后服务承诺基本合理，有相应的方案；食品出现质量问题退换货时间短、流程简洁有效，完全满足本项目需求的，得</w:t>
            </w:r>
            <w:r>
              <w:rPr>
                <w:rFonts w:ascii="宋体" w:hAnsi="宋体" w:cs="宋体"/>
                <w:sz w:val="24"/>
                <w:lang w:val="en-GB" w:bidi="ar"/>
              </w:rPr>
              <w:t>5</w:t>
            </w:r>
            <w:r>
              <w:rPr>
                <w:rFonts w:hint="eastAsia" w:ascii="宋体" w:hAnsi="宋体" w:cs="宋体"/>
                <w:sz w:val="24"/>
                <w:lang w:val="en-GB" w:bidi="ar"/>
              </w:rPr>
              <w:t>分；</w:t>
            </w:r>
          </w:p>
          <w:p w14:paraId="55EDF95B">
            <w:pPr>
              <w:autoSpaceDE w:val="0"/>
              <w:autoSpaceDN w:val="0"/>
              <w:snapToGrid w:val="0"/>
              <w:spacing w:line="240" w:lineRule="auto"/>
              <w:jc w:val="left"/>
              <w:textAlignment w:val="auto"/>
              <w:rPr>
                <w:rFonts w:ascii="宋体" w:hAnsi="宋体" w:cs="宋体"/>
                <w:sz w:val="24"/>
                <w:lang w:val="en-GB" w:bidi="ar"/>
              </w:rPr>
            </w:pPr>
            <w:r>
              <w:rPr>
                <w:rFonts w:hint="eastAsia" w:ascii="宋体" w:hAnsi="宋体" w:cs="宋体"/>
                <w:sz w:val="24"/>
                <w:lang w:val="en-GB" w:bidi="ar"/>
              </w:rPr>
              <w:t>3、投标人货物来源、加工、包装、保存、运输各环节的质量保障措施不合理，保障措施不完善方案不合理，方案不完善；食品出现质量问题退换货时间长、流程复杂的，不完全满足本项目需求的，得</w:t>
            </w:r>
            <w:r>
              <w:rPr>
                <w:rFonts w:ascii="宋体" w:hAnsi="宋体" w:cs="宋体"/>
                <w:sz w:val="24"/>
                <w:lang w:val="en-GB" w:bidi="ar"/>
              </w:rPr>
              <w:t>2</w:t>
            </w:r>
            <w:r>
              <w:rPr>
                <w:rFonts w:hint="eastAsia" w:ascii="宋体" w:hAnsi="宋体" w:cs="宋体"/>
                <w:sz w:val="24"/>
                <w:lang w:val="en-GB" w:bidi="ar"/>
              </w:rPr>
              <w:t>分；</w:t>
            </w:r>
          </w:p>
          <w:p w14:paraId="0A5E9D96">
            <w:pPr>
              <w:autoSpaceDE w:val="0"/>
              <w:autoSpaceDN w:val="0"/>
              <w:snapToGrid w:val="0"/>
              <w:spacing w:line="240" w:lineRule="auto"/>
              <w:jc w:val="left"/>
              <w:textAlignment w:val="auto"/>
              <w:rPr>
                <w:rFonts w:ascii="宋体" w:hAnsi="宋体"/>
                <w:sz w:val="24"/>
              </w:rPr>
            </w:pPr>
            <w:r>
              <w:rPr>
                <w:rFonts w:hint="eastAsia" w:ascii="宋体" w:hAnsi="宋体" w:cs="宋体"/>
                <w:sz w:val="24"/>
                <w:lang w:val="en-GB" w:bidi="ar"/>
              </w:rPr>
              <w:t>4、未提供方案得0分。</w:t>
            </w:r>
          </w:p>
        </w:tc>
        <w:tc>
          <w:tcPr>
            <w:tcW w:w="1010" w:type="pct"/>
            <w:gridSpan w:val="2"/>
            <w:vAlign w:val="center"/>
          </w:tcPr>
          <w:p w14:paraId="65630EB4">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r>
              <w:rPr>
                <w:rFonts w:hint="eastAsia" w:ascii="宋体" w:hAnsi="宋体"/>
                <w:sz w:val="24"/>
              </w:rPr>
              <w:t>-（ ）页</w:t>
            </w:r>
          </w:p>
        </w:tc>
      </w:tr>
      <w:tr w14:paraId="68F6F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288" w:hRule="atLeast"/>
          <w:jc w:val="center"/>
        </w:trPr>
        <w:tc>
          <w:tcPr>
            <w:tcW w:w="241" w:type="pct"/>
            <w:vAlign w:val="center"/>
          </w:tcPr>
          <w:p w14:paraId="13282786">
            <w:pPr>
              <w:numPr>
                <w:ilvl w:val="0"/>
                <w:numId w:val="77"/>
              </w:numPr>
              <w:snapToGrid w:val="0"/>
              <w:spacing w:line="264" w:lineRule="auto"/>
              <w:rPr>
                <w:rFonts w:ascii="宋体" w:hAnsi="宋体"/>
                <w:sz w:val="24"/>
              </w:rPr>
            </w:pPr>
          </w:p>
        </w:tc>
        <w:tc>
          <w:tcPr>
            <w:tcW w:w="502" w:type="pct"/>
            <w:vAlign w:val="center"/>
          </w:tcPr>
          <w:p w14:paraId="3E800639">
            <w:pPr>
              <w:autoSpaceDE w:val="0"/>
              <w:autoSpaceDN w:val="0"/>
              <w:snapToGrid w:val="0"/>
              <w:spacing w:line="240" w:lineRule="auto"/>
              <w:jc w:val="center"/>
              <w:textAlignment w:val="auto"/>
              <w:rPr>
                <w:rFonts w:ascii="宋体" w:hAnsi="宋体"/>
                <w:sz w:val="24"/>
              </w:rPr>
            </w:pPr>
            <w:r>
              <w:rPr>
                <w:rFonts w:hint="eastAsia" w:ascii="宋体" w:hAnsi="宋体"/>
                <w:bCs/>
                <w:kern w:val="2"/>
                <w:sz w:val="24"/>
              </w:rPr>
              <w:t>专属福利电子采购平台情况</w:t>
            </w:r>
          </w:p>
        </w:tc>
        <w:tc>
          <w:tcPr>
            <w:tcW w:w="3239" w:type="pct"/>
            <w:vAlign w:val="center"/>
          </w:tcPr>
          <w:p w14:paraId="21E57167">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投标人针对本项目的采购需求拟投入本项目的专属福利电子采购平台情况，包括但不限于平台操作的便利性、平台安全性、职工签领慰问品的流程方案等等进行综合评审：</w:t>
            </w:r>
          </w:p>
          <w:p w14:paraId="3EDC2DC2">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1、平台操作的便利性高、平台安全性高、职工签领慰问品的流程方便、生成的记录完全满足且优于采购需求的，得8分；</w:t>
            </w:r>
          </w:p>
          <w:p w14:paraId="129C83A2">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 xml:space="preserve">2、平台操作的便利性较高、平台安全性较高、职工签领慰问品的流程方便、生成的记录完全满足采购需求的要求，得5分； </w:t>
            </w:r>
          </w:p>
          <w:p w14:paraId="529AA599">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3、平台操作的便利性差、平台安全性低、职工签领慰问品的流程方便、生成的记录不完全满足采购需求的，得2分。</w:t>
            </w:r>
          </w:p>
          <w:p w14:paraId="767FC379">
            <w:pPr>
              <w:autoSpaceDE w:val="0"/>
              <w:autoSpaceDN w:val="0"/>
              <w:snapToGrid w:val="0"/>
              <w:spacing w:line="240" w:lineRule="auto"/>
              <w:jc w:val="left"/>
              <w:textAlignment w:val="auto"/>
              <w:rPr>
                <w:rFonts w:ascii="宋体" w:hAnsi="宋体"/>
                <w:sz w:val="24"/>
              </w:rPr>
            </w:pPr>
            <w:r>
              <w:rPr>
                <w:rFonts w:hint="eastAsia" w:ascii="宋体" w:hAnsi="宋体" w:cs="宋体"/>
                <w:bCs/>
                <w:sz w:val="24"/>
              </w:rPr>
              <w:t>4、不提供不得分。</w:t>
            </w:r>
          </w:p>
        </w:tc>
        <w:tc>
          <w:tcPr>
            <w:tcW w:w="1010" w:type="pct"/>
            <w:gridSpan w:val="2"/>
            <w:vAlign w:val="center"/>
          </w:tcPr>
          <w:p w14:paraId="1570552A">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r>
              <w:rPr>
                <w:rFonts w:hint="eastAsia" w:ascii="宋体" w:hAnsi="宋体"/>
                <w:sz w:val="24"/>
              </w:rPr>
              <w:t>-（ ）页</w:t>
            </w:r>
          </w:p>
        </w:tc>
      </w:tr>
      <w:tr w14:paraId="3C74C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6274D223">
            <w:pPr>
              <w:numPr>
                <w:ilvl w:val="0"/>
                <w:numId w:val="77"/>
              </w:numPr>
              <w:snapToGrid w:val="0"/>
              <w:spacing w:line="264" w:lineRule="auto"/>
              <w:rPr>
                <w:rFonts w:ascii="宋体" w:hAnsi="宋体"/>
                <w:sz w:val="24"/>
              </w:rPr>
            </w:pPr>
          </w:p>
        </w:tc>
        <w:tc>
          <w:tcPr>
            <w:tcW w:w="502" w:type="pct"/>
            <w:vAlign w:val="center"/>
          </w:tcPr>
          <w:p w14:paraId="4E75B32F">
            <w:pPr>
              <w:autoSpaceDE w:val="0"/>
              <w:autoSpaceDN w:val="0"/>
              <w:snapToGrid w:val="0"/>
              <w:spacing w:line="240" w:lineRule="auto"/>
              <w:jc w:val="center"/>
              <w:textAlignment w:val="auto"/>
              <w:rPr>
                <w:rFonts w:ascii="宋体" w:hAnsi="宋体"/>
                <w:sz w:val="24"/>
              </w:rPr>
            </w:pPr>
            <w:r>
              <w:rPr>
                <w:rFonts w:hint="eastAsia" w:ascii="宋体" w:hAnsi="宋体"/>
                <w:bCs/>
                <w:kern w:val="2"/>
                <w:sz w:val="24"/>
              </w:rPr>
              <w:t>供货服务保障方案</w:t>
            </w:r>
          </w:p>
        </w:tc>
        <w:tc>
          <w:tcPr>
            <w:tcW w:w="3239" w:type="pct"/>
            <w:vAlign w:val="center"/>
          </w:tcPr>
          <w:p w14:paraId="33041189">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投标人针对本项目的采购需求拟提供的供货服务保障方案，包括但不限于项目服务优势、网点分布情况、服务的便利性及响应时间等进行综合评审：</w:t>
            </w:r>
          </w:p>
          <w:p w14:paraId="712B4A1E">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1、参与本项目服务优势大，网点分布广，服务便利性好，响应时间短，完全满足且优于采购需求的，得</w:t>
            </w:r>
            <w:r>
              <w:rPr>
                <w:rFonts w:hint="eastAsia" w:ascii="宋体" w:hAnsi="宋体" w:cs="宋体"/>
                <w:bCs/>
                <w:sz w:val="24"/>
                <w:lang w:val="en-US" w:eastAsia="zh-CN"/>
              </w:rPr>
              <w:t>8</w:t>
            </w:r>
            <w:r>
              <w:rPr>
                <w:rFonts w:hint="eastAsia" w:ascii="宋体" w:hAnsi="宋体" w:cs="宋体"/>
                <w:bCs/>
                <w:sz w:val="24"/>
              </w:rPr>
              <w:t>分；</w:t>
            </w:r>
          </w:p>
          <w:p w14:paraId="6B29AD11">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2、参与本项目服务优势较大，网点分布较广，服务便利性较好，响应时间较短，完全满足采购需求的，得</w:t>
            </w:r>
            <w:r>
              <w:rPr>
                <w:rFonts w:hint="eastAsia" w:ascii="宋体" w:hAnsi="宋体" w:cs="宋体"/>
                <w:bCs/>
                <w:sz w:val="24"/>
                <w:lang w:val="en-US" w:eastAsia="zh-CN"/>
              </w:rPr>
              <w:t>5</w:t>
            </w:r>
            <w:r>
              <w:rPr>
                <w:rFonts w:hint="eastAsia" w:ascii="宋体" w:hAnsi="宋体" w:cs="宋体"/>
                <w:bCs/>
                <w:sz w:val="24"/>
              </w:rPr>
              <w:t xml:space="preserve">分； </w:t>
            </w:r>
          </w:p>
          <w:p w14:paraId="6B9794D9">
            <w:pPr>
              <w:autoSpaceDE w:val="0"/>
              <w:autoSpaceDN w:val="0"/>
              <w:snapToGrid w:val="0"/>
              <w:spacing w:line="240" w:lineRule="auto"/>
              <w:jc w:val="left"/>
              <w:textAlignment w:val="center"/>
              <w:rPr>
                <w:rFonts w:ascii="宋体" w:hAnsi="宋体" w:cs="宋体"/>
                <w:bCs/>
                <w:sz w:val="24"/>
              </w:rPr>
            </w:pPr>
            <w:r>
              <w:rPr>
                <w:rFonts w:hint="eastAsia" w:ascii="宋体" w:hAnsi="宋体" w:cs="宋体"/>
                <w:bCs/>
                <w:sz w:val="24"/>
              </w:rPr>
              <w:t>3、参与本项目服务优势差，网点分布少，服务便利性差，响应时间长，不完全满足采购需求，得</w:t>
            </w:r>
            <w:r>
              <w:rPr>
                <w:rFonts w:hint="eastAsia" w:ascii="宋体" w:hAnsi="宋体" w:cs="宋体"/>
                <w:bCs/>
                <w:sz w:val="24"/>
                <w:lang w:val="en-US" w:eastAsia="zh-CN"/>
              </w:rPr>
              <w:t>2</w:t>
            </w:r>
            <w:r>
              <w:rPr>
                <w:rFonts w:hint="eastAsia" w:ascii="宋体" w:hAnsi="宋体" w:cs="宋体"/>
                <w:bCs/>
                <w:sz w:val="24"/>
              </w:rPr>
              <w:t>分。</w:t>
            </w:r>
          </w:p>
          <w:p w14:paraId="3066CCDD">
            <w:pPr>
              <w:autoSpaceDE w:val="0"/>
              <w:autoSpaceDN w:val="0"/>
              <w:snapToGrid w:val="0"/>
              <w:spacing w:line="240" w:lineRule="auto"/>
              <w:jc w:val="left"/>
              <w:textAlignment w:val="center"/>
              <w:rPr>
                <w:rFonts w:ascii="宋体" w:hAnsi="宋体"/>
                <w:sz w:val="24"/>
              </w:rPr>
            </w:pPr>
            <w:r>
              <w:rPr>
                <w:rFonts w:hint="eastAsia" w:ascii="宋体" w:hAnsi="宋体" w:cs="宋体"/>
                <w:bCs/>
                <w:sz w:val="24"/>
              </w:rPr>
              <w:t>4、不提供不得分。</w:t>
            </w:r>
          </w:p>
        </w:tc>
        <w:tc>
          <w:tcPr>
            <w:tcW w:w="1010" w:type="pct"/>
            <w:gridSpan w:val="2"/>
            <w:vAlign w:val="center"/>
          </w:tcPr>
          <w:p w14:paraId="751B696A">
            <w:pPr>
              <w:snapToGrid w:val="0"/>
              <w:spacing w:line="264" w:lineRule="auto"/>
              <w:jc w:val="center"/>
              <w:rPr>
                <w:rFonts w:ascii="宋体" w:hAnsi="宋体"/>
                <w:sz w:val="24"/>
              </w:rPr>
            </w:pPr>
            <w:r>
              <w:rPr>
                <w:rFonts w:hint="eastAsia" w:asciiTheme="minorEastAsia" w:hAnsiTheme="minorEastAsia" w:eastAsiaTheme="minorEastAsia"/>
                <w:sz w:val="24"/>
              </w:rPr>
              <w:t>第（ ）页</w:t>
            </w:r>
            <w:r>
              <w:rPr>
                <w:rFonts w:hint="eastAsia" w:ascii="宋体" w:hAnsi="宋体"/>
                <w:sz w:val="24"/>
              </w:rPr>
              <w:t>-（ ）页</w:t>
            </w:r>
          </w:p>
        </w:tc>
      </w:tr>
      <w:tr w14:paraId="08342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5000" w:type="pct"/>
            <w:gridSpan w:val="6"/>
            <w:vAlign w:val="center"/>
          </w:tcPr>
          <w:p w14:paraId="7981AEB9">
            <w:pPr>
              <w:snapToGrid w:val="0"/>
              <w:spacing w:line="264" w:lineRule="auto"/>
              <w:jc w:val="center"/>
              <w:rPr>
                <w:rFonts w:ascii="宋体" w:hAnsi="宋体"/>
                <w:sz w:val="24"/>
              </w:rPr>
            </w:pPr>
            <w:r>
              <w:rPr>
                <w:rFonts w:hint="eastAsia" w:asciiTheme="minorEastAsia" w:hAnsiTheme="minorEastAsia" w:eastAsiaTheme="minorEastAsia"/>
                <w:sz w:val="24"/>
              </w:rPr>
              <w:t>商务部分</w:t>
            </w:r>
          </w:p>
        </w:tc>
      </w:tr>
      <w:tr w14:paraId="6C7E5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63D5E44B">
            <w:pPr>
              <w:numPr>
                <w:ilvl w:val="0"/>
                <w:numId w:val="78"/>
              </w:numPr>
              <w:snapToGrid w:val="0"/>
              <w:spacing w:line="264" w:lineRule="auto"/>
              <w:rPr>
                <w:rFonts w:ascii="宋体" w:hAnsi="宋体"/>
                <w:sz w:val="24"/>
              </w:rPr>
            </w:pPr>
          </w:p>
        </w:tc>
        <w:tc>
          <w:tcPr>
            <w:tcW w:w="502" w:type="pct"/>
            <w:vAlign w:val="center"/>
          </w:tcPr>
          <w:p w14:paraId="06F3F2C7">
            <w:pPr>
              <w:autoSpaceDE w:val="0"/>
              <w:autoSpaceDN w:val="0"/>
              <w:snapToGrid w:val="0"/>
              <w:spacing w:line="240" w:lineRule="auto"/>
              <w:ind w:left="-60" w:leftChars="-30" w:right="-84" w:rightChars="-42"/>
              <w:jc w:val="center"/>
              <w:textAlignment w:val="auto"/>
              <w:rPr>
                <w:rFonts w:ascii="宋体" w:hAnsi="宋体"/>
                <w:sz w:val="24"/>
              </w:rPr>
            </w:pPr>
            <w:r>
              <w:rPr>
                <w:rFonts w:hint="eastAsia" w:ascii="宋体" w:hAnsi="宋体" w:cs="宋体"/>
                <w:sz w:val="24"/>
                <w:lang w:bidi="ar"/>
              </w:rPr>
              <w:t>同类项目业绩</w:t>
            </w:r>
          </w:p>
        </w:tc>
        <w:tc>
          <w:tcPr>
            <w:tcW w:w="3239" w:type="pct"/>
            <w:vAlign w:val="center"/>
          </w:tcPr>
          <w:p w14:paraId="6E928E47">
            <w:pPr>
              <w:autoSpaceDE w:val="0"/>
              <w:autoSpaceDN w:val="0"/>
              <w:snapToGrid w:val="0"/>
              <w:spacing w:line="240" w:lineRule="auto"/>
              <w:jc w:val="left"/>
              <w:textAlignment w:val="auto"/>
              <w:rPr>
                <w:rFonts w:ascii="宋体" w:hAnsi="宋体" w:cs="宋体"/>
                <w:sz w:val="24"/>
                <w:lang w:bidi="ar"/>
              </w:rPr>
            </w:pPr>
            <w:r>
              <w:rPr>
                <w:rFonts w:hint="eastAsia" w:ascii="宋体" w:hAnsi="宋体" w:cs="宋体"/>
                <w:sz w:val="24"/>
                <w:lang w:bidi="ar"/>
              </w:rPr>
              <w:t>投标人提供自202</w:t>
            </w:r>
            <w:r>
              <w:rPr>
                <w:rFonts w:hint="eastAsia" w:ascii="宋体" w:hAnsi="宋体" w:cs="宋体"/>
                <w:sz w:val="24"/>
                <w:lang w:val="en-US" w:eastAsia="zh-CN" w:bidi="ar"/>
              </w:rPr>
              <w:t>2</w:t>
            </w:r>
            <w:r>
              <w:rPr>
                <w:rFonts w:hint="eastAsia" w:ascii="宋体" w:hAnsi="宋体" w:cs="宋体"/>
                <w:sz w:val="24"/>
                <w:lang w:bidi="ar"/>
              </w:rPr>
              <w:t>年1月1日至今独立完成的同类业绩的，每提供一项得2分，最高得10分。</w:t>
            </w:r>
          </w:p>
          <w:p w14:paraId="54F37771">
            <w:pPr>
              <w:autoSpaceDE w:val="0"/>
              <w:autoSpaceDN w:val="0"/>
              <w:snapToGrid w:val="0"/>
              <w:spacing w:line="240" w:lineRule="auto"/>
              <w:ind w:left="-60" w:leftChars="-30" w:right="-84" w:rightChars="-42"/>
              <w:jc w:val="left"/>
              <w:textAlignment w:val="auto"/>
              <w:rPr>
                <w:rFonts w:ascii="宋体" w:hAnsi="宋体"/>
                <w:sz w:val="24"/>
              </w:rPr>
            </w:pPr>
            <w:r>
              <w:rPr>
                <w:rFonts w:hint="eastAsia" w:ascii="宋体" w:hAnsi="宋体" w:cs="宋体"/>
                <w:sz w:val="24"/>
                <w:lang w:bidi="ar"/>
              </w:rPr>
              <w:t>注：须提供合同复印件（加盖公章）或中标（成交）通知书复印件（加盖公章）证明。</w:t>
            </w:r>
          </w:p>
        </w:tc>
        <w:tc>
          <w:tcPr>
            <w:tcW w:w="1010" w:type="pct"/>
            <w:gridSpan w:val="2"/>
            <w:vAlign w:val="center"/>
          </w:tcPr>
          <w:p w14:paraId="0CF8B1A4">
            <w:pPr>
              <w:snapToGrid w:val="0"/>
              <w:spacing w:line="264" w:lineRule="auto"/>
              <w:jc w:val="center"/>
              <w:rPr>
                <w:rFonts w:ascii="宋体" w:hAnsi="宋体"/>
                <w:sz w:val="24"/>
              </w:rPr>
            </w:pPr>
            <w:r>
              <w:rPr>
                <w:rFonts w:hint="eastAsia" w:asciiTheme="minorEastAsia" w:hAnsiTheme="minorEastAsia" w:eastAsiaTheme="minorEastAsia"/>
                <w:sz w:val="24"/>
              </w:rPr>
              <w:t>第（ ）页</w:t>
            </w:r>
            <w:r>
              <w:rPr>
                <w:rFonts w:hint="eastAsia" w:ascii="宋体" w:hAnsi="宋体"/>
                <w:sz w:val="24"/>
              </w:rPr>
              <w:t>-（ ）页</w:t>
            </w:r>
          </w:p>
        </w:tc>
      </w:tr>
      <w:tr w14:paraId="08FDE0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67B1E3E9">
            <w:pPr>
              <w:numPr>
                <w:ilvl w:val="0"/>
                <w:numId w:val="78"/>
              </w:numPr>
              <w:snapToGrid w:val="0"/>
              <w:spacing w:line="264" w:lineRule="auto"/>
              <w:rPr>
                <w:rFonts w:ascii="宋体" w:hAnsi="宋体"/>
                <w:sz w:val="24"/>
              </w:rPr>
            </w:pPr>
          </w:p>
        </w:tc>
        <w:tc>
          <w:tcPr>
            <w:tcW w:w="502" w:type="pct"/>
            <w:vAlign w:val="center"/>
          </w:tcPr>
          <w:p w14:paraId="4703AC05">
            <w:pPr>
              <w:autoSpaceDE w:val="0"/>
              <w:autoSpaceDN w:val="0"/>
              <w:snapToGrid w:val="0"/>
              <w:spacing w:line="240" w:lineRule="auto"/>
              <w:ind w:left="-60" w:leftChars="-30" w:right="-84" w:rightChars="-42"/>
              <w:jc w:val="center"/>
              <w:textAlignment w:val="auto"/>
              <w:rPr>
                <w:rFonts w:ascii="宋体" w:hAnsi="宋体"/>
                <w:sz w:val="24"/>
              </w:rPr>
            </w:pPr>
            <w:r>
              <w:rPr>
                <w:rFonts w:hint="eastAsia" w:ascii="宋体" w:hAnsi="宋体"/>
                <w:bCs/>
                <w:spacing w:val="10"/>
                <w:sz w:val="24"/>
              </w:rPr>
              <w:t>用户满意度评价</w:t>
            </w:r>
          </w:p>
        </w:tc>
        <w:tc>
          <w:tcPr>
            <w:tcW w:w="3239" w:type="pct"/>
            <w:vAlign w:val="center"/>
          </w:tcPr>
          <w:p w14:paraId="41D390F4">
            <w:pPr>
              <w:widowControl/>
              <w:snapToGrid w:val="0"/>
              <w:spacing w:line="240" w:lineRule="auto"/>
              <w:jc w:val="left"/>
              <w:textAlignment w:val="auto"/>
              <w:rPr>
                <w:rFonts w:ascii="宋体" w:hAnsi="宋体"/>
                <w:bCs/>
                <w:sz w:val="24"/>
              </w:rPr>
            </w:pPr>
            <w:r>
              <w:rPr>
                <w:rFonts w:hint="eastAsia" w:ascii="宋体" w:hAnsi="宋体"/>
                <w:bCs/>
                <w:sz w:val="24"/>
              </w:rPr>
              <w:t>提供投标人获得上述同类业绩的用户“满意”</w:t>
            </w:r>
            <w:r>
              <w:rPr>
                <w:rFonts w:hint="eastAsia" w:ascii="宋体" w:hAnsi="宋体"/>
                <w:sz w:val="24"/>
              </w:rPr>
              <w:t>或“好评”或“优秀”等相关正面评价字眼。</w:t>
            </w:r>
            <w:r>
              <w:rPr>
                <w:rFonts w:hint="eastAsia" w:ascii="宋体" w:hAnsi="宋体"/>
                <w:bCs/>
                <w:sz w:val="24"/>
              </w:rPr>
              <w:t>”的评价，每提供一个得1分。最高得5分。</w:t>
            </w:r>
          </w:p>
          <w:p w14:paraId="4E5E295F">
            <w:pPr>
              <w:autoSpaceDE w:val="0"/>
              <w:autoSpaceDN w:val="0"/>
              <w:snapToGrid w:val="0"/>
              <w:spacing w:line="240" w:lineRule="auto"/>
              <w:jc w:val="left"/>
              <w:textAlignment w:val="auto"/>
              <w:rPr>
                <w:rFonts w:ascii="宋体" w:hAnsi="宋体"/>
                <w:sz w:val="24"/>
              </w:rPr>
            </w:pPr>
            <w:r>
              <w:rPr>
                <w:rFonts w:hint="eastAsia" w:ascii="宋体" w:hAnsi="宋体"/>
                <w:bCs/>
                <w:sz w:val="24"/>
              </w:rPr>
              <w:t>注：提供用户评价加盖用户盖章的复印件，或采购人盖章的相关证明材料，其他情况不得分。</w:t>
            </w:r>
          </w:p>
        </w:tc>
        <w:tc>
          <w:tcPr>
            <w:tcW w:w="1010" w:type="pct"/>
            <w:gridSpan w:val="2"/>
            <w:vAlign w:val="center"/>
          </w:tcPr>
          <w:p w14:paraId="6392E600">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r>
              <w:rPr>
                <w:rFonts w:hint="eastAsia" w:ascii="宋体" w:hAnsi="宋体"/>
                <w:sz w:val="24"/>
              </w:rPr>
              <w:t>-（ ）页</w:t>
            </w:r>
          </w:p>
        </w:tc>
      </w:tr>
      <w:tr w14:paraId="62D562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6" w:type="pct"/>
          <w:trHeight w:val="385" w:hRule="atLeast"/>
          <w:jc w:val="center"/>
        </w:trPr>
        <w:tc>
          <w:tcPr>
            <w:tcW w:w="241" w:type="pct"/>
            <w:vAlign w:val="center"/>
          </w:tcPr>
          <w:p w14:paraId="1C8C2016">
            <w:pPr>
              <w:numPr>
                <w:ilvl w:val="0"/>
                <w:numId w:val="78"/>
              </w:numPr>
              <w:snapToGrid w:val="0"/>
              <w:spacing w:line="264" w:lineRule="auto"/>
              <w:rPr>
                <w:rFonts w:ascii="宋体" w:hAnsi="宋体"/>
                <w:sz w:val="24"/>
              </w:rPr>
            </w:pPr>
          </w:p>
        </w:tc>
        <w:tc>
          <w:tcPr>
            <w:tcW w:w="502" w:type="pct"/>
            <w:vAlign w:val="center"/>
          </w:tcPr>
          <w:p w14:paraId="63EC8945">
            <w:pPr>
              <w:autoSpaceDE w:val="0"/>
              <w:autoSpaceDN w:val="0"/>
              <w:snapToGrid w:val="0"/>
              <w:spacing w:line="240" w:lineRule="auto"/>
              <w:ind w:left="-60" w:leftChars="-30" w:right="-84" w:rightChars="-42"/>
              <w:jc w:val="center"/>
              <w:textAlignment w:val="auto"/>
              <w:rPr>
                <w:rFonts w:ascii="宋体" w:hAnsi="宋体"/>
                <w:sz w:val="24"/>
              </w:rPr>
            </w:pPr>
            <w:r>
              <w:rPr>
                <w:rFonts w:hint="eastAsia" w:ascii="宋体" w:hAnsi="宋体"/>
                <w:sz w:val="24"/>
              </w:rPr>
              <w:t>食品安全责任</w:t>
            </w:r>
          </w:p>
        </w:tc>
        <w:tc>
          <w:tcPr>
            <w:tcW w:w="3239" w:type="pct"/>
            <w:vAlign w:val="center"/>
          </w:tcPr>
          <w:p w14:paraId="3BF1B583">
            <w:pPr>
              <w:snapToGrid w:val="0"/>
              <w:spacing w:line="240" w:lineRule="auto"/>
              <w:textAlignment w:val="auto"/>
              <w:rPr>
                <w:rFonts w:ascii="宋体" w:hAnsi="宋体" w:cs="宋体"/>
                <w:snapToGrid w:val="0"/>
                <w:sz w:val="24"/>
              </w:rPr>
            </w:pPr>
            <w:r>
              <w:rPr>
                <w:rFonts w:hint="eastAsia" w:ascii="宋体" w:hAnsi="宋体" w:cs="宋体"/>
                <w:snapToGrid w:val="0"/>
                <w:sz w:val="24"/>
              </w:rPr>
              <w:t>根据投标人提供的食品质量安全要求承诺及食品安全保险进行评审，食品安全保险满足以下情况：已购买食品安全保险（累计赔偿额度）或承诺中标后购买（提供承诺函，格式自拟）均可得分。</w:t>
            </w:r>
          </w:p>
          <w:p w14:paraId="39A98D4B">
            <w:pPr>
              <w:snapToGrid w:val="0"/>
              <w:spacing w:line="240" w:lineRule="auto"/>
              <w:textAlignment w:val="auto"/>
              <w:rPr>
                <w:rFonts w:ascii="宋体" w:hAnsi="宋体" w:cs="宋体"/>
                <w:snapToGrid w:val="0"/>
                <w:sz w:val="24"/>
              </w:rPr>
            </w:pPr>
            <w:r>
              <w:rPr>
                <w:rFonts w:hint="eastAsia" w:ascii="宋体" w:hAnsi="宋体" w:cs="宋体"/>
                <w:snapToGrid w:val="0"/>
                <w:sz w:val="24"/>
              </w:rPr>
              <w:t>1、投标人购买或承诺食品安全责任保险年保额≥1000万元的，且每次食品安全事故赔偿限额≥100万元，每人责任限额≥50万元的，得</w:t>
            </w:r>
            <w:r>
              <w:rPr>
                <w:rFonts w:ascii="宋体" w:hAnsi="宋体" w:cs="宋体"/>
                <w:snapToGrid w:val="0"/>
                <w:sz w:val="24"/>
              </w:rPr>
              <w:t>7</w:t>
            </w:r>
            <w:r>
              <w:rPr>
                <w:rFonts w:hint="eastAsia" w:ascii="宋体" w:hAnsi="宋体" w:cs="宋体"/>
                <w:snapToGrid w:val="0"/>
                <w:sz w:val="24"/>
              </w:rPr>
              <w:t>分；</w:t>
            </w:r>
          </w:p>
          <w:p w14:paraId="328039EB">
            <w:pPr>
              <w:snapToGrid w:val="0"/>
              <w:spacing w:line="240" w:lineRule="auto"/>
              <w:textAlignment w:val="auto"/>
              <w:rPr>
                <w:rFonts w:ascii="宋体" w:hAnsi="宋体" w:cs="宋体"/>
                <w:snapToGrid w:val="0"/>
                <w:sz w:val="24"/>
              </w:rPr>
            </w:pPr>
            <w:r>
              <w:rPr>
                <w:rFonts w:hint="eastAsia" w:ascii="宋体" w:hAnsi="宋体" w:cs="宋体"/>
                <w:snapToGrid w:val="0"/>
                <w:sz w:val="24"/>
              </w:rPr>
              <w:t>2、1000万元＞投标人购买或承诺食品安全责任保险年保额≥500万元的，且每次食品安全事故赔偿限额≥50万元，每人责任限额≥30万元的，得</w:t>
            </w:r>
            <w:r>
              <w:rPr>
                <w:rFonts w:ascii="宋体" w:hAnsi="宋体" w:cs="宋体"/>
                <w:snapToGrid w:val="0"/>
                <w:sz w:val="24"/>
              </w:rPr>
              <w:t>4</w:t>
            </w:r>
            <w:r>
              <w:rPr>
                <w:rFonts w:hint="eastAsia" w:ascii="宋体" w:hAnsi="宋体" w:cs="宋体"/>
                <w:snapToGrid w:val="0"/>
                <w:sz w:val="24"/>
              </w:rPr>
              <w:t>分；</w:t>
            </w:r>
          </w:p>
          <w:p w14:paraId="52D1FF11">
            <w:pPr>
              <w:snapToGrid w:val="0"/>
              <w:spacing w:line="240" w:lineRule="auto"/>
              <w:textAlignment w:val="auto"/>
              <w:rPr>
                <w:rFonts w:ascii="宋体" w:hAnsi="宋体" w:cs="宋体"/>
                <w:snapToGrid w:val="0"/>
                <w:sz w:val="24"/>
              </w:rPr>
            </w:pPr>
            <w:r>
              <w:rPr>
                <w:rFonts w:hint="eastAsia" w:ascii="宋体" w:hAnsi="宋体" w:cs="宋体"/>
                <w:snapToGrid w:val="0"/>
                <w:sz w:val="24"/>
              </w:rPr>
              <w:t>3、500万元＞投标人购买或承诺食品安全责任保险年保额≥100万元的，且每次食品安全事故赔偿限额≥10万元，每人责任限额≥10万元的，得</w:t>
            </w:r>
            <w:r>
              <w:rPr>
                <w:rFonts w:ascii="宋体" w:hAnsi="宋体" w:cs="宋体"/>
                <w:snapToGrid w:val="0"/>
                <w:sz w:val="24"/>
              </w:rPr>
              <w:t>1</w:t>
            </w:r>
            <w:r>
              <w:rPr>
                <w:rFonts w:hint="eastAsia" w:ascii="宋体" w:hAnsi="宋体" w:cs="宋体"/>
                <w:snapToGrid w:val="0"/>
                <w:sz w:val="24"/>
              </w:rPr>
              <w:t>分；</w:t>
            </w:r>
          </w:p>
          <w:p w14:paraId="6502DBE4">
            <w:pPr>
              <w:snapToGrid w:val="0"/>
              <w:spacing w:line="240" w:lineRule="auto"/>
              <w:textAlignment w:val="auto"/>
              <w:rPr>
                <w:rFonts w:ascii="宋体" w:hAnsi="宋体" w:cs="宋体"/>
                <w:snapToGrid w:val="0"/>
                <w:sz w:val="24"/>
              </w:rPr>
            </w:pPr>
            <w:r>
              <w:rPr>
                <w:rFonts w:hint="eastAsia" w:ascii="宋体" w:hAnsi="宋体" w:cs="宋体"/>
                <w:snapToGrid w:val="0"/>
                <w:sz w:val="24"/>
              </w:rPr>
              <w:t>4、其他情况不得分。</w:t>
            </w:r>
          </w:p>
          <w:p w14:paraId="35056275">
            <w:pPr>
              <w:widowControl/>
              <w:snapToGrid w:val="0"/>
              <w:spacing w:line="240" w:lineRule="auto"/>
              <w:jc w:val="left"/>
              <w:textAlignment w:val="auto"/>
              <w:rPr>
                <w:rFonts w:ascii="宋体" w:hAnsi="宋体"/>
                <w:sz w:val="24"/>
              </w:rPr>
            </w:pPr>
            <w:r>
              <w:rPr>
                <w:rFonts w:hint="eastAsia" w:ascii="宋体" w:hAnsi="宋体" w:cs="宋体"/>
                <w:snapToGrid w:val="0"/>
                <w:sz w:val="24"/>
              </w:rPr>
              <w:t>【注：（1）若投标人已购买食品安全保险，须提供有效期内食品安全责任保险保单扫描件、发票扫描件，如保险单无法涵盖本项目合同履行期限的，还需提供续期至本项目合同履行期限结束的承诺函，且续期的保额不得低于原标准，格式自拟。如保单无法显示每人赔偿限额，还需提供保险公司加盖公章的每人赔偿限额证明材料，未提供或提供不全不得分。（2）若投标人承诺中标后购买，提供承诺函，格式自拟，不提供不得分。未按评审要求及提供证明材料的不得分。】</w:t>
            </w:r>
          </w:p>
        </w:tc>
        <w:tc>
          <w:tcPr>
            <w:tcW w:w="1010" w:type="pct"/>
            <w:gridSpan w:val="2"/>
            <w:vAlign w:val="center"/>
          </w:tcPr>
          <w:p w14:paraId="0DDF3A56">
            <w:pPr>
              <w:snapToGrid w:val="0"/>
              <w:spacing w:line="264" w:lineRule="auto"/>
              <w:jc w:val="center"/>
              <w:rPr>
                <w:rFonts w:ascii="宋体" w:hAnsi="宋体"/>
                <w:sz w:val="24"/>
              </w:rPr>
            </w:pPr>
            <w:r>
              <w:rPr>
                <w:rFonts w:hint="eastAsia" w:asciiTheme="minorEastAsia" w:hAnsiTheme="minorEastAsia" w:eastAsiaTheme="minorEastAsia"/>
                <w:sz w:val="24"/>
              </w:rPr>
              <w:t>第（ ）页</w:t>
            </w:r>
            <w:r>
              <w:rPr>
                <w:rFonts w:hint="eastAsia" w:ascii="宋体" w:hAnsi="宋体"/>
                <w:sz w:val="24"/>
              </w:rPr>
              <w:t>-（ ）页</w:t>
            </w:r>
          </w:p>
        </w:tc>
      </w:tr>
      <w:tr w14:paraId="7E2205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5000" w:type="pct"/>
            <w:gridSpan w:val="6"/>
            <w:vAlign w:val="center"/>
          </w:tcPr>
          <w:p w14:paraId="7E7638AA">
            <w:pPr>
              <w:snapToGrid w:val="0"/>
              <w:spacing w:line="264" w:lineRule="auto"/>
              <w:jc w:val="center"/>
              <w:rPr>
                <w:rFonts w:ascii="宋体" w:hAnsi="宋体"/>
                <w:b/>
                <w:szCs w:val="21"/>
              </w:rPr>
            </w:pPr>
            <w:r>
              <w:rPr>
                <w:rFonts w:hint="eastAsia" w:ascii="宋体" w:hAnsi="宋体"/>
                <w:b/>
                <w:sz w:val="30"/>
                <w:szCs w:val="30"/>
              </w:rPr>
              <w:t>其他内容资料</w:t>
            </w:r>
          </w:p>
        </w:tc>
      </w:tr>
      <w:tr w14:paraId="0A672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241" w:type="pct"/>
            <w:vAlign w:val="center"/>
          </w:tcPr>
          <w:p w14:paraId="2C40C203">
            <w:pPr>
              <w:numPr>
                <w:ilvl w:val="0"/>
                <w:numId w:val="79"/>
              </w:numPr>
              <w:snapToGrid w:val="0"/>
              <w:spacing w:line="264" w:lineRule="auto"/>
              <w:rPr>
                <w:rFonts w:ascii="宋体" w:hAnsi="宋体"/>
                <w:sz w:val="24"/>
              </w:rPr>
            </w:pPr>
          </w:p>
        </w:tc>
        <w:tc>
          <w:tcPr>
            <w:tcW w:w="3747" w:type="pct"/>
            <w:gridSpan w:val="3"/>
            <w:vAlign w:val="center"/>
          </w:tcPr>
          <w:p w14:paraId="21BAE6C2">
            <w:pPr>
              <w:snapToGrid w:val="0"/>
              <w:spacing w:line="264" w:lineRule="auto"/>
              <w:rPr>
                <w:rFonts w:hAnsi="宋体" w:cs="Courier New"/>
                <w:sz w:val="24"/>
              </w:rPr>
            </w:pPr>
            <w:r>
              <w:rPr>
                <w:rFonts w:hint="eastAsia" w:hAnsi="宋体" w:cs="Courier New"/>
                <w:sz w:val="24"/>
              </w:rPr>
              <w:t>公章对投标专用章授权说明</w:t>
            </w:r>
          </w:p>
        </w:tc>
        <w:tc>
          <w:tcPr>
            <w:tcW w:w="1011" w:type="pct"/>
            <w:gridSpan w:val="2"/>
            <w:vAlign w:val="center"/>
          </w:tcPr>
          <w:p w14:paraId="3AB9C25C">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757A54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241" w:type="pct"/>
            <w:vAlign w:val="center"/>
          </w:tcPr>
          <w:p w14:paraId="1F220E14">
            <w:pPr>
              <w:numPr>
                <w:ilvl w:val="0"/>
                <w:numId w:val="79"/>
              </w:numPr>
              <w:snapToGrid w:val="0"/>
              <w:spacing w:line="264" w:lineRule="auto"/>
              <w:rPr>
                <w:rFonts w:ascii="宋体" w:hAnsi="宋体"/>
                <w:sz w:val="24"/>
              </w:rPr>
            </w:pPr>
          </w:p>
        </w:tc>
        <w:tc>
          <w:tcPr>
            <w:tcW w:w="3747" w:type="pct"/>
            <w:gridSpan w:val="3"/>
            <w:vAlign w:val="center"/>
          </w:tcPr>
          <w:p w14:paraId="2371161B">
            <w:pPr>
              <w:snapToGrid w:val="0"/>
              <w:spacing w:line="264" w:lineRule="auto"/>
              <w:rPr>
                <w:rFonts w:hAnsi="宋体" w:cs="Courier New"/>
                <w:sz w:val="24"/>
              </w:rPr>
            </w:pPr>
            <w:r>
              <w:rPr>
                <w:rFonts w:hint="eastAsia" w:hAnsi="宋体" w:cs="Courier New"/>
                <w:sz w:val="24"/>
              </w:rPr>
              <w:t>售后服务情况表</w:t>
            </w:r>
          </w:p>
        </w:tc>
        <w:tc>
          <w:tcPr>
            <w:tcW w:w="1011" w:type="pct"/>
            <w:gridSpan w:val="2"/>
            <w:vAlign w:val="center"/>
          </w:tcPr>
          <w:p w14:paraId="3358C49D">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15C2D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241" w:type="pct"/>
            <w:vAlign w:val="center"/>
          </w:tcPr>
          <w:p w14:paraId="0DE53594">
            <w:pPr>
              <w:numPr>
                <w:ilvl w:val="0"/>
                <w:numId w:val="79"/>
              </w:numPr>
              <w:snapToGrid w:val="0"/>
              <w:spacing w:line="264" w:lineRule="auto"/>
              <w:rPr>
                <w:rFonts w:ascii="宋体" w:hAnsi="宋体"/>
                <w:sz w:val="24"/>
              </w:rPr>
            </w:pPr>
          </w:p>
        </w:tc>
        <w:tc>
          <w:tcPr>
            <w:tcW w:w="3747" w:type="pct"/>
            <w:gridSpan w:val="3"/>
            <w:vAlign w:val="center"/>
          </w:tcPr>
          <w:p w14:paraId="7BA00FF7">
            <w:pPr>
              <w:snapToGrid w:val="0"/>
              <w:spacing w:line="264" w:lineRule="auto"/>
              <w:rPr>
                <w:rFonts w:hAnsi="宋体" w:cs="Courier New"/>
                <w:sz w:val="24"/>
              </w:rPr>
            </w:pPr>
            <w:r>
              <w:rPr>
                <w:rFonts w:hint="eastAsia" w:hAnsi="宋体" w:cs="Courier New"/>
                <w:sz w:val="24"/>
              </w:rPr>
              <w:t>主要股东或出资人信息</w:t>
            </w:r>
          </w:p>
        </w:tc>
        <w:tc>
          <w:tcPr>
            <w:tcW w:w="1011" w:type="pct"/>
            <w:gridSpan w:val="2"/>
            <w:vAlign w:val="center"/>
          </w:tcPr>
          <w:p w14:paraId="7C343153">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第（ ）页</w:t>
            </w:r>
          </w:p>
        </w:tc>
      </w:tr>
      <w:tr w14:paraId="62013F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241" w:type="pct"/>
            <w:vAlign w:val="center"/>
          </w:tcPr>
          <w:p w14:paraId="7356FB75">
            <w:pPr>
              <w:numPr>
                <w:ilvl w:val="0"/>
                <w:numId w:val="79"/>
              </w:numPr>
              <w:snapToGrid w:val="0"/>
              <w:spacing w:line="264" w:lineRule="auto"/>
              <w:rPr>
                <w:rFonts w:ascii="宋体" w:hAnsi="宋体"/>
                <w:sz w:val="24"/>
              </w:rPr>
            </w:pPr>
          </w:p>
        </w:tc>
        <w:tc>
          <w:tcPr>
            <w:tcW w:w="3747" w:type="pct"/>
            <w:gridSpan w:val="3"/>
            <w:vAlign w:val="center"/>
          </w:tcPr>
          <w:p w14:paraId="0C8F2013">
            <w:pPr>
              <w:snapToGrid w:val="0"/>
              <w:spacing w:line="264" w:lineRule="auto"/>
              <w:rPr>
                <w:rFonts w:hAnsi="宋体" w:cs="Courier New"/>
                <w:sz w:val="24"/>
              </w:rPr>
            </w:pPr>
            <w:r>
              <w:rPr>
                <w:rFonts w:hint="eastAsia" w:hAnsi="宋体" w:cs="Courier New"/>
                <w:sz w:val="24"/>
              </w:rPr>
              <w:t>采购代理服务费承诺书</w:t>
            </w:r>
          </w:p>
        </w:tc>
        <w:tc>
          <w:tcPr>
            <w:tcW w:w="1011" w:type="pct"/>
            <w:gridSpan w:val="2"/>
            <w:vAlign w:val="center"/>
          </w:tcPr>
          <w:p w14:paraId="08B5ED33">
            <w:pPr>
              <w:snapToGrid w:val="0"/>
              <w:spacing w:line="264" w:lineRule="auto"/>
              <w:jc w:val="center"/>
              <w:rPr>
                <w:rFonts w:ascii="宋体" w:hAnsi="宋体"/>
                <w:sz w:val="24"/>
              </w:rPr>
            </w:pPr>
            <w:r>
              <w:rPr>
                <w:rFonts w:hint="eastAsia" w:asciiTheme="minorEastAsia" w:hAnsiTheme="minorEastAsia" w:eastAsiaTheme="minorEastAsia"/>
                <w:sz w:val="24"/>
              </w:rPr>
              <w:t>第（ ）页</w:t>
            </w:r>
          </w:p>
        </w:tc>
      </w:tr>
      <w:tr w14:paraId="393218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5000" w:type="pct"/>
            <w:gridSpan w:val="6"/>
            <w:vAlign w:val="center"/>
          </w:tcPr>
          <w:p w14:paraId="309C08B7">
            <w:pPr>
              <w:snapToGrid w:val="0"/>
              <w:spacing w:line="264" w:lineRule="auto"/>
              <w:jc w:val="center"/>
              <w:rPr>
                <w:rFonts w:ascii="宋体" w:hAnsi="宋体"/>
                <w:b/>
                <w:sz w:val="30"/>
                <w:szCs w:val="30"/>
              </w:rPr>
            </w:pPr>
            <w:r>
              <w:rPr>
                <w:rFonts w:hint="eastAsia" w:ascii="宋体" w:hAnsi="宋体"/>
                <w:b/>
                <w:sz w:val="30"/>
                <w:szCs w:val="30"/>
              </w:rPr>
              <w:t>单独密封资料</w:t>
            </w:r>
          </w:p>
        </w:tc>
      </w:tr>
      <w:tr w14:paraId="7B3C3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241" w:type="pct"/>
            <w:vAlign w:val="center"/>
          </w:tcPr>
          <w:p w14:paraId="3C4B67BD">
            <w:pPr>
              <w:numPr>
                <w:ilvl w:val="0"/>
                <w:numId w:val="80"/>
              </w:numPr>
              <w:snapToGrid w:val="0"/>
              <w:spacing w:line="264" w:lineRule="auto"/>
              <w:rPr>
                <w:rFonts w:ascii="宋体" w:hAnsi="宋体"/>
                <w:sz w:val="24"/>
              </w:rPr>
            </w:pPr>
          </w:p>
        </w:tc>
        <w:tc>
          <w:tcPr>
            <w:tcW w:w="3747" w:type="pct"/>
            <w:gridSpan w:val="3"/>
            <w:vAlign w:val="center"/>
          </w:tcPr>
          <w:p w14:paraId="4817DAF5">
            <w:pPr>
              <w:snapToGrid w:val="0"/>
              <w:spacing w:line="264" w:lineRule="auto"/>
              <w:rPr>
                <w:rFonts w:ascii="宋体" w:hAnsi="宋体"/>
                <w:sz w:val="24"/>
              </w:rPr>
            </w:pPr>
            <w:r>
              <w:rPr>
                <w:rFonts w:hint="eastAsia" w:asciiTheme="minorEastAsia" w:hAnsiTheme="minorEastAsia" w:eastAsiaTheme="minorEastAsia"/>
                <w:sz w:val="24"/>
              </w:rPr>
              <w:t>开票资料说明函</w:t>
            </w:r>
          </w:p>
        </w:tc>
        <w:tc>
          <w:tcPr>
            <w:tcW w:w="1011" w:type="pct"/>
            <w:gridSpan w:val="2"/>
            <w:vAlign w:val="center"/>
          </w:tcPr>
          <w:p w14:paraId="1CAA84CC">
            <w:pPr>
              <w:snapToGrid w:val="0"/>
              <w:spacing w:line="264" w:lineRule="auto"/>
              <w:jc w:val="center"/>
              <w:rPr>
                <w:rFonts w:ascii="宋体" w:hAnsi="宋体"/>
                <w:sz w:val="24"/>
              </w:rPr>
            </w:pPr>
            <w:r>
              <w:rPr>
                <w:rFonts w:hint="eastAsia" w:asciiTheme="minorEastAsia" w:hAnsiTheme="minorEastAsia" w:eastAsiaTheme="minorEastAsia"/>
                <w:sz w:val="24"/>
              </w:rPr>
              <w:t>/</w:t>
            </w:r>
          </w:p>
        </w:tc>
      </w:tr>
      <w:tr w14:paraId="2AB41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241" w:type="pct"/>
            <w:vAlign w:val="center"/>
          </w:tcPr>
          <w:p w14:paraId="74320A2C">
            <w:pPr>
              <w:numPr>
                <w:ilvl w:val="0"/>
                <w:numId w:val="80"/>
              </w:numPr>
              <w:snapToGrid w:val="0"/>
              <w:spacing w:line="264" w:lineRule="auto"/>
              <w:rPr>
                <w:rFonts w:ascii="宋体" w:hAnsi="宋体"/>
                <w:sz w:val="24"/>
              </w:rPr>
            </w:pPr>
          </w:p>
        </w:tc>
        <w:tc>
          <w:tcPr>
            <w:tcW w:w="3747" w:type="pct"/>
            <w:gridSpan w:val="3"/>
            <w:vAlign w:val="center"/>
          </w:tcPr>
          <w:p w14:paraId="46EB861D">
            <w:pPr>
              <w:snapToGrid w:val="0"/>
              <w:spacing w:line="264" w:lineRule="auto"/>
              <w:rPr>
                <w:rFonts w:ascii="宋体" w:hAnsi="宋体"/>
                <w:sz w:val="24"/>
              </w:rPr>
            </w:pPr>
            <w:r>
              <w:rPr>
                <w:rFonts w:hint="eastAsia" w:asciiTheme="minorEastAsia" w:hAnsiTheme="minorEastAsia" w:eastAsiaTheme="minorEastAsia"/>
                <w:sz w:val="24"/>
              </w:rPr>
              <w:t>电子介质</w:t>
            </w:r>
          </w:p>
        </w:tc>
        <w:tc>
          <w:tcPr>
            <w:tcW w:w="1011" w:type="pct"/>
            <w:gridSpan w:val="2"/>
            <w:vAlign w:val="center"/>
          </w:tcPr>
          <w:p w14:paraId="5F63220E">
            <w:pPr>
              <w:snapToGrid w:val="0"/>
              <w:spacing w:line="264" w:lineRule="auto"/>
              <w:jc w:val="center"/>
              <w:rPr>
                <w:rFonts w:ascii="宋体" w:hAnsi="宋体"/>
                <w:sz w:val="24"/>
              </w:rPr>
            </w:pPr>
            <w:r>
              <w:rPr>
                <w:rFonts w:hint="eastAsia" w:asciiTheme="minorEastAsia" w:hAnsiTheme="minorEastAsia" w:eastAsiaTheme="minorEastAsia"/>
                <w:sz w:val="24"/>
              </w:rPr>
              <w:t>/</w:t>
            </w:r>
          </w:p>
        </w:tc>
      </w:tr>
      <w:tr w14:paraId="57F738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241" w:type="pct"/>
            <w:vAlign w:val="center"/>
          </w:tcPr>
          <w:p w14:paraId="7FA5DEF7">
            <w:pPr>
              <w:numPr>
                <w:ilvl w:val="0"/>
                <w:numId w:val="80"/>
              </w:numPr>
              <w:snapToGrid w:val="0"/>
              <w:spacing w:line="264" w:lineRule="auto"/>
              <w:rPr>
                <w:rFonts w:ascii="宋体" w:hAnsi="宋体"/>
                <w:sz w:val="24"/>
              </w:rPr>
            </w:pPr>
          </w:p>
        </w:tc>
        <w:tc>
          <w:tcPr>
            <w:tcW w:w="3747" w:type="pct"/>
            <w:gridSpan w:val="3"/>
            <w:vAlign w:val="center"/>
          </w:tcPr>
          <w:p w14:paraId="404ADB33">
            <w:pPr>
              <w:snapToGrid w:val="0"/>
              <w:spacing w:line="264" w:lineRule="auto"/>
              <w:rPr>
                <w:rFonts w:asciiTheme="minorEastAsia" w:hAnsiTheme="minorEastAsia" w:eastAsiaTheme="minorEastAsia"/>
                <w:sz w:val="24"/>
              </w:rPr>
            </w:pPr>
            <w:r>
              <w:rPr>
                <w:rFonts w:hint="eastAsia" w:asciiTheme="minorEastAsia" w:hAnsiTheme="minorEastAsia" w:eastAsiaTheme="minorEastAsia"/>
                <w:sz w:val="24"/>
              </w:rPr>
              <w:t>营业执照（或事业单位法人证书或社会团体法人登记证书等）</w:t>
            </w:r>
          </w:p>
        </w:tc>
        <w:tc>
          <w:tcPr>
            <w:tcW w:w="1011" w:type="pct"/>
            <w:gridSpan w:val="2"/>
            <w:vAlign w:val="center"/>
          </w:tcPr>
          <w:p w14:paraId="18A6CFD8">
            <w:pPr>
              <w:snapToGrid w:val="0"/>
              <w:spacing w:line="264"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r>
    </w:tbl>
    <w:p w14:paraId="4F9498A1">
      <w:pPr>
        <w:widowControl/>
        <w:jc w:val="left"/>
        <w:rPr>
          <w:rFonts w:ascii="Arial" w:hAnsi="Arial" w:eastAsia="黑体"/>
          <w:bCs/>
          <w:sz w:val="32"/>
          <w:szCs w:val="32"/>
        </w:rPr>
      </w:pPr>
      <w:bookmarkStart w:id="85" w:name="_Toc435515305"/>
      <w:bookmarkStart w:id="86" w:name="_Toc435514865"/>
    </w:p>
    <w:p w14:paraId="676432DD">
      <w:pPr>
        <w:widowControl/>
        <w:jc w:val="left"/>
        <w:rPr>
          <w:rFonts w:ascii="黑体" w:hAnsi="黑体" w:eastAsia="黑体"/>
          <w:sz w:val="32"/>
          <w:szCs w:val="32"/>
        </w:rPr>
      </w:pPr>
      <w:r>
        <w:rPr>
          <w:rFonts w:ascii="黑体" w:hAnsi="黑体" w:eastAsia="黑体"/>
          <w:sz w:val="32"/>
          <w:szCs w:val="32"/>
        </w:rPr>
        <w:br w:type="page"/>
      </w:r>
    </w:p>
    <w:p w14:paraId="0A4D86FA">
      <w:pPr>
        <w:tabs>
          <w:tab w:val="left" w:pos="426"/>
        </w:tabs>
        <w:autoSpaceDE w:val="0"/>
        <w:autoSpaceDN w:val="0"/>
        <w:spacing w:line="360" w:lineRule="auto"/>
        <w:jc w:val="center"/>
        <w:outlineLvl w:val="3"/>
        <w:rPr>
          <w:rFonts w:ascii="黑体" w:hAnsi="黑体" w:eastAsia="黑体"/>
          <w:sz w:val="32"/>
          <w:szCs w:val="32"/>
        </w:rPr>
      </w:pPr>
      <w:r>
        <w:rPr>
          <w:rFonts w:hint="eastAsia" w:ascii="黑体" w:hAnsi="黑体" w:eastAsia="黑体"/>
          <w:sz w:val="32"/>
          <w:szCs w:val="32"/>
        </w:rPr>
        <w:t>开标一览表(报价表)</w:t>
      </w:r>
      <w:bookmarkEnd w:id="85"/>
      <w:bookmarkEnd w:id="86"/>
    </w:p>
    <w:p w14:paraId="7480E20D">
      <w:pPr>
        <w:tabs>
          <w:tab w:val="left" w:pos="7740"/>
        </w:tabs>
        <w:snapToGrid w:val="0"/>
        <w:spacing w:line="360" w:lineRule="auto"/>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8"/>
        <w:tblW w:w="544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078"/>
        <w:gridCol w:w="1969"/>
        <w:gridCol w:w="4185"/>
      </w:tblGrid>
      <w:tr w14:paraId="352E25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993" w:type="pct"/>
            <w:tcBorders>
              <w:top w:val="single" w:color="auto" w:sz="12" w:space="0"/>
              <w:bottom w:val="double" w:color="auto" w:sz="4" w:space="0"/>
            </w:tcBorders>
            <w:shd w:val="clear" w:color="auto" w:fill="EEECE1"/>
            <w:vAlign w:val="center"/>
          </w:tcPr>
          <w:p w14:paraId="5A43A8CD">
            <w:pPr>
              <w:snapToGrid w:val="0"/>
              <w:jc w:val="center"/>
              <w:rPr>
                <w:rFonts w:ascii="宋体"/>
                <w:b/>
                <w:sz w:val="24"/>
              </w:rPr>
            </w:pPr>
            <w:r>
              <w:rPr>
                <w:rFonts w:hint="eastAsia" w:ascii="宋体"/>
                <w:b/>
                <w:sz w:val="24"/>
              </w:rPr>
              <w:t>服务内容（采购标的</w:t>
            </w:r>
          </w:p>
        </w:tc>
        <w:tc>
          <w:tcPr>
            <w:tcW w:w="962" w:type="pct"/>
            <w:tcBorders>
              <w:top w:val="single" w:color="auto" w:sz="12" w:space="0"/>
              <w:bottom w:val="double" w:color="auto" w:sz="4" w:space="0"/>
            </w:tcBorders>
            <w:shd w:val="clear" w:color="auto" w:fill="EEECE1"/>
            <w:vAlign w:val="center"/>
          </w:tcPr>
          <w:p w14:paraId="4D36F1EA">
            <w:pPr>
              <w:snapToGrid w:val="0"/>
              <w:jc w:val="center"/>
              <w:rPr>
                <w:rFonts w:ascii="宋体"/>
                <w:b/>
                <w:sz w:val="24"/>
              </w:rPr>
            </w:pPr>
            <w:r>
              <w:rPr>
                <w:rFonts w:hint="eastAsia" w:ascii="宋体"/>
                <w:b/>
                <w:sz w:val="24"/>
              </w:rPr>
              <w:t>数量</w:t>
            </w:r>
          </w:p>
        </w:tc>
        <w:tc>
          <w:tcPr>
            <w:tcW w:w="2045" w:type="pct"/>
            <w:tcBorders>
              <w:top w:val="single" w:color="auto" w:sz="12" w:space="0"/>
              <w:bottom w:val="double" w:color="auto" w:sz="4" w:space="0"/>
            </w:tcBorders>
            <w:shd w:val="clear" w:color="auto" w:fill="EEECE1"/>
            <w:vAlign w:val="center"/>
          </w:tcPr>
          <w:p w14:paraId="4C30F7C2">
            <w:pPr>
              <w:snapToGrid w:val="0"/>
              <w:jc w:val="center"/>
              <w:rPr>
                <w:rFonts w:ascii="宋体"/>
                <w:b/>
                <w:sz w:val="24"/>
              </w:rPr>
            </w:pPr>
            <w:r>
              <w:rPr>
                <w:rFonts w:hint="eastAsia" w:ascii="宋体"/>
                <w:b/>
                <w:sz w:val="24"/>
              </w:rPr>
              <w:t>综合折扣率%</w:t>
            </w:r>
          </w:p>
        </w:tc>
      </w:tr>
      <w:tr w14:paraId="47599A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4" w:hRule="atLeast"/>
        </w:trPr>
        <w:tc>
          <w:tcPr>
            <w:tcW w:w="1993" w:type="pct"/>
            <w:tcBorders>
              <w:top w:val="single" w:color="auto" w:sz="4" w:space="0"/>
            </w:tcBorders>
            <w:vAlign w:val="center"/>
          </w:tcPr>
          <w:p w14:paraId="19FCBD18">
            <w:pPr>
              <w:snapToGrid w:val="0"/>
              <w:jc w:val="center"/>
              <w:rPr>
                <w:rFonts w:hint="eastAsia" w:ascii="宋体" w:eastAsia="宋体"/>
                <w:bCs/>
                <w:sz w:val="24"/>
                <w:lang w:eastAsia="zh-CN"/>
              </w:rPr>
            </w:pPr>
            <w:r>
              <w:rPr>
                <w:rFonts w:hint="eastAsia" w:ascii="宋体" w:hAnsi="宋体" w:cs="仿宋_GB2312"/>
                <w:sz w:val="24"/>
                <w:lang w:eastAsia="zh-CN"/>
              </w:rPr>
              <w:t>2026年度节日慰问品采购</w:t>
            </w:r>
          </w:p>
        </w:tc>
        <w:tc>
          <w:tcPr>
            <w:tcW w:w="962" w:type="pct"/>
            <w:tcBorders>
              <w:top w:val="single" w:color="auto" w:sz="4" w:space="0"/>
            </w:tcBorders>
            <w:vAlign w:val="center"/>
          </w:tcPr>
          <w:p w14:paraId="2048435E">
            <w:pPr>
              <w:snapToGrid w:val="0"/>
              <w:jc w:val="center"/>
              <w:rPr>
                <w:rFonts w:ascii="宋体"/>
                <w:bCs/>
                <w:sz w:val="24"/>
              </w:rPr>
            </w:pPr>
            <w:r>
              <w:rPr>
                <w:rFonts w:hint="eastAsia" w:ascii="宋体"/>
                <w:bCs/>
                <w:sz w:val="24"/>
              </w:rPr>
              <w:t>1项</w:t>
            </w:r>
          </w:p>
        </w:tc>
        <w:tc>
          <w:tcPr>
            <w:tcW w:w="2045" w:type="pct"/>
            <w:tcBorders>
              <w:top w:val="single" w:color="auto" w:sz="4" w:space="0"/>
            </w:tcBorders>
            <w:vAlign w:val="center"/>
          </w:tcPr>
          <w:p w14:paraId="45222584">
            <w:pPr>
              <w:snapToGrid w:val="0"/>
              <w:jc w:val="center"/>
              <w:rPr>
                <w:rFonts w:ascii="宋体"/>
                <w:bCs/>
                <w:sz w:val="24"/>
                <w:u w:val="single"/>
              </w:rPr>
            </w:pPr>
            <w:r>
              <w:rPr>
                <w:rFonts w:ascii="宋体"/>
                <w:bCs/>
                <w:sz w:val="24"/>
                <w:u w:val="single"/>
              </w:rPr>
              <w:t xml:space="preserve">         </w:t>
            </w:r>
            <w:r>
              <w:rPr>
                <w:rFonts w:hint="eastAsia" w:ascii="宋体"/>
                <w:bCs/>
                <w:sz w:val="24"/>
                <w:u w:val="single"/>
              </w:rPr>
              <w:t>%</w:t>
            </w:r>
          </w:p>
        </w:tc>
      </w:tr>
    </w:tbl>
    <w:p w14:paraId="6773DE70">
      <w:pPr>
        <w:spacing w:line="500" w:lineRule="exact"/>
        <w:rPr>
          <w:spacing w:val="4"/>
          <w:sz w:val="24"/>
        </w:rPr>
      </w:pPr>
    </w:p>
    <w:p w14:paraId="01F7F1A5">
      <w:pPr>
        <w:spacing w:line="500" w:lineRule="exact"/>
        <w:rPr>
          <w:rFonts w:ascii="宋体" w:hAnsi="宋体"/>
          <w:sz w:val="24"/>
          <w:u w:val="single"/>
        </w:rPr>
      </w:pPr>
      <w:r>
        <w:rPr>
          <w:rFonts w:hint="eastAsia"/>
          <w:spacing w:val="4"/>
          <w:sz w:val="24"/>
        </w:rPr>
        <w:t>投标人名称（</w:t>
      </w:r>
      <w:r>
        <w:rPr>
          <w:rFonts w:hint="eastAsia" w:ascii="宋体" w:hAnsi="宋体"/>
          <w:sz w:val="24"/>
        </w:rPr>
        <w:t>单位盖</w:t>
      </w:r>
      <w:r>
        <w:rPr>
          <w:rFonts w:hint="eastAsia"/>
          <w:spacing w:val="4"/>
          <w:sz w:val="24"/>
        </w:rPr>
        <w:t>公章）：</w:t>
      </w:r>
    </w:p>
    <w:p w14:paraId="2F36065E">
      <w:pPr>
        <w:spacing w:line="520" w:lineRule="exact"/>
        <w:rPr>
          <w:spacing w:val="4"/>
          <w:sz w:val="24"/>
        </w:rPr>
      </w:pPr>
      <w:r>
        <w:rPr>
          <w:rFonts w:hint="eastAsia" w:ascii="宋体"/>
          <w:sz w:val="24"/>
        </w:rPr>
        <w:t>法定代表人或</w:t>
      </w:r>
      <w:r>
        <w:rPr>
          <w:rFonts w:hint="eastAsia" w:ascii="宋体" w:hAnsi="宋体"/>
          <w:sz w:val="24"/>
        </w:rPr>
        <w:t>投标人授权代表（签名或盖个人名章）</w:t>
      </w:r>
      <w:r>
        <w:rPr>
          <w:rFonts w:hint="eastAsia"/>
          <w:spacing w:val="4"/>
          <w:sz w:val="24"/>
        </w:rPr>
        <w:t xml:space="preserve"> </w:t>
      </w:r>
    </w:p>
    <w:p w14:paraId="71DB6BA8">
      <w:pPr>
        <w:spacing w:line="520" w:lineRule="exact"/>
        <w:rPr>
          <w:spacing w:val="4"/>
          <w:sz w:val="24"/>
        </w:rPr>
      </w:pPr>
      <w:r>
        <w:rPr>
          <w:rFonts w:hint="eastAsia"/>
          <w:spacing w:val="4"/>
          <w:sz w:val="24"/>
        </w:rPr>
        <w:t>日期：</w:t>
      </w:r>
    </w:p>
    <w:p w14:paraId="19F74036">
      <w:pPr>
        <w:tabs>
          <w:tab w:val="left" w:pos="360"/>
        </w:tabs>
        <w:snapToGrid w:val="0"/>
        <w:spacing w:line="360" w:lineRule="auto"/>
        <w:rPr>
          <w:spacing w:val="4"/>
          <w:sz w:val="24"/>
        </w:rPr>
      </w:pPr>
    </w:p>
    <w:p w14:paraId="7FD5A69D">
      <w:pPr>
        <w:tabs>
          <w:tab w:val="left" w:pos="360"/>
        </w:tabs>
        <w:snapToGrid w:val="0"/>
        <w:spacing w:line="360" w:lineRule="auto"/>
        <w:rPr>
          <w:b/>
          <w:spacing w:val="4"/>
          <w:sz w:val="24"/>
        </w:rPr>
      </w:pPr>
      <w:r>
        <w:rPr>
          <w:rFonts w:hint="eastAsia"/>
          <w:b/>
          <w:spacing w:val="4"/>
          <w:sz w:val="24"/>
        </w:rPr>
        <w:t>说明：</w:t>
      </w:r>
    </w:p>
    <w:p w14:paraId="31A477EE">
      <w:pPr>
        <w:pStyle w:val="84"/>
        <w:numPr>
          <w:ilvl w:val="0"/>
          <w:numId w:val="81"/>
        </w:numPr>
        <w:tabs>
          <w:tab w:val="left" w:pos="360"/>
        </w:tabs>
        <w:snapToGrid w:val="0"/>
        <w:spacing w:line="360" w:lineRule="auto"/>
        <w:ind w:left="284" w:hanging="284" w:firstLineChars="0"/>
        <w:rPr>
          <w:spacing w:val="4"/>
          <w:sz w:val="24"/>
        </w:rPr>
      </w:pPr>
      <w:r>
        <w:rPr>
          <w:rFonts w:hint="eastAsia"/>
          <w:spacing w:val="4"/>
          <w:sz w:val="24"/>
        </w:rPr>
        <w:t>除招标文件另有规定外，投标文件内不得含有任何对本报价进行价格折扣的说明或资料，否则为无效投标。</w:t>
      </w:r>
    </w:p>
    <w:p w14:paraId="6AF824FF">
      <w:pPr>
        <w:pStyle w:val="84"/>
        <w:numPr>
          <w:ilvl w:val="0"/>
          <w:numId w:val="81"/>
        </w:numPr>
        <w:tabs>
          <w:tab w:val="left" w:pos="360"/>
        </w:tabs>
        <w:snapToGrid w:val="0"/>
        <w:spacing w:line="360" w:lineRule="auto"/>
        <w:ind w:left="284" w:hanging="284" w:firstLineChars="0"/>
        <w:rPr>
          <w:spacing w:val="4"/>
          <w:sz w:val="24"/>
        </w:rPr>
      </w:pPr>
      <w:r>
        <w:rPr>
          <w:rFonts w:hint="eastAsia"/>
          <w:spacing w:val="4"/>
          <w:sz w:val="24"/>
        </w:rPr>
        <w:t>综合折扣率报价的小数点后保留</w:t>
      </w:r>
      <w:r>
        <w:rPr>
          <w:rFonts w:hint="eastAsia" w:asciiTheme="majorEastAsia" w:hAnsiTheme="majorEastAsia" w:eastAsiaTheme="majorEastAsia"/>
          <w:spacing w:val="4"/>
          <w:sz w:val="24"/>
        </w:rPr>
        <w:t>2</w:t>
      </w:r>
      <w:r>
        <w:rPr>
          <w:rFonts w:hint="eastAsia"/>
          <w:spacing w:val="4"/>
          <w:sz w:val="24"/>
        </w:rPr>
        <w:t>位有效数,如</w:t>
      </w:r>
      <w:r>
        <w:rPr>
          <w:rFonts w:hint="eastAsia" w:asciiTheme="majorEastAsia" w:hAnsiTheme="majorEastAsia" w:eastAsiaTheme="majorEastAsia"/>
          <w:sz w:val="24"/>
        </w:rPr>
        <w:t>XX.XX%</w:t>
      </w:r>
      <w:r>
        <w:rPr>
          <w:rFonts w:hint="eastAsia"/>
          <w:spacing w:val="4"/>
          <w:sz w:val="24"/>
        </w:rPr>
        <w:t>。</w:t>
      </w:r>
    </w:p>
    <w:p w14:paraId="66B0EB48">
      <w:pPr>
        <w:pStyle w:val="84"/>
        <w:numPr>
          <w:ilvl w:val="0"/>
          <w:numId w:val="81"/>
        </w:numPr>
        <w:tabs>
          <w:tab w:val="left" w:pos="360"/>
        </w:tabs>
        <w:snapToGrid w:val="0"/>
        <w:spacing w:line="360" w:lineRule="auto"/>
        <w:ind w:left="284" w:hanging="284" w:firstLineChars="0"/>
        <w:rPr>
          <w:rFonts w:asciiTheme="majorEastAsia" w:hAnsiTheme="majorEastAsia" w:eastAsiaTheme="majorEastAsia"/>
          <w:sz w:val="24"/>
        </w:rPr>
      </w:pPr>
      <w:r>
        <w:rPr>
          <w:rFonts w:hint="eastAsia" w:asciiTheme="majorEastAsia" w:hAnsiTheme="majorEastAsia" w:eastAsiaTheme="majorEastAsia"/>
          <w:sz w:val="24"/>
        </w:rPr>
        <w:t>本项目投标报价为综合折扣率，且只允许报一个折扣率，同时所报的折扣浮率应当适用于该类别所有产品单品。</w:t>
      </w:r>
    </w:p>
    <w:p w14:paraId="0970CBB3">
      <w:pPr>
        <w:numPr>
          <w:ilvl w:val="0"/>
          <w:numId w:val="81"/>
        </w:numPr>
        <w:snapToGrid w:val="0"/>
        <w:spacing w:line="360" w:lineRule="auto"/>
        <w:textAlignment w:val="auto"/>
        <w:rPr>
          <w:rFonts w:ascii="宋体" w:hAnsi="宋体"/>
          <w:sz w:val="24"/>
        </w:rPr>
      </w:pPr>
      <w:r>
        <w:rPr>
          <w:rFonts w:hint="eastAsia" w:ascii="宋体" w:hAnsi="宋体"/>
          <w:sz w:val="24"/>
        </w:rPr>
        <w:t>综合折扣率为本项目专属福利电子采购平台上进行下单的当日商品挂牌价的折扣率。</w:t>
      </w:r>
    </w:p>
    <w:p w14:paraId="44257C57">
      <w:pPr>
        <w:snapToGrid w:val="0"/>
        <w:spacing w:line="360" w:lineRule="auto"/>
        <w:rPr>
          <w:rFonts w:asciiTheme="majorEastAsia" w:hAnsiTheme="majorEastAsia" w:eastAsiaTheme="majorEastAsia"/>
          <w:sz w:val="24"/>
        </w:rPr>
      </w:pPr>
      <w:r>
        <w:rPr>
          <w:rFonts w:hint="eastAsia" w:ascii="宋体" w:hAnsi="宋体"/>
          <w:sz w:val="24"/>
        </w:rPr>
        <w:t>例如：2025年春节，某商品挂牌价格为600.00元，成交综合折扣率为90.00%，则某商品实际结算金额为：600.00×90.00%=540.00元。</w:t>
      </w:r>
    </w:p>
    <w:p w14:paraId="14DC774B">
      <w:pPr>
        <w:widowControl/>
        <w:jc w:val="left"/>
        <w:rPr>
          <w:rFonts w:ascii="黑体" w:hAnsi="黑体" w:eastAsia="黑体"/>
          <w:sz w:val="32"/>
          <w:szCs w:val="32"/>
        </w:rPr>
        <w:sectPr>
          <w:pgSz w:w="11906" w:h="16838"/>
          <w:pgMar w:top="1440" w:right="1286" w:bottom="1440" w:left="1440" w:header="851" w:footer="992" w:gutter="0"/>
          <w:cols w:space="720" w:num="1"/>
          <w:docGrid w:type="lines" w:linePitch="312" w:charSpace="0"/>
        </w:sectPr>
      </w:pPr>
      <w:r>
        <w:rPr>
          <w:rFonts w:ascii="黑体" w:hAnsi="黑体" w:eastAsia="黑体"/>
          <w:sz w:val="32"/>
          <w:szCs w:val="32"/>
        </w:rPr>
        <w:br w:type="page"/>
      </w:r>
    </w:p>
    <w:p w14:paraId="2CA4BF2A">
      <w:pPr>
        <w:tabs>
          <w:tab w:val="left" w:pos="426"/>
        </w:tabs>
        <w:autoSpaceDE w:val="0"/>
        <w:autoSpaceDN w:val="0"/>
        <w:spacing w:line="360" w:lineRule="auto"/>
        <w:jc w:val="center"/>
        <w:outlineLvl w:val="3"/>
        <w:rPr>
          <w:rFonts w:ascii="黑体" w:hAnsi="黑体" w:eastAsia="黑体"/>
          <w:sz w:val="32"/>
          <w:szCs w:val="32"/>
        </w:rPr>
      </w:pPr>
      <w:r>
        <w:rPr>
          <w:rFonts w:hint="eastAsia" w:ascii="黑体" w:hAnsi="黑体" w:eastAsia="黑体"/>
          <w:sz w:val="32"/>
          <w:szCs w:val="32"/>
        </w:rPr>
        <w:t>专属福利电子采购平台产品清单</w:t>
      </w:r>
    </w:p>
    <w:p w14:paraId="01DAA1F1">
      <w:pPr>
        <w:tabs>
          <w:tab w:val="left" w:pos="7740"/>
        </w:tabs>
        <w:snapToGrid w:val="0"/>
        <w:spacing w:line="360" w:lineRule="auto"/>
        <w:rPr>
          <w:rFonts w:ascii="宋体" w:hAnsi="宋体"/>
          <w:sz w:val="24"/>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r>
        <w:rPr>
          <w:rFonts w:hint="eastAsia" w:ascii="宋体" w:hAnsi="宋体"/>
          <w:sz w:val="24"/>
        </w:rPr>
        <w:t xml:space="preserve">      </w:t>
      </w:r>
    </w:p>
    <w:tbl>
      <w:tblPr>
        <w:tblStyle w:val="38"/>
        <w:tblW w:w="995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168"/>
        <w:gridCol w:w="1116"/>
        <w:gridCol w:w="778"/>
        <w:gridCol w:w="907"/>
        <w:gridCol w:w="1427"/>
        <w:gridCol w:w="2208"/>
        <w:gridCol w:w="778"/>
        <w:gridCol w:w="863"/>
      </w:tblGrid>
      <w:tr w14:paraId="38E51D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82" w:hRule="atLeast"/>
          <w:jc w:val="center"/>
        </w:trPr>
        <w:tc>
          <w:tcPr>
            <w:tcW w:w="710" w:type="dxa"/>
            <w:tcBorders>
              <w:top w:val="single" w:color="auto" w:sz="12" w:space="0"/>
              <w:bottom w:val="double" w:color="auto" w:sz="4" w:space="0"/>
            </w:tcBorders>
            <w:shd w:val="clear" w:color="auto" w:fill="EEECE1"/>
            <w:vAlign w:val="center"/>
          </w:tcPr>
          <w:p w14:paraId="7514583F">
            <w:pPr>
              <w:widowControl/>
              <w:snapToGrid w:val="0"/>
              <w:jc w:val="center"/>
              <w:rPr>
                <w:rFonts w:ascii="宋体" w:hAnsi="宋体"/>
                <w:sz w:val="24"/>
              </w:rPr>
            </w:pPr>
            <w:r>
              <w:rPr>
                <w:rFonts w:hint="eastAsia" w:ascii="宋体" w:hAnsi="宋体"/>
                <w:sz w:val="24"/>
              </w:rPr>
              <w:t>序号</w:t>
            </w:r>
          </w:p>
        </w:tc>
        <w:tc>
          <w:tcPr>
            <w:tcW w:w="1168" w:type="dxa"/>
            <w:tcBorders>
              <w:top w:val="single" w:color="auto" w:sz="12" w:space="0"/>
              <w:bottom w:val="double" w:color="auto" w:sz="4" w:space="0"/>
            </w:tcBorders>
            <w:shd w:val="clear" w:color="auto" w:fill="EEECE1"/>
            <w:vAlign w:val="center"/>
          </w:tcPr>
          <w:p w14:paraId="200E8B3D">
            <w:pPr>
              <w:widowControl/>
              <w:snapToGrid w:val="0"/>
              <w:jc w:val="center"/>
              <w:rPr>
                <w:rFonts w:ascii="宋体" w:hAnsi="宋体"/>
                <w:sz w:val="24"/>
              </w:rPr>
            </w:pPr>
            <w:r>
              <w:rPr>
                <w:rFonts w:hint="eastAsia" w:ascii="宋体" w:hAnsi="宋体"/>
                <w:sz w:val="24"/>
              </w:rPr>
              <w:t>产品</w:t>
            </w:r>
          </w:p>
          <w:p w14:paraId="1FD4EDD4">
            <w:pPr>
              <w:widowControl/>
              <w:snapToGrid w:val="0"/>
              <w:jc w:val="center"/>
              <w:rPr>
                <w:rFonts w:ascii="宋体" w:hAnsi="宋体"/>
                <w:sz w:val="24"/>
              </w:rPr>
            </w:pPr>
            <w:r>
              <w:rPr>
                <w:rFonts w:ascii="宋体" w:hAnsi="宋体"/>
                <w:sz w:val="24"/>
              </w:rPr>
              <w:t>名称</w:t>
            </w:r>
          </w:p>
        </w:tc>
        <w:tc>
          <w:tcPr>
            <w:tcW w:w="1116" w:type="dxa"/>
            <w:tcBorders>
              <w:top w:val="single" w:color="auto" w:sz="12" w:space="0"/>
              <w:bottom w:val="double" w:color="auto" w:sz="4" w:space="0"/>
            </w:tcBorders>
            <w:shd w:val="clear" w:color="auto" w:fill="EEECE1"/>
            <w:vAlign w:val="center"/>
          </w:tcPr>
          <w:p w14:paraId="36F99056">
            <w:pPr>
              <w:widowControl/>
              <w:snapToGrid w:val="0"/>
              <w:jc w:val="center"/>
              <w:rPr>
                <w:rFonts w:ascii="宋体" w:hAnsi="宋体"/>
                <w:sz w:val="24"/>
              </w:rPr>
            </w:pPr>
            <w:r>
              <w:rPr>
                <w:rFonts w:hint="eastAsia" w:ascii="宋体" w:hAnsi="宋体"/>
                <w:sz w:val="24"/>
              </w:rPr>
              <w:t>品牌</w:t>
            </w:r>
          </w:p>
        </w:tc>
        <w:tc>
          <w:tcPr>
            <w:tcW w:w="778" w:type="dxa"/>
            <w:tcBorders>
              <w:top w:val="single" w:color="auto" w:sz="12" w:space="0"/>
              <w:bottom w:val="double" w:color="auto" w:sz="4" w:space="0"/>
            </w:tcBorders>
            <w:shd w:val="clear" w:color="auto" w:fill="EEECE1"/>
            <w:vAlign w:val="center"/>
          </w:tcPr>
          <w:p w14:paraId="2BF9D63F">
            <w:pPr>
              <w:widowControl/>
              <w:snapToGrid w:val="0"/>
              <w:jc w:val="center"/>
              <w:rPr>
                <w:rFonts w:ascii="宋体" w:hAnsi="宋体"/>
                <w:sz w:val="24"/>
              </w:rPr>
            </w:pPr>
            <w:r>
              <w:rPr>
                <w:rFonts w:ascii="宋体" w:hAnsi="宋体"/>
                <w:sz w:val="24"/>
              </w:rPr>
              <w:t>规格</w:t>
            </w:r>
          </w:p>
        </w:tc>
        <w:tc>
          <w:tcPr>
            <w:tcW w:w="907" w:type="dxa"/>
            <w:tcBorders>
              <w:top w:val="single" w:color="auto" w:sz="12" w:space="0"/>
              <w:bottom w:val="double" w:color="auto" w:sz="4" w:space="0"/>
            </w:tcBorders>
            <w:shd w:val="clear" w:color="auto" w:fill="EEECE1"/>
            <w:vAlign w:val="center"/>
          </w:tcPr>
          <w:p w14:paraId="47C5D6BE">
            <w:pPr>
              <w:widowControl/>
              <w:snapToGrid w:val="0"/>
              <w:jc w:val="center"/>
              <w:rPr>
                <w:rFonts w:ascii="宋体" w:hAnsi="宋体"/>
                <w:sz w:val="24"/>
              </w:rPr>
            </w:pPr>
            <w:r>
              <w:rPr>
                <w:rFonts w:hint="eastAsia" w:ascii="宋体" w:hAnsi="宋体"/>
                <w:sz w:val="24"/>
              </w:rPr>
              <w:t>型号</w:t>
            </w:r>
          </w:p>
        </w:tc>
        <w:tc>
          <w:tcPr>
            <w:tcW w:w="1427" w:type="dxa"/>
            <w:tcBorders>
              <w:top w:val="single" w:color="auto" w:sz="12" w:space="0"/>
              <w:bottom w:val="double" w:color="auto" w:sz="4" w:space="0"/>
            </w:tcBorders>
            <w:shd w:val="clear" w:color="auto" w:fill="EEECE1"/>
            <w:vAlign w:val="center"/>
          </w:tcPr>
          <w:p w14:paraId="3F4BB627">
            <w:pPr>
              <w:widowControl/>
              <w:snapToGrid w:val="0"/>
              <w:jc w:val="center"/>
              <w:rPr>
                <w:rFonts w:ascii="宋体" w:hAnsi="宋体"/>
                <w:sz w:val="24"/>
              </w:rPr>
            </w:pPr>
            <w:r>
              <w:rPr>
                <w:rFonts w:hint="eastAsia" w:ascii="宋体" w:hAnsi="宋体"/>
                <w:sz w:val="24"/>
              </w:rPr>
              <w:t>制造商</w:t>
            </w:r>
          </w:p>
          <w:p w14:paraId="08AD25F5">
            <w:pPr>
              <w:widowControl/>
              <w:snapToGrid w:val="0"/>
              <w:jc w:val="center"/>
              <w:rPr>
                <w:rFonts w:ascii="宋体" w:hAnsi="宋体"/>
                <w:sz w:val="24"/>
              </w:rPr>
            </w:pPr>
            <w:r>
              <w:rPr>
                <w:rFonts w:hint="eastAsia" w:ascii="宋体" w:hAnsi="宋体"/>
                <w:sz w:val="24"/>
              </w:rPr>
              <w:t>（生产者）</w:t>
            </w:r>
          </w:p>
        </w:tc>
        <w:tc>
          <w:tcPr>
            <w:tcW w:w="2208" w:type="dxa"/>
            <w:tcBorders>
              <w:top w:val="single" w:color="auto" w:sz="12" w:space="0"/>
              <w:bottom w:val="double" w:color="auto" w:sz="4" w:space="0"/>
            </w:tcBorders>
            <w:shd w:val="clear" w:color="auto" w:fill="EEECE1"/>
            <w:vAlign w:val="center"/>
          </w:tcPr>
          <w:p w14:paraId="5B550CC4">
            <w:pPr>
              <w:widowControl/>
              <w:snapToGrid w:val="0"/>
              <w:jc w:val="center"/>
              <w:rPr>
                <w:rFonts w:ascii="宋体" w:hAnsi="宋体"/>
                <w:sz w:val="24"/>
              </w:rPr>
            </w:pPr>
            <w:r>
              <w:rPr>
                <w:rFonts w:ascii="宋体" w:hAnsi="宋体"/>
                <w:sz w:val="24"/>
              </w:rPr>
              <w:t>原产地</w:t>
            </w:r>
          </w:p>
        </w:tc>
        <w:tc>
          <w:tcPr>
            <w:tcW w:w="778" w:type="dxa"/>
            <w:tcBorders>
              <w:top w:val="single" w:color="auto" w:sz="12" w:space="0"/>
              <w:bottom w:val="double" w:color="auto" w:sz="4" w:space="0"/>
            </w:tcBorders>
            <w:shd w:val="clear" w:color="auto" w:fill="EEECE1"/>
            <w:vAlign w:val="center"/>
          </w:tcPr>
          <w:p w14:paraId="3BB8E205">
            <w:pPr>
              <w:widowControl/>
              <w:snapToGrid w:val="0"/>
              <w:jc w:val="center"/>
              <w:rPr>
                <w:rFonts w:ascii="宋体" w:hAnsi="宋体"/>
                <w:sz w:val="24"/>
              </w:rPr>
            </w:pPr>
            <w:r>
              <w:rPr>
                <w:rFonts w:hint="eastAsia" w:ascii="宋体" w:hAnsi="宋体"/>
                <w:sz w:val="24"/>
              </w:rPr>
              <w:t>单位</w:t>
            </w:r>
          </w:p>
        </w:tc>
        <w:tc>
          <w:tcPr>
            <w:tcW w:w="863" w:type="dxa"/>
            <w:tcBorders>
              <w:top w:val="single" w:color="auto" w:sz="12" w:space="0"/>
              <w:bottom w:val="double" w:color="auto" w:sz="4" w:space="0"/>
            </w:tcBorders>
            <w:shd w:val="clear" w:color="auto" w:fill="EEECE1"/>
            <w:vAlign w:val="center"/>
          </w:tcPr>
          <w:p w14:paraId="3F63D0BA">
            <w:pPr>
              <w:snapToGrid w:val="0"/>
              <w:jc w:val="center"/>
              <w:rPr>
                <w:rFonts w:ascii="宋体" w:hAnsi="宋体"/>
                <w:sz w:val="24"/>
              </w:rPr>
            </w:pPr>
            <w:r>
              <w:rPr>
                <w:rFonts w:ascii="宋体" w:hAnsi="宋体"/>
                <w:sz w:val="24"/>
              </w:rPr>
              <w:t>备注</w:t>
            </w:r>
          </w:p>
        </w:tc>
      </w:tr>
      <w:tr w14:paraId="48605C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10" w:type="dxa"/>
            <w:vAlign w:val="center"/>
          </w:tcPr>
          <w:p w14:paraId="4330E345">
            <w:pPr>
              <w:jc w:val="center"/>
              <w:rPr>
                <w:rFonts w:ascii="宋体" w:hAnsi="宋体"/>
                <w:sz w:val="24"/>
              </w:rPr>
            </w:pPr>
            <w:r>
              <w:rPr>
                <w:rFonts w:hint="eastAsia" w:ascii="宋体" w:hAnsi="宋体"/>
                <w:sz w:val="24"/>
              </w:rPr>
              <w:t>1</w:t>
            </w:r>
          </w:p>
        </w:tc>
        <w:tc>
          <w:tcPr>
            <w:tcW w:w="1168" w:type="dxa"/>
            <w:vAlign w:val="center"/>
          </w:tcPr>
          <w:p w14:paraId="1D51AEFD">
            <w:pPr>
              <w:jc w:val="center"/>
              <w:rPr>
                <w:sz w:val="24"/>
              </w:rPr>
            </w:pPr>
          </w:p>
        </w:tc>
        <w:tc>
          <w:tcPr>
            <w:tcW w:w="1116" w:type="dxa"/>
            <w:vAlign w:val="center"/>
          </w:tcPr>
          <w:p w14:paraId="15D94DA9">
            <w:pPr>
              <w:jc w:val="center"/>
              <w:rPr>
                <w:sz w:val="24"/>
              </w:rPr>
            </w:pPr>
          </w:p>
        </w:tc>
        <w:tc>
          <w:tcPr>
            <w:tcW w:w="778" w:type="dxa"/>
            <w:vAlign w:val="center"/>
          </w:tcPr>
          <w:p w14:paraId="7D3BD34D">
            <w:pPr>
              <w:jc w:val="center"/>
              <w:rPr>
                <w:sz w:val="24"/>
              </w:rPr>
            </w:pPr>
          </w:p>
        </w:tc>
        <w:tc>
          <w:tcPr>
            <w:tcW w:w="907" w:type="dxa"/>
          </w:tcPr>
          <w:p w14:paraId="7ACED194">
            <w:pPr>
              <w:jc w:val="center"/>
              <w:rPr>
                <w:sz w:val="24"/>
              </w:rPr>
            </w:pPr>
          </w:p>
        </w:tc>
        <w:tc>
          <w:tcPr>
            <w:tcW w:w="1427" w:type="dxa"/>
          </w:tcPr>
          <w:p w14:paraId="460B121B">
            <w:pPr>
              <w:jc w:val="center"/>
              <w:rPr>
                <w:sz w:val="24"/>
              </w:rPr>
            </w:pPr>
          </w:p>
        </w:tc>
        <w:tc>
          <w:tcPr>
            <w:tcW w:w="2208" w:type="dxa"/>
            <w:vAlign w:val="center"/>
          </w:tcPr>
          <w:p w14:paraId="1AF6B260">
            <w:pPr>
              <w:jc w:val="center"/>
              <w:rPr>
                <w:sz w:val="24"/>
              </w:rPr>
            </w:pPr>
            <w:r>
              <w:rPr>
                <w:rFonts w:hint="eastAsia"/>
                <w:sz w:val="24"/>
              </w:rPr>
              <w:t xml:space="preserve"> </w:t>
            </w:r>
          </w:p>
        </w:tc>
        <w:tc>
          <w:tcPr>
            <w:tcW w:w="778" w:type="dxa"/>
            <w:vAlign w:val="center"/>
          </w:tcPr>
          <w:p w14:paraId="7F4AE933">
            <w:pPr>
              <w:jc w:val="center"/>
              <w:rPr>
                <w:sz w:val="24"/>
              </w:rPr>
            </w:pPr>
          </w:p>
        </w:tc>
        <w:tc>
          <w:tcPr>
            <w:tcW w:w="863" w:type="dxa"/>
            <w:vAlign w:val="center"/>
          </w:tcPr>
          <w:p w14:paraId="446BAB47">
            <w:pPr>
              <w:jc w:val="center"/>
              <w:rPr>
                <w:sz w:val="24"/>
              </w:rPr>
            </w:pPr>
          </w:p>
        </w:tc>
      </w:tr>
      <w:tr w14:paraId="7125E1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10" w:type="dxa"/>
            <w:vAlign w:val="center"/>
          </w:tcPr>
          <w:p w14:paraId="19BBE0AC">
            <w:pPr>
              <w:jc w:val="center"/>
              <w:rPr>
                <w:rFonts w:ascii="宋体" w:hAnsi="宋体"/>
                <w:sz w:val="24"/>
              </w:rPr>
            </w:pPr>
            <w:r>
              <w:rPr>
                <w:rFonts w:hint="eastAsia" w:ascii="宋体" w:hAnsi="宋体"/>
                <w:sz w:val="24"/>
              </w:rPr>
              <w:t>2</w:t>
            </w:r>
          </w:p>
        </w:tc>
        <w:tc>
          <w:tcPr>
            <w:tcW w:w="1168" w:type="dxa"/>
            <w:vAlign w:val="center"/>
          </w:tcPr>
          <w:p w14:paraId="462A7346">
            <w:pPr>
              <w:jc w:val="center"/>
              <w:rPr>
                <w:sz w:val="24"/>
              </w:rPr>
            </w:pPr>
          </w:p>
        </w:tc>
        <w:tc>
          <w:tcPr>
            <w:tcW w:w="1116" w:type="dxa"/>
            <w:vAlign w:val="center"/>
          </w:tcPr>
          <w:p w14:paraId="306D77F2">
            <w:pPr>
              <w:jc w:val="center"/>
              <w:rPr>
                <w:sz w:val="24"/>
              </w:rPr>
            </w:pPr>
          </w:p>
        </w:tc>
        <w:tc>
          <w:tcPr>
            <w:tcW w:w="778" w:type="dxa"/>
            <w:vAlign w:val="center"/>
          </w:tcPr>
          <w:p w14:paraId="49ED2D18">
            <w:pPr>
              <w:jc w:val="center"/>
              <w:rPr>
                <w:sz w:val="24"/>
              </w:rPr>
            </w:pPr>
          </w:p>
        </w:tc>
        <w:tc>
          <w:tcPr>
            <w:tcW w:w="907" w:type="dxa"/>
          </w:tcPr>
          <w:p w14:paraId="440A728E">
            <w:pPr>
              <w:jc w:val="center"/>
              <w:rPr>
                <w:sz w:val="24"/>
              </w:rPr>
            </w:pPr>
          </w:p>
        </w:tc>
        <w:tc>
          <w:tcPr>
            <w:tcW w:w="1427" w:type="dxa"/>
          </w:tcPr>
          <w:p w14:paraId="22E9E898">
            <w:pPr>
              <w:jc w:val="center"/>
              <w:rPr>
                <w:sz w:val="24"/>
              </w:rPr>
            </w:pPr>
          </w:p>
        </w:tc>
        <w:tc>
          <w:tcPr>
            <w:tcW w:w="2208" w:type="dxa"/>
            <w:vAlign w:val="center"/>
          </w:tcPr>
          <w:p w14:paraId="46B3C096">
            <w:pPr>
              <w:jc w:val="center"/>
              <w:rPr>
                <w:sz w:val="24"/>
              </w:rPr>
            </w:pPr>
          </w:p>
        </w:tc>
        <w:tc>
          <w:tcPr>
            <w:tcW w:w="778" w:type="dxa"/>
            <w:vAlign w:val="center"/>
          </w:tcPr>
          <w:p w14:paraId="733E16CE">
            <w:pPr>
              <w:jc w:val="center"/>
              <w:rPr>
                <w:sz w:val="24"/>
              </w:rPr>
            </w:pPr>
          </w:p>
        </w:tc>
        <w:tc>
          <w:tcPr>
            <w:tcW w:w="863" w:type="dxa"/>
            <w:vAlign w:val="center"/>
          </w:tcPr>
          <w:p w14:paraId="3202E280">
            <w:pPr>
              <w:jc w:val="center"/>
              <w:rPr>
                <w:sz w:val="24"/>
              </w:rPr>
            </w:pPr>
          </w:p>
        </w:tc>
      </w:tr>
      <w:tr w14:paraId="5C15EC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710" w:type="dxa"/>
            <w:vAlign w:val="center"/>
          </w:tcPr>
          <w:p w14:paraId="3AC50311">
            <w:pPr>
              <w:jc w:val="center"/>
              <w:rPr>
                <w:sz w:val="24"/>
              </w:rPr>
            </w:pPr>
            <w:r>
              <w:rPr>
                <w:rFonts w:hint="eastAsia"/>
                <w:sz w:val="24"/>
              </w:rPr>
              <w:t>……</w:t>
            </w:r>
          </w:p>
        </w:tc>
        <w:tc>
          <w:tcPr>
            <w:tcW w:w="1168" w:type="dxa"/>
            <w:vAlign w:val="center"/>
          </w:tcPr>
          <w:p w14:paraId="70B12DB4">
            <w:pPr>
              <w:jc w:val="center"/>
              <w:rPr>
                <w:sz w:val="24"/>
              </w:rPr>
            </w:pPr>
          </w:p>
        </w:tc>
        <w:tc>
          <w:tcPr>
            <w:tcW w:w="1116" w:type="dxa"/>
            <w:vAlign w:val="center"/>
          </w:tcPr>
          <w:p w14:paraId="5754F21B">
            <w:pPr>
              <w:jc w:val="center"/>
              <w:rPr>
                <w:sz w:val="24"/>
              </w:rPr>
            </w:pPr>
          </w:p>
        </w:tc>
        <w:tc>
          <w:tcPr>
            <w:tcW w:w="778" w:type="dxa"/>
            <w:vAlign w:val="center"/>
          </w:tcPr>
          <w:p w14:paraId="00453F09">
            <w:pPr>
              <w:jc w:val="center"/>
              <w:rPr>
                <w:sz w:val="24"/>
              </w:rPr>
            </w:pPr>
          </w:p>
        </w:tc>
        <w:tc>
          <w:tcPr>
            <w:tcW w:w="907" w:type="dxa"/>
          </w:tcPr>
          <w:p w14:paraId="50AB1D83">
            <w:pPr>
              <w:jc w:val="center"/>
              <w:rPr>
                <w:sz w:val="24"/>
              </w:rPr>
            </w:pPr>
          </w:p>
        </w:tc>
        <w:tc>
          <w:tcPr>
            <w:tcW w:w="1427" w:type="dxa"/>
          </w:tcPr>
          <w:p w14:paraId="4B54A775">
            <w:pPr>
              <w:jc w:val="center"/>
              <w:rPr>
                <w:sz w:val="24"/>
              </w:rPr>
            </w:pPr>
          </w:p>
        </w:tc>
        <w:tc>
          <w:tcPr>
            <w:tcW w:w="2208" w:type="dxa"/>
            <w:vAlign w:val="center"/>
          </w:tcPr>
          <w:p w14:paraId="3AE2D542">
            <w:pPr>
              <w:jc w:val="center"/>
              <w:rPr>
                <w:sz w:val="24"/>
              </w:rPr>
            </w:pPr>
          </w:p>
        </w:tc>
        <w:tc>
          <w:tcPr>
            <w:tcW w:w="778" w:type="dxa"/>
            <w:vAlign w:val="center"/>
          </w:tcPr>
          <w:p w14:paraId="2E02DB0B">
            <w:pPr>
              <w:jc w:val="center"/>
              <w:rPr>
                <w:sz w:val="24"/>
              </w:rPr>
            </w:pPr>
          </w:p>
        </w:tc>
        <w:tc>
          <w:tcPr>
            <w:tcW w:w="863" w:type="dxa"/>
            <w:vAlign w:val="center"/>
          </w:tcPr>
          <w:p w14:paraId="650087C5">
            <w:pPr>
              <w:jc w:val="center"/>
              <w:rPr>
                <w:sz w:val="24"/>
              </w:rPr>
            </w:pPr>
          </w:p>
        </w:tc>
      </w:tr>
    </w:tbl>
    <w:p w14:paraId="53E660D5">
      <w:pPr>
        <w:widowControl/>
        <w:wordWrap w:val="0"/>
        <w:spacing w:line="360" w:lineRule="auto"/>
        <w:jc w:val="left"/>
        <w:rPr>
          <w:rFonts w:ascii="ˎ̥" w:hAnsi="ˎ̥" w:cs="宋体"/>
          <w:sz w:val="24"/>
        </w:rPr>
      </w:pPr>
    </w:p>
    <w:p w14:paraId="304FF501">
      <w:pPr>
        <w:snapToGrid w:val="0"/>
        <w:spacing w:line="360" w:lineRule="auto"/>
        <w:rPr>
          <w:rFonts w:ascii="宋体" w:hAnsi="宋体"/>
          <w:sz w:val="24"/>
          <w:u w:val="single"/>
        </w:rPr>
      </w:pPr>
      <w:r>
        <w:rPr>
          <w:rFonts w:hint="eastAsia"/>
          <w:spacing w:val="4"/>
          <w:sz w:val="24"/>
        </w:rPr>
        <w:t>投标人名称（</w:t>
      </w:r>
      <w:r>
        <w:rPr>
          <w:rFonts w:hint="eastAsia" w:ascii="宋体" w:hAnsi="宋体"/>
          <w:sz w:val="24"/>
        </w:rPr>
        <w:t>单位盖</w:t>
      </w:r>
      <w:r>
        <w:rPr>
          <w:rFonts w:hint="eastAsia"/>
          <w:spacing w:val="4"/>
          <w:sz w:val="24"/>
        </w:rPr>
        <w:t>公章）：</w:t>
      </w:r>
    </w:p>
    <w:p w14:paraId="2DA33BB7">
      <w:pPr>
        <w:snapToGrid w:val="0"/>
        <w:spacing w:line="360" w:lineRule="auto"/>
        <w:rPr>
          <w:spacing w:val="4"/>
          <w:sz w:val="24"/>
        </w:rPr>
      </w:pPr>
      <w:r>
        <w:rPr>
          <w:rFonts w:hint="eastAsia" w:ascii="宋体"/>
          <w:sz w:val="24"/>
        </w:rPr>
        <w:t>法定代表人或</w:t>
      </w:r>
      <w:r>
        <w:rPr>
          <w:rFonts w:hint="eastAsia" w:ascii="宋体" w:hAnsi="宋体"/>
          <w:sz w:val="24"/>
        </w:rPr>
        <w:t>投标人授权代表（签名或盖个人名章）</w:t>
      </w:r>
      <w:r>
        <w:rPr>
          <w:rFonts w:hint="eastAsia"/>
          <w:spacing w:val="4"/>
          <w:sz w:val="24"/>
        </w:rPr>
        <w:t xml:space="preserve"> </w:t>
      </w:r>
    </w:p>
    <w:p w14:paraId="7A3A68A1">
      <w:pPr>
        <w:snapToGrid w:val="0"/>
        <w:spacing w:line="360" w:lineRule="auto"/>
        <w:rPr>
          <w:spacing w:val="4"/>
          <w:sz w:val="24"/>
        </w:rPr>
      </w:pPr>
      <w:r>
        <w:rPr>
          <w:rFonts w:hint="eastAsia"/>
          <w:spacing w:val="4"/>
          <w:sz w:val="24"/>
        </w:rPr>
        <w:t>日期：</w:t>
      </w:r>
    </w:p>
    <w:p w14:paraId="09233028">
      <w:pPr>
        <w:tabs>
          <w:tab w:val="left" w:pos="567"/>
        </w:tabs>
        <w:snapToGrid w:val="0"/>
        <w:spacing w:line="360" w:lineRule="auto"/>
        <w:rPr>
          <w:rFonts w:ascii="宋体" w:hAnsi="宋体"/>
          <w:sz w:val="24"/>
        </w:rPr>
      </w:pPr>
    </w:p>
    <w:p w14:paraId="098157B7">
      <w:pPr>
        <w:tabs>
          <w:tab w:val="left" w:pos="567"/>
        </w:tabs>
        <w:snapToGrid w:val="0"/>
        <w:spacing w:line="360" w:lineRule="auto"/>
        <w:rPr>
          <w:rFonts w:ascii="宋体" w:hAnsi="宋体"/>
          <w:sz w:val="24"/>
        </w:rPr>
      </w:pPr>
      <w:r>
        <w:rPr>
          <w:rFonts w:hint="eastAsia" w:ascii="宋体" w:hAnsi="宋体"/>
          <w:sz w:val="24"/>
        </w:rPr>
        <w:t>说明：</w:t>
      </w:r>
    </w:p>
    <w:p w14:paraId="7516C86A">
      <w:pPr>
        <w:pStyle w:val="84"/>
        <w:numPr>
          <w:ilvl w:val="0"/>
          <w:numId w:val="82"/>
        </w:numPr>
        <w:tabs>
          <w:tab w:val="left" w:pos="567"/>
        </w:tabs>
        <w:snapToGrid w:val="0"/>
        <w:spacing w:line="360" w:lineRule="auto"/>
        <w:ind w:firstLineChars="0"/>
        <w:rPr>
          <w:rFonts w:ascii="黑体" w:hAnsi="黑体" w:eastAsia="黑体"/>
          <w:b/>
          <w:bCs/>
          <w:sz w:val="32"/>
          <w:szCs w:val="32"/>
        </w:rPr>
      </w:pPr>
      <w:r>
        <w:rPr>
          <w:rFonts w:hint="eastAsia" w:ascii="宋体" w:hAnsi="宋体"/>
          <w:b/>
          <w:bCs/>
          <w:sz w:val="24"/>
        </w:rPr>
        <w:t>投标人须在投标时提供本项目专属福利电子采购平台产品清单列表，该表格式只作参考，投标人可自行设计。</w:t>
      </w:r>
      <w:r>
        <w:rPr>
          <w:rFonts w:ascii="黑体" w:hAnsi="黑体" w:eastAsia="黑体"/>
          <w:b/>
          <w:bCs/>
          <w:sz w:val="32"/>
          <w:szCs w:val="32"/>
        </w:rPr>
        <w:br w:type="page"/>
      </w:r>
    </w:p>
    <w:p w14:paraId="10024EB6">
      <w:pPr>
        <w:tabs>
          <w:tab w:val="left" w:pos="426"/>
        </w:tabs>
        <w:autoSpaceDE w:val="0"/>
        <w:autoSpaceDN w:val="0"/>
        <w:spacing w:line="360" w:lineRule="auto"/>
        <w:jc w:val="center"/>
        <w:outlineLvl w:val="3"/>
        <w:rPr>
          <w:rFonts w:ascii="黑体" w:hAnsi="黑体" w:eastAsia="黑体"/>
          <w:sz w:val="32"/>
          <w:szCs w:val="32"/>
        </w:rPr>
      </w:pPr>
      <w:bookmarkStart w:id="87" w:name="_Toc435514875"/>
      <w:bookmarkStart w:id="88" w:name="_Toc435515315"/>
      <w:r>
        <w:rPr>
          <w:rFonts w:hint="eastAsia" w:ascii="黑体" w:hAnsi="黑体" w:eastAsia="黑体"/>
          <w:sz w:val="32"/>
          <w:szCs w:val="32"/>
        </w:rPr>
        <w:t>中小企业声明函</w:t>
      </w:r>
      <w:bookmarkEnd w:id="87"/>
      <w:bookmarkEnd w:id="88"/>
      <w:r>
        <w:rPr>
          <w:rFonts w:hint="eastAsia" w:ascii="黑体" w:hAnsi="黑体" w:eastAsia="黑体"/>
          <w:sz w:val="32"/>
          <w:szCs w:val="32"/>
        </w:rPr>
        <w:t>（如有）</w:t>
      </w:r>
    </w:p>
    <w:p w14:paraId="74358CCE">
      <w:pPr>
        <w:snapToGrid w:val="0"/>
        <w:spacing w:line="360" w:lineRule="auto"/>
        <w:rPr>
          <w:rFonts w:ascii="宋体" w:hAnsi="宋体"/>
          <w:sz w:val="24"/>
        </w:rPr>
      </w:pPr>
    </w:p>
    <w:p w14:paraId="6BBA67A3">
      <w:pPr>
        <w:snapToGrid w:val="0"/>
        <w:spacing w:line="360" w:lineRule="auto"/>
        <w:jc w:val="center"/>
        <w:rPr>
          <w:rFonts w:ascii="宋体" w:hAnsi="宋体"/>
          <w:sz w:val="24"/>
        </w:rPr>
      </w:pPr>
      <w:r>
        <w:rPr>
          <w:rFonts w:hint="eastAsia" w:ascii="宋体" w:hAnsi="宋体"/>
          <w:sz w:val="24"/>
        </w:rPr>
        <w:t>中小企业声明函（工程、服务）</w:t>
      </w:r>
    </w:p>
    <w:p w14:paraId="79DF5EE0">
      <w:pPr>
        <w:snapToGrid w:val="0"/>
        <w:spacing w:line="360" w:lineRule="auto"/>
        <w:ind w:firstLine="424" w:firstLineChars="177"/>
        <w:rPr>
          <w:rFonts w:ascii="宋体" w:hAnsi="宋体"/>
          <w:sz w:val="24"/>
        </w:rPr>
      </w:pPr>
      <w:r>
        <w:rPr>
          <w:rFonts w:hint="eastAsia" w:ascii="宋体" w:hAnsi="宋体"/>
          <w:sz w:val="24"/>
        </w:rPr>
        <w:t>本公司（联合体）郑重声明，根据《政府采购促进中小企业发展管理办法》（财库﹝</w:t>
      </w:r>
      <w:r>
        <w:rPr>
          <w:rFonts w:ascii="宋体" w:hAnsi="宋体"/>
          <w:sz w:val="24"/>
        </w:rPr>
        <w:t>2020﹞46 号）的规定，本公司</w:t>
      </w:r>
      <w:r>
        <w:rPr>
          <w:rFonts w:hint="eastAsia" w:ascii="宋体" w:hAnsi="宋体"/>
          <w:sz w:val="24"/>
        </w:rPr>
        <w:t>（联合体）参加</w:t>
      </w:r>
      <w:r>
        <w:rPr>
          <w:rFonts w:hint="eastAsia" w:ascii="宋体" w:hAnsi="宋体"/>
          <w:sz w:val="24"/>
          <w:u w:val="single"/>
          <w:lang w:eastAsia="zh-CN"/>
        </w:rPr>
        <w:t>中华人民共和国佛山出入境边防检查站</w:t>
      </w:r>
      <w:r>
        <w:rPr>
          <w:rFonts w:ascii="宋体" w:hAnsi="宋体"/>
          <w:sz w:val="24"/>
        </w:rPr>
        <w:t>的</w:t>
      </w:r>
      <w:r>
        <w:rPr>
          <w:rFonts w:hint="eastAsia" w:ascii="宋体" w:hAnsi="宋体"/>
          <w:sz w:val="24"/>
          <w:u w:val="single"/>
          <w:lang w:eastAsia="zh-CN"/>
        </w:rPr>
        <w:t>中华人民共和国佛山出入境边防检查站2026年度节日慰问品采购项目</w:t>
      </w:r>
      <w:r>
        <w:rPr>
          <w:rFonts w:ascii="宋体" w:hAnsi="宋体"/>
          <w:sz w:val="24"/>
        </w:rPr>
        <w:t>采购活动，工</w:t>
      </w:r>
      <w:r>
        <w:rPr>
          <w:rFonts w:hint="eastAsia" w:ascii="宋体" w:hAnsi="宋体"/>
          <w:sz w:val="24"/>
        </w:rPr>
        <w:t>程的施工单位全部为符合政策要求的中小企业（或者：服务全部由符合政策要求的中小企业承接）。相关企业（含联合体中的中小企业、签订分包意向协议的中小企业）的具体情况如下：</w:t>
      </w:r>
    </w:p>
    <w:p w14:paraId="2B2B2BA3">
      <w:pPr>
        <w:snapToGrid w:val="0"/>
        <w:spacing w:line="360" w:lineRule="auto"/>
        <w:ind w:firstLine="424" w:firstLineChars="177"/>
        <w:rPr>
          <w:rFonts w:ascii="宋体" w:hAnsi="宋体"/>
          <w:sz w:val="24"/>
        </w:rPr>
      </w:pPr>
      <w:r>
        <w:rPr>
          <w:rFonts w:ascii="宋体" w:hAnsi="宋体"/>
          <w:sz w:val="24"/>
        </w:rPr>
        <w:t>1.</w:t>
      </w:r>
      <w:r>
        <w:rPr>
          <w:rFonts w:hint="eastAsia"/>
        </w:rPr>
        <w:t xml:space="preserve"> </w:t>
      </w:r>
      <w:r>
        <w:rPr>
          <w:rFonts w:hint="eastAsia" w:ascii="宋体" w:hAnsi="宋体"/>
          <w:sz w:val="24"/>
          <w:u w:val="single"/>
          <w:lang w:eastAsia="zh-CN"/>
        </w:rPr>
        <w:t>2026年度节日慰问品采购</w:t>
      </w:r>
      <w:r>
        <w:rPr>
          <w:rFonts w:ascii="宋体" w:hAnsi="宋体"/>
          <w:sz w:val="24"/>
        </w:rPr>
        <w:t>，属于</w:t>
      </w:r>
      <w:r>
        <w:rPr>
          <w:rFonts w:hint="eastAsia" w:ascii="宋体" w:hAnsi="宋体"/>
          <w:sz w:val="24"/>
          <w:u w:val="single"/>
        </w:rPr>
        <w:t>信息传输业</w:t>
      </w:r>
      <w:r>
        <w:rPr>
          <w:rFonts w:ascii="宋体" w:hAnsi="宋体"/>
          <w:sz w:val="24"/>
        </w:rPr>
        <w:t>；</w:t>
      </w:r>
      <w:r>
        <w:rPr>
          <w:rFonts w:hint="eastAsia" w:ascii="宋体" w:hAnsi="宋体"/>
          <w:sz w:val="24"/>
        </w:rPr>
        <w:t>承建（承接）企业为</w:t>
      </w:r>
      <w:r>
        <w:rPr>
          <w:rFonts w:ascii="宋体" w:hAnsi="宋体"/>
          <w:sz w:val="24"/>
          <w:u w:val="single"/>
        </w:rPr>
        <w:t>（企业名称）</w:t>
      </w:r>
      <w:r>
        <w:rPr>
          <w:rFonts w:ascii="宋体" w:hAnsi="宋体"/>
          <w:sz w:val="24"/>
        </w:rPr>
        <w:t>，从业人员</w:t>
      </w:r>
      <w:r>
        <w:rPr>
          <w:rFonts w:ascii="宋体" w:hAnsi="宋体"/>
          <w:sz w:val="24"/>
          <w:u w:val="single"/>
        </w:rPr>
        <w:t xml:space="preserve">     </w:t>
      </w:r>
      <w:r>
        <w:rPr>
          <w:rFonts w:ascii="宋体" w:hAnsi="宋体"/>
          <w:sz w:val="24"/>
        </w:rPr>
        <w:t>人，营业</w:t>
      </w:r>
      <w:r>
        <w:rPr>
          <w:rFonts w:hint="eastAsia" w:ascii="宋体" w:hAnsi="宋体"/>
          <w:sz w:val="24"/>
        </w:rPr>
        <w:t>收入为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w:t>
      </w:r>
      <w:r>
        <w:rPr>
          <w:rFonts w:hint="eastAsia" w:ascii="宋体" w:hAnsi="宋体"/>
          <w:sz w:val="24"/>
          <w:u w:val="single"/>
        </w:rPr>
        <w:t>小型企业、微型企业）</w:t>
      </w:r>
      <w:r>
        <w:rPr>
          <w:rFonts w:ascii="宋体" w:hAnsi="宋体"/>
          <w:sz w:val="24"/>
        </w:rPr>
        <w:t>；</w:t>
      </w:r>
    </w:p>
    <w:p w14:paraId="27AB539E">
      <w:pPr>
        <w:snapToGrid w:val="0"/>
        <w:spacing w:line="360" w:lineRule="auto"/>
        <w:ind w:firstLine="424" w:firstLineChars="177"/>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5ECEE92B">
      <w:pPr>
        <w:snapToGrid w:val="0"/>
        <w:spacing w:line="360" w:lineRule="auto"/>
        <w:ind w:firstLine="424" w:firstLineChars="177"/>
        <w:rPr>
          <w:rFonts w:ascii="宋体" w:hAnsi="宋体"/>
          <w:sz w:val="24"/>
        </w:rPr>
      </w:pPr>
      <w:r>
        <w:rPr>
          <w:rFonts w:hint="eastAsia" w:ascii="宋体" w:hAnsi="宋体"/>
          <w:sz w:val="24"/>
        </w:rPr>
        <w:t>本企业对上述声明内容的真实性负责。如有虚假，将依法承担相应责任。</w:t>
      </w:r>
    </w:p>
    <w:p w14:paraId="710C961E">
      <w:pPr>
        <w:snapToGrid w:val="0"/>
        <w:spacing w:line="360" w:lineRule="auto"/>
        <w:ind w:left="4320" w:leftChars="2160"/>
        <w:rPr>
          <w:rFonts w:ascii="宋体" w:hAnsi="宋体"/>
          <w:sz w:val="24"/>
        </w:rPr>
      </w:pPr>
      <w:r>
        <w:rPr>
          <w:rFonts w:hint="eastAsia" w:ascii="宋体" w:hAnsi="宋体"/>
          <w:sz w:val="24"/>
        </w:rPr>
        <w:t>企业名称（盖章）：</w:t>
      </w:r>
    </w:p>
    <w:p w14:paraId="153D3E1B">
      <w:pPr>
        <w:snapToGrid w:val="0"/>
        <w:spacing w:line="360" w:lineRule="auto"/>
        <w:ind w:left="4320" w:leftChars="2160"/>
        <w:rPr>
          <w:rFonts w:ascii="宋体" w:hAnsi="宋体"/>
          <w:sz w:val="24"/>
        </w:rPr>
      </w:pPr>
      <w:r>
        <w:rPr>
          <w:rFonts w:hint="eastAsia" w:ascii="宋体" w:hAnsi="宋体"/>
          <w:sz w:val="24"/>
        </w:rPr>
        <w:t>日</w:t>
      </w:r>
      <w:r>
        <w:rPr>
          <w:rFonts w:ascii="宋体" w:hAnsi="宋体"/>
          <w:sz w:val="24"/>
        </w:rPr>
        <w:t xml:space="preserve"> 期：</w:t>
      </w:r>
    </w:p>
    <w:p w14:paraId="52F03427">
      <w:pPr>
        <w:snapToGrid w:val="0"/>
        <w:spacing w:line="360" w:lineRule="auto"/>
        <w:rPr>
          <w:rFonts w:ascii="宋体" w:hAnsi="宋体"/>
          <w:sz w:val="24"/>
        </w:rPr>
      </w:pPr>
      <w:r>
        <w:rPr>
          <w:rFonts w:hint="eastAsia" w:ascii="宋体" w:hAnsi="宋体"/>
          <w:sz w:val="24"/>
        </w:rPr>
        <w:t>备注：</w:t>
      </w:r>
    </w:p>
    <w:p w14:paraId="2AFC00EB">
      <w:pPr>
        <w:snapToGrid w:val="0"/>
        <w:spacing w:line="360" w:lineRule="auto"/>
        <w:rPr>
          <w:rFonts w:ascii="宋体" w:hAnsi="宋体"/>
          <w:sz w:val="24"/>
        </w:rPr>
      </w:pPr>
      <w:r>
        <w:rPr>
          <w:rFonts w:hint="eastAsia" w:ascii="宋体" w:hAnsi="宋体"/>
          <w:sz w:val="24"/>
        </w:rPr>
        <w:t>1、从业人员、营业收入、资产总额填报上一年度数据，无上一年度数据的新成立企业可不填报</w:t>
      </w:r>
    </w:p>
    <w:p w14:paraId="30E9C770">
      <w:pPr>
        <w:snapToGrid w:val="0"/>
        <w:spacing w:line="360" w:lineRule="auto"/>
        <w:rPr>
          <w:rFonts w:ascii="宋体" w:hAnsi="宋体"/>
          <w:sz w:val="24"/>
        </w:rPr>
      </w:pPr>
      <w:r>
        <w:rPr>
          <w:rFonts w:hint="eastAsia" w:ascii="宋体" w:hAnsi="宋体"/>
          <w:sz w:val="24"/>
        </w:rPr>
        <w:t>2、采购人、采购代理机构将按国家有关规定随中标、成交结果公开中标、成交供应商的《中小企业声明函》，供应商提供声明函内容不实的，属于提供虚假材料谋取中标、成交，依照《中华人民共和国政府采购法》等国家有关规定追究相应责任。</w:t>
      </w:r>
    </w:p>
    <w:p w14:paraId="6A6FE44B">
      <w:pPr>
        <w:snapToGrid w:val="0"/>
        <w:spacing w:line="360" w:lineRule="auto"/>
        <w:rPr>
          <w:rFonts w:ascii="宋体" w:hAnsi="宋体"/>
          <w:bCs/>
          <w:spacing w:val="6"/>
          <w:sz w:val="24"/>
        </w:rPr>
      </w:pPr>
      <w:r>
        <w:rPr>
          <w:rFonts w:hint="eastAsia" w:ascii="宋体" w:hAnsi="宋体"/>
          <w:bCs/>
          <w:spacing w:val="6"/>
          <w:sz w:val="24"/>
        </w:rPr>
        <w:t>3、供应商应当根据采购文件中明确的采购标的所属行业，作为填写本声明函相应采购标的所属行业及判断承建（承接）企业是否属于中小企业的依据。</w:t>
      </w:r>
    </w:p>
    <w:p w14:paraId="037DE01A">
      <w:pPr>
        <w:snapToGrid w:val="0"/>
        <w:spacing w:line="360" w:lineRule="auto"/>
        <w:rPr>
          <w:rFonts w:ascii="宋体" w:hAnsi="宋体"/>
          <w:bCs/>
          <w:spacing w:val="6"/>
          <w:sz w:val="24"/>
        </w:rPr>
      </w:pPr>
      <w:r>
        <w:rPr>
          <w:rFonts w:hint="eastAsia" w:ascii="宋体" w:hAnsi="宋体"/>
          <w:sz w:val="24"/>
        </w:rPr>
        <w:t>4、投标人可根据《关于印发中小企业划型标准规定的通知》（工信部联企业〔2011〕300号）判断承建（承接）企业属于大型、中型、小型还是微型企业。</w:t>
      </w:r>
    </w:p>
    <w:p w14:paraId="43371F3B">
      <w:pPr>
        <w:widowControl/>
        <w:adjustRightInd/>
        <w:spacing w:line="240" w:lineRule="auto"/>
        <w:jc w:val="left"/>
        <w:textAlignment w:val="auto"/>
        <w:rPr>
          <w:rFonts w:ascii="黑体" w:hAnsi="黑体" w:eastAsia="黑体"/>
          <w:sz w:val="32"/>
          <w:szCs w:val="32"/>
        </w:rPr>
      </w:pPr>
      <w:r>
        <w:rPr>
          <w:rFonts w:ascii="黑体" w:hAnsi="黑体" w:eastAsia="黑体"/>
          <w:sz w:val="32"/>
          <w:szCs w:val="32"/>
        </w:rPr>
        <w:br w:type="page"/>
      </w:r>
    </w:p>
    <w:p w14:paraId="4651D72F">
      <w:pPr>
        <w:tabs>
          <w:tab w:val="left" w:pos="426"/>
        </w:tabs>
        <w:autoSpaceDE w:val="0"/>
        <w:autoSpaceDN w:val="0"/>
        <w:spacing w:line="360" w:lineRule="auto"/>
        <w:jc w:val="center"/>
        <w:outlineLvl w:val="3"/>
        <w:rPr>
          <w:rFonts w:ascii="黑体" w:hAnsi="黑体" w:eastAsia="黑体"/>
          <w:sz w:val="32"/>
          <w:szCs w:val="32"/>
        </w:rPr>
      </w:pPr>
      <w:bookmarkStart w:id="89" w:name="OLE_LINK13"/>
      <w:bookmarkStart w:id="90" w:name="OLE_LINK14"/>
      <w:r>
        <w:rPr>
          <w:rFonts w:hint="eastAsia" w:ascii="黑体" w:hAnsi="黑体" w:eastAsia="黑体"/>
          <w:sz w:val="32"/>
          <w:szCs w:val="32"/>
        </w:rPr>
        <w:t>残疾人福利性单位声明函（如有）</w:t>
      </w:r>
    </w:p>
    <w:bookmarkEnd w:id="89"/>
    <w:bookmarkEnd w:id="90"/>
    <w:p w14:paraId="597461F6">
      <w:pPr>
        <w:spacing w:line="360" w:lineRule="auto"/>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0246E2C">
      <w:pPr>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14:paraId="3AB5EC15">
      <w:pPr>
        <w:spacing w:line="360" w:lineRule="auto"/>
        <w:ind w:firstLine="480" w:firstLineChars="200"/>
        <w:jc w:val="center"/>
        <w:rPr>
          <w:rFonts w:ascii="宋体" w:hAnsi="宋体"/>
          <w:sz w:val="24"/>
        </w:rPr>
      </w:pPr>
      <w:r>
        <w:rPr>
          <w:rFonts w:hint="eastAsia" w:ascii="宋体" w:hAnsi="宋体"/>
          <w:sz w:val="24"/>
        </w:rPr>
        <w:t>投标人名称（单位盖公章）：</w:t>
      </w:r>
    </w:p>
    <w:p w14:paraId="34C3DBF1">
      <w:pPr>
        <w:spacing w:line="360" w:lineRule="auto"/>
        <w:ind w:firstLine="480" w:firstLineChars="200"/>
        <w:jc w:val="center"/>
        <w:rPr>
          <w:rFonts w:ascii="宋体" w:hAnsi="宋体"/>
          <w:sz w:val="24"/>
        </w:rPr>
      </w:pPr>
      <w:r>
        <w:rPr>
          <w:rFonts w:hint="eastAsia" w:ascii="宋体" w:hAnsi="宋体"/>
          <w:sz w:val="24"/>
        </w:rPr>
        <w:t>日  期：</w:t>
      </w:r>
    </w:p>
    <w:p w14:paraId="608FDFAB">
      <w:pPr>
        <w:widowControl/>
        <w:jc w:val="left"/>
        <w:rPr>
          <w:rFonts w:ascii="黑体" w:hAnsi="黑体" w:eastAsia="黑体"/>
          <w:sz w:val="32"/>
          <w:szCs w:val="32"/>
        </w:rPr>
      </w:pPr>
    </w:p>
    <w:p w14:paraId="03B3E180">
      <w:pPr>
        <w:widowControl/>
        <w:jc w:val="left"/>
        <w:rPr>
          <w:rFonts w:ascii="黑体" w:hAnsi="黑体" w:eastAsia="黑体"/>
          <w:sz w:val="32"/>
          <w:szCs w:val="32"/>
        </w:rPr>
      </w:pPr>
    </w:p>
    <w:p w14:paraId="37EAA938">
      <w:pPr>
        <w:widowControl/>
        <w:jc w:val="left"/>
        <w:rPr>
          <w:rFonts w:ascii="黑体" w:hAnsi="黑体" w:eastAsia="黑体"/>
          <w:sz w:val="32"/>
          <w:szCs w:val="32"/>
        </w:rPr>
      </w:pPr>
    </w:p>
    <w:p w14:paraId="722DEF09">
      <w:pPr>
        <w:widowControl/>
        <w:jc w:val="left"/>
        <w:rPr>
          <w:rFonts w:ascii="黑体" w:hAnsi="黑体" w:eastAsia="黑体"/>
          <w:sz w:val="32"/>
          <w:szCs w:val="32"/>
        </w:rPr>
      </w:pPr>
    </w:p>
    <w:p w14:paraId="2C9063DD">
      <w:pPr>
        <w:tabs>
          <w:tab w:val="left" w:pos="426"/>
        </w:tabs>
        <w:autoSpaceDE w:val="0"/>
        <w:autoSpaceDN w:val="0"/>
        <w:spacing w:line="360" w:lineRule="auto"/>
        <w:jc w:val="center"/>
        <w:outlineLvl w:val="3"/>
        <w:rPr>
          <w:rFonts w:ascii="黑体" w:hAnsi="黑体" w:eastAsia="黑体"/>
          <w:sz w:val="32"/>
          <w:szCs w:val="32"/>
        </w:rPr>
      </w:pPr>
      <w:r>
        <w:rPr>
          <w:rFonts w:hint="eastAsia" w:ascii="黑体" w:hAnsi="黑体" w:eastAsia="黑体"/>
          <w:sz w:val="32"/>
          <w:szCs w:val="32"/>
        </w:rPr>
        <w:t>监狱企业的证明文件（如有）</w:t>
      </w:r>
    </w:p>
    <w:p w14:paraId="4799F311">
      <w:pPr>
        <w:spacing w:line="360" w:lineRule="auto"/>
        <w:ind w:firstLine="480" w:firstLineChars="200"/>
        <w:rPr>
          <w:rFonts w:ascii="宋体" w:hAnsi="宋体"/>
          <w:sz w:val="24"/>
        </w:rPr>
      </w:pPr>
      <w:r>
        <w:rPr>
          <w:rFonts w:hint="eastAsia" w:ascii="宋体" w:hAnsi="宋体"/>
          <w:sz w:val="24"/>
        </w:rPr>
        <w:t>说明：监狱企业参加政府采购活动时，应当提供由</w:t>
      </w:r>
      <w:r>
        <w:rPr>
          <w:rFonts w:hint="eastAsia" w:ascii="宋体" w:hAnsi="宋体"/>
          <w:b/>
          <w:sz w:val="24"/>
        </w:rPr>
        <w:t>省级以上监狱管理局、戒毒管理局（含新疆生产建设兵团）出具的属于监狱企业的证明文件，</w:t>
      </w:r>
      <w:r>
        <w:rPr>
          <w:rFonts w:hint="eastAsia" w:ascii="宋体" w:hAnsi="宋体"/>
          <w:sz w:val="24"/>
        </w:rPr>
        <w:t>并加盖投标单位公章。</w:t>
      </w:r>
    </w:p>
    <w:p w14:paraId="12364C95">
      <w:pPr>
        <w:widowControl/>
        <w:jc w:val="left"/>
        <w:rPr>
          <w:rFonts w:ascii="黑体" w:hAnsi="黑体" w:eastAsia="黑体"/>
          <w:sz w:val="32"/>
          <w:szCs w:val="32"/>
        </w:rPr>
      </w:pPr>
    </w:p>
    <w:p w14:paraId="0DA87032">
      <w:pPr>
        <w:widowControl/>
        <w:adjustRightInd/>
        <w:spacing w:line="240" w:lineRule="auto"/>
        <w:jc w:val="left"/>
        <w:textAlignment w:val="auto"/>
        <w:rPr>
          <w:rFonts w:ascii="黑体" w:hAnsi="黑体" w:eastAsia="黑体"/>
          <w:sz w:val="32"/>
          <w:szCs w:val="32"/>
        </w:rPr>
      </w:pPr>
      <w:r>
        <w:rPr>
          <w:rFonts w:ascii="黑体" w:hAnsi="黑体" w:eastAsia="黑体"/>
          <w:sz w:val="32"/>
          <w:szCs w:val="32"/>
        </w:rPr>
        <w:br w:type="page"/>
      </w:r>
    </w:p>
    <w:p w14:paraId="16669787">
      <w:pPr>
        <w:tabs>
          <w:tab w:val="left" w:pos="426"/>
        </w:tabs>
        <w:autoSpaceDE w:val="0"/>
        <w:autoSpaceDN w:val="0"/>
        <w:spacing w:line="360" w:lineRule="auto"/>
        <w:jc w:val="center"/>
        <w:outlineLvl w:val="3"/>
        <w:rPr>
          <w:rFonts w:ascii="黑体" w:hAnsi="黑体" w:eastAsia="黑体"/>
          <w:sz w:val="32"/>
          <w:szCs w:val="32"/>
        </w:rPr>
      </w:pPr>
      <w:r>
        <w:rPr>
          <w:rFonts w:hint="eastAsia" w:ascii="黑体" w:hAnsi="黑体" w:eastAsia="黑体"/>
          <w:sz w:val="32"/>
          <w:szCs w:val="32"/>
        </w:rPr>
        <w:t>政策功能情况（如有）</w:t>
      </w:r>
    </w:p>
    <w:p w14:paraId="72927A81">
      <w:pPr>
        <w:tabs>
          <w:tab w:val="left" w:pos="7740"/>
        </w:tabs>
        <w:snapToGrid w:val="0"/>
        <w:spacing w:line="360" w:lineRule="auto"/>
        <w:jc w:val="center"/>
        <w:rPr>
          <w:rFonts w:ascii="宋体" w:hAnsi="宋体"/>
          <w:b/>
          <w:sz w:val="24"/>
        </w:rPr>
      </w:pPr>
    </w:p>
    <w:p w14:paraId="722A620B">
      <w:pPr>
        <w:tabs>
          <w:tab w:val="left" w:pos="7740"/>
        </w:tabs>
        <w:snapToGrid w:val="0"/>
        <w:spacing w:line="360" w:lineRule="auto"/>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03"/>
        <w:gridCol w:w="2182"/>
        <w:gridCol w:w="1663"/>
        <w:gridCol w:w="1977"/>
        <w:gridCol w:w="2571"/>
      </w:tblGrid>
      <w:tr w14:paraId="36C3DF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534" w:type="pct"/>
            <w:vAlign w:val="center"/>
          </w:tcPr>
          <w:p w14:paraId="3BD1C439">
            <w:pPr>
              <w:tabs>
                <w:tab w:val="left" w:pos="7740"/>
              </w:tabs>
              <w:snapToGrid w:val="0"/>
              <w:spacing w:line="288" w:lineRule="auto"/>
              <w:jc w:val="center"/>
              <w:rPr>
                <w:rFonts w:ascii="宋体" w:hAnsi="宋体"/>
                <w:sz w:val="24"/>
                <w:lang w:val="en-GB"/>
              </w:rPr>
            </w:pPr>
            <w:r>
              <w:rPr>
                <w:rFonts w:hint="eastAsia" w:ascii="宋体" w:hAnsi="宋体"/>
                <w:sz w:val="24"/>
                <w:lang w:val="en-GB"/>
              </w:rPr>
              <w:t>类别</w:t>
            </w:r>
          </w:p>
        </w:tc>
        <w:tc>
          <w:tcPr>
            <w:tcW w:w="1161" w:type="pct"/>
            <w:vAlign w:val="center"/>
          </w:tcPr>
          <w:p w14:paraId="6A74FDD8">
            <w:pPr>
              <w:tabs>
                <w:tab w:val="left" w:pos="7740"/>
              </w:tabs>
              <w:snapToGrid w:val="0"/>
              <w:spacing w:line="288" w:lineRule="auto"/>
              <w:jc w:val="center"/>
              <w:rPr>
                <w:rFonts w:ascii="宋体" w:hAnsi="宋体"/>
                <w:sz w:val="24"/>
                <w:lang w:val="en-GB"/>
              </w:rPr>
            </w:pPr>
            <w:r>
              <w:rPr>
                <w:rFonts w:hint="eastAsia" w:ascii="宋体" w:hAnsi="宋体"/>
                <w:sz w:val="24"/>
                <w:lang w:val="en-GB"/>
              </w:rPr>
              <w:t>投标产品</w:t>
            </w:r>
          </w:p>
          <w:p w14:paraId="1588E630">
            <w:pPr>
              <w:tabs>
                <w:tab w:val="left" w:pos="7740"/>
              </w:tabs>
              <w:snapToGrid w:val="0"/>
              <w:spacing w:line="288" w:lineRule="auto"/>
              <w:jc w:val="center"/>
              <w:rPr>
                <w:rFonts w:ascii="宋体" w:hAnsi="宋体"/>
                <w:sz w:val="24"/>
                <w:lang w:val="en-GB"/>
              </w:rPr>
            </w:pPr>
            <w:r>
              <w:rPr>
                <w:rFonts w:hint="eastAsia" w:ascii="宋体" w:hAnsi="宋体"/>
                <w:sz w:val="24"/>
                <w:lang w:val="en-GB"/>
              </w:rPr>
              <w:t>（规格型号）</w:t>
            </w:r>
          </w:p>
        </w:tc>
        <w:tc>
          <w:tcPr>
            <w:tcW w:w="885" w:type="pct"/>
            <w:vAlign w:val="center"/>
          </w:tcPr>
          <w:p w14:paraId="689BFD61">
            <w:pPr>
              <w:tabs>
                <w:tab w:val="left" w:pos="7740"/>
              </w:tabs>
              <w:snapToGrid w:val="0"/>
              <w:spacing w:line="288" w:lineRule="auto"/>
              <w:jc w:val="center"/>
              <w:rPr>
                <w:rFonts w:ascii="宋体" w:hAnsi="宋体"/>
                <w:sz w:val="24"/>
                <w:lang w:val="en-GB"/>
              </w:rPr>
            </w:pPr>
            <w:r>
              <w:rPr>
                <w:rFonts w:hint="eastAsia" w:ascii="宋体" w:hAnsi="宋体"/>
                <w:sz w:val="24"/>
                <w:lang w:val="en-GB"/>
              </w:rPr>
              <w:t>生产者</w:t>
            </w:r>
          </w:p>
          <w:p w14:paraId="3E1C9A53">
            <w:pPr>
              <w:tabs>
                <w:tab w:val="left" w:pos="7740"/>
              </w:tabs>
              <w:snapToGrid w:val="0"/>
              <w:spacing w:line="288" w:lineRule="auto"/>
              <w:jc w:val="center"/>
              <w:rPr>
                <w:rFonts w:ascii="宋体" w:hAnsi="宋体"/>
                <w:sz w:val="24"/>
                <w:lang w:val="en-GB"/>
              </w:rPr>
            </w:pPr>
            <w:r>
              <w:rPr>
                <w:rFonts w:hint="eastAsia" w:ascii="宋体" w:hAnsi="宋体"/>
                <w:sz w:val="24"/>
                <w:lang w:val="en-GB"/>
              </w:rPr>
              <w:t>（制造商）</w:t>
            </w:r>
          </w:p>
        </w:tc>
        <w:tc>
          <w:tcPr>
            <w:tcW w:w="1052" w:type="pct"/>
            <w:vAlign w:val="center"/>
          </w:tcPr>
          <w:p w14:paraId="56C719BB">
            <w:pPr>
              <w:tabs>
                <w:tab w:val="left" w:pos="7740"/>
              </w:tabs>
              <w:snapToGrid w:val="0"/>
              <w:spacing w:line="288" w:lineRule="auto"/>
              <w:jc w:val="center"/>
              <w:rPr>
                <w:rFonts w:ascii="宋体" w:hAnsi="宋体"/>
                <w:sz w:val="24"/>
                <w:lang w:val="en-GB"/>
              </w:rPr>
            </w:pPr>
            <w:r>
              <w:rPr>
                <w:rFonts w:ascii="宋体" w:hAnsi="宋体"/>
                <w:sz w:val="24"/>
                <w:lang w:val="en-GB"/>
              </w:rPr>
              <w:t>证书编号</w:t>
            </w:r>
          </w:p>
        </w:tc>
        <w:tc>
          <w:tcPr>
            <w:tcW w:w="1369" w:type="pct"/>
            <w:tcBorders>
              <w:bottom w:val="single" w:color="auto" w:sz="4" w:space="0"/>
            </w:tcBorders>
            <w:vAlign w:val="center"/>
          </w:tcPr>
          <w:p w14:paraId="6215C25E">
            <w:pPr>
              <w:tabs>
                <w:tab w:val="left" w:pos="7740"/>
              </w:tabs>
              <w:snapToGrid w:val="0"/>
              <w:spacing w:line="288" w:lineRule="auto"/>
              <w:jc w:val="center"/>
              <w:rPr>
                <w:rFonts w:ascii="宋体" w:hAnsi="宋体"/>
                <w:sz w:val="24"/>
                <w:lang w:val="en-GB"/>
              </w:rPr>
            </w:pPr>
            <w:r>
              <w:rPr>
                <w:rFonts w:hint="eastAsia" w:ascii="宋体" w:hAnsi="宋体"/>
                <w:sz w:val="24"/>
                <w:lang w:val="en-GB"/>
              </w:rPr>
              <w:t>所投节能产品金额</w:t>
            </w:r>
          </w:p>
        </w:tc>
      </w:tr>
      <w:tr w14:paraId="057ECE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34" w:type="pct"/>
            <w:vMerge w:val="restart"/>
            <w:vAlign w:val="center"/>
          </w:tcPr>
          <w:p w14:paraId="7B648EC3">
            <w:pPr>
              <w:tabs>
                <w:tab w:val="left" w:pos="7740"/>
              </w:tabs>
              <w:snapToGrid w:val="0"/>
              <w:spacing w:line="288" w:lineRule="auto"/>
              <w:rPr>
                <w:rFonts w:ascii="宋体" w:hAnsi="宋体"/>
                <w:sz w:val="24"/>
                <w:lang w:val="en-GB"/>
              </w:rPr>
            </w:pPr>
            <w:r>
              <w:rPr>
                <w:rFonts w:hint="eastAsia" w:ascii="宋体" w:hAnsi="宋体"/>
                <w:sz w:val="24"/>
                <w:lang w:val="en-GB"/>
              </w:rPr>
              <w:t>节能</w:t>
            </w:r>
          </w:p>
          <w:p w14:paraId="1DE957E4">
            <w:pPr>
              <w:tabs>
                <w:tab w:val="left" w:pos="7740"/>
              </w:tabs>
              <w:snapToGrid w:val="0"/>
              <w:spacing w:line="288" w:lineRule="auto"/>
              <w:rPr>
                <w:rFonts w:ascii="宋体" w:hAnsi="宋体"/>
                <w:sz w:val="24"/>
                <w:lang w:val="en-GB"/>
              </w:rPr>
            </w:pPr>
            <w:r>
              <w:rPr>
                <w:rFonts w:hint="eastAsia" w:ascii="宋体" w:hAnsi="宋体"/>
                <w:sz w:val="24"/>
                <w:lang w:val="en-GB"/>
              </w:rPr>
              <w:t>产品</w:t>
            </w:r>
          </w:p>
        </w:tc>
        <w:tc>
          <w:tcPr>
            <w:tcW w:w="1161" w:type="pct"/>
            <w:vAlign w:val="center"/>
          </w:tcPr>
          <w:p w14:paraId="0EEA6DFD">
            <w:pPr>
              <w:tabs>
                <w:tab w:val="left" w:pos="7740"/>
              </w:tabs>
              <w:snapToGrid w:val="0"/>
              <w:spacing w:line="288" w:lineRule="auto"/>
              <w:rPr>
                <w:rFonts w:ascii="宋体" w:hAnsi="宋体"/>
                <w:sz w:val="24"/>
                <w:lang w:val="en-GB"/>
              </w:rPr>
            </w:pPr>
          </w:p>
        </w:tc>
        <w:tc>
          <w:tcPr>
            <w:tcW w:w="885" w:type="pct"/>
            <w:vAlign w:val="center"/>
          </w:tcPr>
          <w:p w14:paraId="21920A76">
            <w:pPr>
              <w:tabs>
                <w:tab w:val="left" w:pos="7740"/>
              </w:tabs>
              <w:snapToGrid w:val="0"/>
              <w:spacing w:line="288" w:lineRule="auto"/>
              <w:rPr>
                <w:rFonts w:ascii="宋体" w:hAnsi="宋体"/>
                <w:sz w:val="24"/>
                <w:lang w:val="en-GB"/>
              </w:rPr>
            </w:pPr>
          </w:p>
        </w:tc>
        <w:tc>
          <w:tcPr>
            <w:tcW w:w="1052" w:type="pct"/>
            <w:vAlign w:val="center"/>
          </w:tcPr>
          <w:p w14:paraId="15AAD69F">
            <w:pPr>
              <w:tabs>
                <w:tab w:val="left" w:pos="7740"/>
              </w:tabs>
              <w:snapToGrid w:val="0"/>
              <w:spacing w:line="288" w:lineRule="auto"/>
              <w:rPr>
                <w:rFonts w:ascii="宋体" w:hAnsi="宋体"/>
                <w:sz w:val="24"/>
                <w:lang w:val="en-GB"/>
              </w:rPr>
            </w:pPr>
          </w:p>
        </w:tc>
        <w:tc>
          <w:tcPr>
            <w:tcW w:w="1369" w:type="pct"/>
            <w:vAlign w:val="center"/>
          </w:tcPr>
          <w:p w14:paraId="3B440917">
            <w:pPr>
              <w:tabs>
                <w:tab w:val="left" w:pos="7740"/>
              </w:tabs>
              <w:snapToGrid w:val="0"/>
              <w:spacing w:line="288" w:lineRule="auto"/>
              <w:rPr>
                <w:rFonts w:ascii="宋体" w:hAnsi="宋体"/>
                <w:sz w:val="24"/>
                <w:lang w:val="en-GB"/>
              </w:rPr>
            </w:pPr>
          </w:p>
        </w:tc>
      </w:tr>
      <w:tr w14:paraId="41C1E5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34" w:type="pct"/>
            <w:vMerge w:val="continue"/>
            <w:vAlign w:val="center"/>
          </w:tcPr>
          <w:p w14:paraId="3B78040B">
            <w:pPr>
              <w:tabs>
                <w:tab w:val="left" w:pos="7740"/>
              </w:tabs>
              <w:snapToGrid w:val="0"/>
              <w:spacing w:line="288" w:lineRule="auto"/>
              <w:rPr>
                <w:rFonts w:ascii="宋体" w:hAnsi="宋体"/>
                <w:sz w:val="24"/>
                <w:lang w:val="en-GB"/>
              </w:rPr>
            </w:pPr>
          </w:p>
        </w:tc>
        <w:tc>
          <w:tcPr>
            <w:tcW w:w="1161" w:type="pct"/>
            <w:vAlign w:val="center"/>
          </w:tcPr>
          <w:p w14:paraId="7C8A010A">
            <w:pPr>
              <w:tabs>
                <w:tab w:val="left" w:pos="7740"/>
              </w:tabs>
              <w:snapToGrid w:val="0"/>
              <w:spacing w:line="288" w:lineRule="auto"/>
              <w:rPr>
                <w:rFonts w:ascii="宋体" w:hAnsi="宋体"/>
                <w:sz w:val="24"/>
                <w:lang w:val="en-GB"/>
              </w:rPr>
            </w:pPr>
          </w:p>
        </w:tc>
        <w:tc>
          <w:tcPr>
            <w:tcW w:w="885" w:type="pct"/>
            <w:vAlign w:val="center"/>
          </w:tcPr>
          <w:p w14:paraId="52D08C5D">
            <w:pPr>
              <w:tabs>
                <w:tab w:val="left" w:pos="7740"/>
              </w:tabs>
              <w:snapToGrid w:val="0"/>
              <w:spacing w:line="288" w:lineRule="auto"/>
              <w:rPr>
                <w:rFonts w:ascii="宋体" w:hAnsi="宋体"/>
                <w:sz w:val="24"/>
                <w:lang w:val="en-GB"/>
              </w:rPr>
            </w:pPr>
          </w:p>
        </w:tc>
        <w:tc>
          <w:tcPr>
            <w:tcW w:w="1052" w:type="pct"/>
            <w:vAlign w:val="center"/>
          </w:tcPr>
          <w:p w14:paraId="703012CC">
            <w:pPr>
              <w:tabs>
                <w:tab w:val="left" w:pos="7740"/>
              </w:tabs>
              <w:snapToGrid w:val="0"/>
              <w:spacing w:line="288" w:lineRule="auto"/>
              <w:rPr>
                <w:rFonts w:ascii="宋体" w:hAnsi="宋体"/>
                <w:sz w:val="24"/>
                <w:lang w:val="en-GB"/>
              </w:rPr>
            </w:pPr>
          </w:p>
        </w:tc>
        <w:tc>
          <w:tcPr>
            <w:tcW w:w="1369" w:type="pct"/>
            <w:vAlign w:val="center"/>
          </w:tcPr>
          <w:p w14:paraId="6458FBE6">
            <w:pPr>
              <w:tabs>
                <w:tab w:val="left" w:pos="7740"/>
              </w:tabs>
              <w:snapToGrid w:val="0"/>
              <w:spacing w:line="288" w:lineRule="auto"/>
              <w:rPr>
                <w:rFonts w:ascii="宋体" w:hAnsi="宋体"/>
                <w:sz w:val="24"/>
                <w:lang w:val="en-GB"/>
              </w:rPr>
            </w:pPr>
          </w:p>
        </w:tc>
      </w:tr>
      <w:tr w14:paraId="35504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3" w:hRule="atLeast"/>
          <w:jc w:val="center"/>
        </w:trPr>
        <w:tc>
          <w:tcPr>
            <w:tcW w:w="534" w:type="pct"/>
            <w:vMerge w:val="continue"/>
            <w:vAlign w:val="center"/>
          </w:tcPr>
          <w:p w14:paraId="30F0E5F5">
            <w:pPr>
              <w:tabs>
                <w:tab w:val="left" w:pos="7740"/>
              </w:tabs>
              <w:snapToGrid w:val="0"/>
              <w:spacing w:line="288" w:lineRule="auto"/>
              <w:rPr>
                <w:rFonts w:ascii="宋体" w:hAnsi="宋体"/>
                <w:sz w:val="24"/>
                <w:lang w:val="en-GB"/>
              </w:rPr>
            </w:pPr>
          </w:p>
        </w:tc>
        <w:tc>
          <w:tcPr>
            <w:tcW w:w="4466" w:type="pct"/>
            <w:gridSpan w:val="4"/>
            <w:vAlign w:val="center"/>
          </w:tcPr>
          <w:p w14:paraId="103045D8">
            <w:pPr>
              <w:tabs>
                <w:tab w:val="left" w:pos="7740"/>
              </w:tabs>
              <w:snapToGrid w:val="0"/>
              <w:spacing w:line="288" w:lineRule="auto"/>
              <w:rPr>
                <w:rFonts w:ascii="宋体" w:hAnsi="宋体"/>
                <w:sz w:val="24"/>
                <w:lang w:val="en-GB"/>
              </w:rPr>
            </w:pPr>
          </w:p>
          <w:p w14:paraId="27E0824E">
            <w:pPr>
              <w:tabs>
                <w:tab w:val="left" w:pos="7740"/>
              </w:tabs>
              <w:snapToGrid w:val="0"/>
              <w:spacing w:line="288" w:lineRule="auto"/>
              <w:rPr>
                <w:rFonts w:ascii="宋体" w:hAnsi="宋体"/>
                <w:sz w:val="24"/>
                <w:u w:val="single"/>
                <w:lang w:val="en-GB"/>
              </w:rPr>
            </w:pPr>
            <w:r>
              <w:rPr>
                <w:rFonts w:hint="eastAsia" w:ascii="宋体" w:hAnsi="宋体"/>
                <w:sz w:val="24"/>
                <w:lang w:val="en-GB"/>
              </w:rPr>
              <w:t xml:space="preserve">节能产品总金额： </w:t>
            </w:r>
            <w:r>
              <w:rPr>
                <w:rFonts w:ascii="宋体" w:hAnsi="宋体"/>
                <w:sz w:val="24"/>
                <w:u w:val="single"/>
                <w:lang w:val="en-GB"/>
              </w:rPr>
              <w:t xml:space="preserve">                      </w:t>
            </w:r>
          </w:p>
          <w:p w14:paraId="6B2853A7">
            <w:pPr>
              <w:tabs>
                <w:tab w:val="left" w:pos="7740"/>
              </w:tabs>
              <w:snapToGrid w:val="0"/>
              <w:spacing w:line="288" w:lineRule="auto"/>
              <w:rPr>
                <w:rFonts w:ascii="宋体" w:hAnsi="宋体"/>
                <w:sz w:val="24"/>
                <w:lang w:val="en-GB"/>
              </w:rPr>
            </w:pPr>
            <w:r>
              <w:rPr>
                <w:rFonts w:ascii="宋体" w:hAnsi="宋体"/>
                <w:sz w:val="24"/>
                <w:lang w:val="en-GB"/>
              </w:rPr>
              <w:t xml:space="preserve">   </w:t>
            </w:r>
            <w:r>
              <w:rPr>
                <w:rFonts w:hint="eastAsia" w:ascii="宋体" w:hAnsi="宋体"/>
                <w:sz w:val="24"/>
                <w:lang w:val="en-GB"/>
              </w:rPr>
              <w:t xml:space="preserve"> </w:t>
            </w:r>
            <w:r>
              <w:rPr>
                <w:rFonts w:ascii="宋体" w:hAnsi="宋体"/>
                <w:sz w:val="24"/>
                <w:lang w:val="en-GB"/>
              </w:rPr>
              <w:t xml:space="preserve"> </w:t>
            </w:r>
          </w:p>
          <w:p w14:paraId="31151802">
            <w:pPr>
              <w:tabs>
                <w:tab w:val="left" w:pos="7740"/>
              </w:tabs>
              <w:snapToGrid w:val="0"/>
              <w:spacing w:line="288" w:lineRule="auto"/>
              <w:rPr>
                <w:rFonts w:ascii="宋体" w:hAnsi="宋体"/>
                <w:sz w:val="24"/>
                <w:lang w:val="en-GB"/>
              </w:rPr>
            </w:pPr>
            <w:r>
              <w:rPr>
                <w:rFonts w:hint="eastAsia" w:ascii="宋体" w:hAnsi="宋体"/>
                <w:sz w:val="24"/>
                <w:lang w:val="en-GB"/>
              </w:rPr>
              <w:t>节能产品金额占总投标报价比重：</w:t>
            </w:r>
            <w:r>
              <w:rPr>
                <w:rFonts w:ascii="宋体" w:hAnsi="宋体"/>
                <w:sz w:val="24"/>
                <w:u w:val="single"/>
                <w:lang w:val="en-GB"/>
              </w:rPr>
              <w:t xml:space="preserve">              </w:t>
            </w:r>
            <w:r>
              <w:rPr>
                <w:rFonts w:ascii="宋体" w:hAnsi="宋体"/>
                <w:sz w:val="24"/>
                <w:lang w:val="en-GB"/>
              </w:rPr>
              <w:t xml:space="preserve"> </w:t>
            </w:r>
            <w:r>
              <w:rPr>
                <w:rFonts w:hint="eastAsia" w:ascii="宋体" w:hAnsi="宋体"/>
                <w:sz w:val="24"/>
                <w:lang w:val="en-GB"/>
              </w:rPr>
              <w:t>%</w:t>
            </w:r>
            <w:r>
              <w:rPr>
                <w:rFonts w:ascii="宋体" w:hAnsi="宋体"/>
                <w:sz w:val="24"/>
                <w:lang w:val="en-GB"/>
              </w:rPr>
              <w:t xml:space="preserve">            </w:t>
            </w:r>
          </w:p>
        </w:tc>
      </w:tr>
      <w:tr w14:paraId="0F1CCC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34" w:type="pct"/>
            <w:vMerge w:val="restart"/>
            <w:vAlign w:val="center"/>
          </w:tcPr>
          <w:p w14:paraId="26E99D8B">
            <w:pPr>
              <w:tabs>
                <w:tab w:val="left" w:pos="7740"/>
              </w:tabs>
              <w:snapToGrid w:val="0"/>
              <w:spacing w:line="288" w:lineRule="auto"/>
              <w:rPr>
                <w:rFonts w:ascii="宋体" w:hAnsi="宋体"/>
                <w:sz w:val="24"/>
                <w:lang w:val="en-GB"/>
              </w:rPr>
            </w:pPr>
            <w:r>
              <w:rPr>
                <w:rFonts w:hint="eastAsia" w:ascii="宋体" w:hAnsi="宋体"/>
                <w:sz w:val="24"/>
                <w:lang w:val="en-GB"/>
              </w:rPr>
              <w:t>环保标志产品</w:t>
            </w:r>
          </w:p>
        </w:tc>
        <w:tc>
          <w:tcPr>
            <w:tcW w:w="1161" w:type="pct"/>
            <w:vAlign w:val="center"/>
          </w:tcPr>
          <w:p w14:paraId="1041E3CA">
            <w:pPr>
              <w:tabs>
                <w:tab w:val="left" w:pos="7740"/>
              </w:tabs>
              <w:snapToGrid w:val="0"/>
              <w:spacing w:line="288" w:lineRule="auto"/>
              <w:jc w:val="center"/>
              <w:rPr>
                <w:rFonts w:ascii="宋体" w:hAnsi="宋体"/>
                <w:sz w:val="24"/>
                <w:lang w:val="en-GB"/>
              </w:rPr>
            </w:pPr>
            <w:r>
              <w:rPr>
                <w:rFonts w:hint="eastAsia" w:ascii="宋体" w:hAnsi="宋体"/>
                <w:sz w:val="24"/>
                <w:lang w:val="en-GB"/>
              </w:rPr>
              <w:t>投标产品</w:t>
            </w:r>
          </w:p>
          <w:p w14:paraId="65261872">
            <w:pPr>
              <w:tabs>
                <w:tab w:val="left" w:pos="7740"/>
              </w:tabs>
              <w:snapToGrid w:val="0"/>
              <w:spacing w:line="288" w:lineRule="auto"/>
              <w:jc w:val="center"/>
              <w:rPr>
                <w:rFonts w:ascii="宋体" w:hAnsi="宋体"/>
                <w:sz w:val="24"/>
                <w:lang w:val="en-GB"/>
              </w:rPr>
            </w:pPr>
            <w:r>
              <w:rPr>
                <w:rFonts w:hint="eastAsia" w:ascii="宋体" w:hAnsi="宋体"/>
                <w:sz w:val="24"/>
                <w:lang w:val="en-GB"/>
              </w:rPr>
              <w:t>（规格型号）</w:t>
            </w:r>
          </w:p>
        </w:tc>
        <w:tc>
          <w:tcPr>
            <w:tcW w:w="885" w:type="pct"/>
            <w:vAlign w:val="center"/>
          </w:tcPr>
          <w:p w14:paraId="7294FF1F">
            <w:pPr>
              <w:tabs>
                <w:tab w:val="left" w:pos="7740"/>
              </w:tabs>
              <w:snapToGrid w:val="0"/>
              <w:spacing w:line="288" w:lineRule="auto"/>
              <w:jc w:val="center"/>
              <w:rPr>
                <w:rFonts w:ascii="宋体" w:hAnsi="宋体"/>
                <w:sz w:val="24"/>
                <w:lang w:val="en-GB"/>
              </w:rPr>
            </w:pPr>
            <w:r>
              <w:rPr>
                <w:rFonts w:hint="eastAsia" w:ascii="宋体" w:hAnsi="宋体"/>
                <w:sz w:val="24"/>
                <w:lang w:val="en-GB"/>
              </w:rPr>
              <w:t>生产者</w:t>
            </w:r>
          </w:p>
          <w:p w14:paraId="6BF8F00E">
            <w:pPr>
              <w:tabs>
                <w:tab w:val="left" w:pos="7740"/>
              </w:tabs>
              <w:snapToGrid w:val="0"/>
              <w:spacing w:line="288" w:lineRule="auto"/>
              <w:jc w:val="center"/>
              <w:rPr>
                <w:rFonts w:ascii="宋体" w:hAnsi="宋体"/>
                <w:sz w:val="24"/>
                <w:lang w:val="en-GB"/>
              </w:rPr>
            </w:pPr>
            <w:r>
              <w:rPr>
                <w:rFonts w:hint="eastAsia" w:ascii="宋体" w:hAnsi="宋体"/>
                <w:sz w:val="24"/>
                <w:lang w:val="en-GB"/>
              </w:rPr>
              <w:t>（制造商）</w:t>
            </w:r>
          </w:p>
        </w:tc>
        <w:tc>
          <w:tcPr>
            <w:tcW w:w="1052" w:type="pct"/>
            <w:vAlign w:val="center"/>
          </w:tcPr>
          <w:p w14:paraId="1ACF0F5C">
            <w:pPr>
              <w:tabs>
                <w:tab w:val="left" w:pos="7740"/>
              </w:tabs>
              <w:snapToGrid w:val="0"/>
              <w:spacing w:line="288" w:lineRule="auto"/>
              <w:jc w:val="center"/>
              <w:rPr>
                <w:rFonts w:ascii="宋体" w:hAnsi="宋体"/>
                <w:sz w:val="24"/>
                <w:lang w:val="en-GB"/>
              </w:rPr>
            </w:pPr>
            <w:r>
              <w:rPr>
                <w:rFonts w:ascii="宋体" w:hAnsi="宋体"/>
                <w:sz w:val="24"/>
                <w:lang w:val="en-GB"/>
              </w:rPr>
              <w:t>证书编号</w:t>
            </w:r>
          </w:p>
        </w:tc>
        <w:tc>
          <w:tcPr>
            <w:tcW w:w="1369" w:type="pct"/>
            <w:tcBorders>
              <w:top w:val="single" w:color="auto" w:sz="4" w:space="0"/>
            </w:tcBorders>
            <w:vAlign w:val="center"/>
          </w:tcPr>
          <w:p w14:paraId="14358EA0">
            <w:pPr>
              <w:tabs>
                <w:tab w:val="left" w:pos="7740"/>
              </w:tabs>
              <w:snapToGrid w:val="0"/>
              <w:spacing w:line="288" w:lineRule="auto"/>
              <w:jc w:val="center"/>
              <w:rPr>
                <w:rFonts w:ascii="宋体" w:hAnsi="宋体"/>
                <w:sz w:val="24"/>
                <w:lang w:val="en-GB"/>
              </w:rPr>
            </w:pPr>
            <w:r>
              <w:rPr>
                <w:rFonts w:hint="eastAsia" w:ascii="宋体" w:hAnsi="宋体"/>
                <w:sz w:val="24"/>
                <w:lang w:val="en-GB"/>
              </w:rPr>
              <w:t>所投环保标志产品金额</w:t>
            </w:r>
          </w:p>
        </w:tc>
      </w:tr>
      <w:tr w14:paraId="6FE683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34" w:type="pct"/>
            <w:vMerge w:val="continue"/>
            <w:vAlign w:val="center"/>
          </w:tcPr>
          <w:p w14:paraId="6C32DCFE">
            <w:pPr>
              <w:tabs>
                <w:tab w:val="left" w:pos="7740"/>
              </w:tabs>
              <w:snapToGrid w:val="0"/>
              <w:spacing w:line="288" w:lineRule="auto"/>
              <w:rPr>
                <w:rFonts w:ascii="宋体" w:hAnsi="宋体"/>
                <w:sz w:val="24"/>
                <w:lang w:val="en-GB"/>
              </w:rPr>
            </w:pPr>
          </w:p>
        </w:tc>
        <w:tc>
          <w:tcPr>
            <w:tcW w:w="1161" w:type="pct"/>
            <w:vAlign w:val="center"/>
          </w:tcPr>
          <w:p w14:paraId="06640512">
            <w:pPr>
              <w:tabs>
                <w:tab w:val="left" w:pos="7740"/>
              </w:tabs>
              <w:snapToGrid w:val="0"/>
              <w:spacing w:line="288" w:lineRule="auto"/>
              <w:rPr>
                <w:rFonts w:ascii="宋体" w:hAnsi="宋体"/>
                <w:sz w:val="24"/>
                <w:lang w:val="en-GB"/>
              </w:rPr>
            </w:pPr>
          </w:p>
        </w:tc>
        <w:tc>
          <w:tcPr>
            <w:tcW w:w="885" w:type="pct"/>
            <w:vAlign w:val="center"/>
          </w:tcPr>
          <w:p w14:paraId="5711D935">
            <w:pPr>
              <w:tabs>
                <w:tab w:val="left" w:pos="7740"/>
              </w:tabs>
              <w:snapToGrid w:val="0"/>
              <w:spacing w:line="288" w:lineRule="auto"/>
              <w:rPr>
                <w:rFonts w:ascii="宋体" w:hAnsi="宋体"/>
                <w:bCs/>
                <w:sz w:val="24"/>
                <w:lang w:val="en-GB"/>
              </w:rPr>
            </w:pPr>
          </w:p>
        </w:tc>
        <w:tc>
          <w:tcPr>
            <w:tcW w:w="1052" w:type="pct"/>
            <w:vAlign w:val="center"/>
          </w:tcPr>
          <w:p w14:paraId="4DD8C5B1">
            <w:pPr>
              <w:tabs>
                <w:tab w:val="left" w:pos="7740"/>
              </w:tabs>
              <w:snapToGrid w:val="0"/>
              <w:spacing w:line="288" w:lineRule="auto"/>
              <w:rPr>
                <w:rFonts w:ascii="宋体" w:hAnsi="宋体"/>
                <w:bCs/>
                <w:sz w:val="24"/>
                <w:lang w:val="en-GB"/>
              </w:rPr>
            </w:pPr>
          </w:p>
        </w:tc>
        <w:tc>
          <w:tcPr>
            <w:tcW w:w="1369" w:type="pct"/>
            <w:tcBorders>
              <w:top w:val="single" w:color="auto" w:sz="4" w:space="0"/>
            </w:tcBorders>
            <w:vAlign w:val="center"/>
          </w:tcPr>
          <w:p w14:paraId="0E6BF1E0">
            <w:pPr>
              <w:tabs>
                <w:tab w:val="left" w:pos="7740"/>
              </w:tabs>
              <w:snapToGrid w:val="0"/>
              <w:spacing w:line="288" w:lineRule="auto"/>
              <w:rPr>
                <w:rFonts w:ascii="宋体" w:hAnsi="宋体"/>
                <w:bCs/>
                <w:sz w:val="24"/>
                <w:lang w:val="en-GB"/>
              </w:rPr>
            </w:pPr>
          </w:p>
        </w:tc>
      </w:tr>
      <w:tr w14:paraId="58D07E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34" w:type="pct"/>
            <w:vMerge w:val="continue"/>
            <w:vAlign w:val="center"/>
          </w:tcPr>
          <w:p w14:paraId="1BDA807B">
            <w:pPr>
              <w:tabs>
                <w:tab w:val="left" w:pos="7740"/>
              </w:tabs>
              <w:snapToGrid w:val="0"/>
              <w:spacing w:line="288" w:lineRule="auto"/>
              <w:rPr>
                <w:rFonts w:ascii="宋体" w:hAnsi="宋体"/>
                <w:sz w:val="24"/>
                <w:lang w:val="en-GB"/>
              </w:rPr>
            </w:pPr>
          </w:p>
        </w:tc>
        <w:tc>
          <w:tcPr>
            <w:tcW w:w="1161" w:type="pct"/>
            <w:vAlign w:val="center"/>
          </w:tcPr>
          <w:p w14:paraId="2A8D49D9">
            <w:pPr>
              <w:tabs>
                <w:tab w:val="left" w:pos="7740"/>
              </w:tabs>
              <w:snapToGrid w:val="0"/>
              <w:spacing w:line="288" w:lineRule="auto"/>
              <w:rPr>
                <w:rFonts w:ascii="宋体" w:hAnsi="宋体"/>
                <w:sz w:val="24"/>
                <w:lang w:val="en-GB"/>
              </w:rPr>
            </w:pPr>
          </w:p>
        </w:tc>
        <w:tc>
          <w:tcPr>
            <w:tcW w:w="885" w:type="pct"/>
            <w:vAlign w:val="center"/>
          </w:tcPr>
          <w:p w14:paraId="58F748F4">
            <w:pPr>
              <w:tabs>
                <w:tab w:val="left" w:pos="7740"/>
              </w:tabs>
              <w:snapToGrid w:val="0"/>
              <w:spacing w:line="288" w:lineRule="auto"/>
              <w:rPr>
                <w:rFonts w:ascii="宋体" w:hAnsi="宋体"/>
                <w:bCs/>
                <w:sz w:val="24"/>
                <w:lang w:val="en-GB"/>
              </w:rPr>
            </w:pPr>
          </w:p>
        </w:tc>
        <w:tc>
          <w:tcPr>
            <w:tcW w:w="1052" w:type="pct"/>
            <w:vAlign w:val="center"/>
          </w:tcPr>
          <w:p w14:paraId="65E688C5">
            <w:pPr>
              <w:tabs>
                <w:tab w:val="left" w:pos="7740"/>
              </w:tabs>
              <w:snapToGrid w:val="0"/>
              <w:spacing w:line="288" w:lineRule="auto"/>
              <w:rPr>
                <w:rFonts w:ascii="宋体" w:hAnsi="宋体"/>
                <w:bCs/>
                <w:sz w:val="24"/>
                <w:lang w:val="en-GB"/>
              </w:rPr>
            </w:pPr>
          </w:p>
        </w:tc>
        <w:tc>
          <w:tcPr>
            <w:tcW w:w="1369" w:type="pct"/>
            <w:vAlign w:val="center"/>
          </w:tcPr>
          <w:p w14:paraId="4ADACB0D">
            <w:pPr>
              <w:tabs>
                <w:tab w:val="left" w:pos="7740"/>
              </w:tabs>
              <w:snapToGrid w:val="0"/>
              <w:spacing w:line="288" w:lineRule="auto"/>
              <w:rPr>
                <w:rFonts w:ascii="宋体" w:hAnsi="宋体"/>
                <w:bCs/>
                <w:sz w:val="24"/>
                <w:lang w:val="en-GB"/>
              </w:rPr>
            </w:pPr>
          </w:p>
        </w:tc>
      </w:tr>
      <w:tr w14:paraId="5A2FB4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2" w:hRule="atLeast"/>
          <w:jc w:val="center"/>
        </w:trPr>
        <w:tc>
          <w:tcPr>
            <w:tcW w:w="534" w:type="pct"/>
            <w:vMerge w:val="continue"/>
            <w:tcBorders>
              <w:bottom w:val="single" w:color="auto" w:sz="12" w:space="0"/>
            </w:tcBorders>
            <w:vAlign w:val="center"/>
          </w:tcPr>
          <w:p w14:paraId="485FAEA7">
            <w:pPr>
              <w:tabs>
                <w:tab w:val="left" w:pos="7740"/>
              </w:tabs>
              <w:snapToGrid w:val="0"/>
              <w:spacing w:line="288" w:lineRule="auto"/>
              <w:rPr>
                <w:rFonts w:ascii="宋体" w:hAnsi="宋体"/>
                <w:sz w:val="24"/>
                <w:lang w:val="en-GB"/>
              </w:rPr>
            </w:pPr>
          </w:p>
        </w:tc>
        <w:tc>
          <w:tcPr>
            <w:tcW w:w="4466" w:type="pct"/>
            <w:gridSpan w:val="4"/>
            <w:tcBorders>
              <w:bottom w:val="single" w:color="auto" w:sz="12" w:space="0"/>
            </w:tcBorders>
            <w:vAlign w:val="center"/>
          </w:tcPr>
          <w:p w14:paraId="57DD3791">
            <w:pPr>
              <w:tabs>
                <w:tab w:val="left" w:pos="7740"/>
              </w:tabs>
              <w:snapToGrid w:val="0"/>
              <w:spacing w:line="288" w:lineRule="auto"/>
              <w:rPr>
                <w:rFonts w:ascii="宋体" w:hAnsi="宋体"/>
                <w:sz w:val="24"/>
                <w:lang w:val="en-GB"/>
              </w:rPr>
            </w:pPr>
          </w:p>
          <w:p w14:paraId="25D9E258">
            <w:pPr>
              <w:tabs>
                <w:tab w:val="left" w:pos="7740"/>
              </w:tabs>
              <w:snapToGrid w:val="0"/>
              <w:spacing w:line="288" w:lineRule="auto"/>
              <w:rPr>
                <w:rFonts w:ascii="宋体" w:hAnsi="宋体"/>
                <w:sz w:val="24"/>
                <w:u w:val="single"/>
                <w:lang w:val="en-GB"/>
              </w:rPr>
            </w:pPr>
            <w:r>
              <w:rPr>
                <w:rFonts w:hint="eastAsia" w:ascii="宋体" w:hAnsi="宋体"/>
                <w:sz w:val="24"/>
                <w:lang w:val="en-GB"/>
              </w:rPr>
              <w:t xml:space="preserve">环保标志产品总金额： </w:t>
            </w:r>
            <w:r>
              <w:rPr>
                <w:rFonts w:ascii="宋体" w:hAnsi="宋体"/>
                <w:sz w:val="24"/>
                <w:u w:val="single"/>
                <w:lang w:val="en-GB"/>
              </w:rPr>
              <w:t xml:space="preserve">                      </w:t>
            </w:r>
          </w:p>
          <w:p w14:paraId="48C0F920">
            <w:pPr>
              <w:tabs>
                <w:tab w:val="left" w:pos="7740"/>
              </w:tabs>
              <w:snapToGrid w:val="0"/>
              <w:spacing w:line="288" w:lineRule="auto"/>
              <w:rPr>
                <w:rFonts w:ascii="宋体" w:hAnsi="宋体"/>
                <w:sz w:val="24"/>
                <w:lang w:val="en-GB"/>
              </w:rPr>
            </w:pPr>
            <w:r>
              <w:rPr>
                <w:rFonts w:ascii="宋体" w:hAnsi="宋体"/>
                <w:sz w:val="24"/>
                <w:lang w:val="en-GB"/>
              </w:rPr>
              <w:t xml:space="preserve">   </w:t>
            </w:r>
            <w:r>
              <w:rPr>
                <w:rFonts w:hint="eastAsia" w:ascii="宋体" w:hAnsi="宋体"/>
                <w:sz w:val="24"/>
                <w:lang w:val="en-GB"/>
              </w:rPr>
              <w:t xml:space="preserve"> </w:t>
            </w:r>
            <w:r>
              <w:rPr>
                <w:rFonts w:ascii="宋体" w:hAnsi="宋体"/>
                <w:sz w:val="24"/>
                <w:lang w:val="en-GB"/>
              </w:rPr>
              <w:t xml:space="preserve"> </w:t>
            </w:r>
          </w:p>
          <w:p w14:paraId="39CFEDC8">
            <w:pPr>
              <w:tabs>
                <w:tab w:val="left" w:pos="7740"/>
              </w:tabs>
              <w:snapToGrid w:val="0"/>
              <w:spacing w:line="288" w:lineRule="auto"/>
              <w:rPr>
                <w:rFonts w:ascii="宋体" w:hAnsi="宋体"/>
                <w:sz w:val="24"/>
                <w:lang w:val="en-GB"/>
              </w:rPr>
            </w:pPr>
            <w:r>
              <w:rPr>
                <w:rFonts w:hint="eastAsia" w:ascii="宋体" w:hAnsi="宋体"/>
                <w:sz w:val="24"/>
                <w:lang w:val="en-GB"/>
              </w:rPr>
              <w:t>环保标志产品占总投标报价比重：</w:t>
            </w:r>
            <w:r>
              <w:rPr>
                <w:rFonts w:ascii="宋体" w:hAnsi="宋体"/>
                <w:sz w:val="24"/>
                <w:u w:val="single"/>
                <w:lang w:val="en-GB"/>
              </w:rPr>
              <w:t xml:space="preserve">              </w:t>
            </w:r>
            <w:r>
              <w:rPr>
                <w:rFonts w:ascii="宋体" w:hAnsi="宋体"/>
                <w:sz w:val="24"/>
                <w:lang w:val="en-GB"/>
              </w:rPr>
              <w:t xml:space="preserve"> </w:t>
            </w:r>
            <w:r>
              <w:rPr>
                <w:rFonts w:hint="eastAsia" w:ascii="宋体" w:hAnsi="宋体"/>
                <w:sz w:val="24"/>
                <w:lang w:val="en-GB"/>
              </w:rPr>
              <w:t>%</w:t>
            </w:r>
            <w:r>
              <w:rPr>
                <w:rFonts w:ascii="宋体" w:hAnsi="宋体"/>
                <w:sz w:val="24"/>
                <w:lang w:val="en-GB"/>
              </w:rPr>
              <w:t xml:space="preserve">            </w:t>
            </w:r>
          </w:p>
        </w:tc>
      </w:tr>
    </w:tbl>
    <w:p w14:paraId="03820665">
      <w:pPr>
        <w:tabs>
          <w:tab w:val="left" w:pos="7740"/>
        </w:tabs>
        <w:snapToGrid w:val="0"/>
        <w:spacing w:line="360" w:lineRule="auto"/>
        <w:rPr>
          <w:rFonts w:ascii="宋体" w:hAnsi="宋体"/>
          <w:bCs/>
          <w:sz w:val="24"/>
          <w:lang w:val="en-GB"/>
        </w:rPr>
      </w:pPr>
      <w:r>
        <w:rPr>
          <w:rFonts w:hint="eastAsia" w:ascii="宋体" w:hAnsi="宋体"/>
          <w:bCs/>
          <w:sz w:val="24"/>
          <w:lang w:val="en-GB"/>
        </w:rPr>
        <w:t>说明：</w:t>
      </w:r>
    </w:p>
    <w:p w14:paraId="2D407F97">
      <w:pPr>
        <w:numPr>
          <w:ilvl w:val="2"/>
          <w:numId w:val="83"/>
        </w:numPr>
        <w:tabs>
          <w:tab w:val="left" w:pos="7740"/>
        </w:tabs>
        <w:snapToGrid w:val="0"/>
        <w:spacing w:line="360" w:lineRule="auto"/>
        <w:rPr>
          <w:rFonts w:ascii="宋体" w:hAnsi="宋体"/>
          <w:bCs/>
          <w:sz w:val="24"/>
        </w:rPr>
      </w:pPr>
      <w:r>
        <w:rPr>
          <w:rFonts w:hint="eastAsia" w:ascii="宋体" w:hAnsi="宋体"/>
          <w:bCs/>
          <w:sz w:val="24"/>
        </w:rPr>
        <w:t>属于品目清单范围内的节能或环境标志产品，应当提供国家确定的认证机构出具的、处于有效期之内的节能产品或环境标志产品认证证书复印件，并加盖投标人公章。</w:t>
      </w:r>
    </w:p>
    <w:p w14:paraId="72747A1C">
      <w:pPr>
        <w:numPr>
          <w:ilvl w:val="2"/>
          <w:numId w:val="83"/>
        </w:numPr>
        <w:tabs>
          <w:tab w:val="left" w:pos="7740"/>
        </w:tabs>
        <w:snapToGrid w:val="0"/>
        <w:spacing w:line="360" w:lineRule="auto"/>
        <w:rPr>
          <w:rFonts w:ascii="宋体" w:hAnsi="宋体"/>
          <w:sz w:val="24"/>
        </w:rPr>
      </w:pPr>
      <w:r>
        <w:rPr>
          <w:rFonts w:hint="eastAsia" w:ascii="宋体" w:hAnsi="宋体"/>
          <w:bCs/>
          <w:sz w:val="24"/>
        </w:rPr>
        <w:t>未提供产品认证证书不予价格扣除。</w:t>
      </w:r>
    </w:p>
    <w:p w14:paraId="75D4A836">
      <w:pPr>
        <w:tabs>
          <w:tab w:val="left" w:pos="426"/>
        </w:tabs>
        <w:snapToGrid w:val="0"/>
        <w:spacing w:line="360" w:lineRule="auto"/>
        <w:rPr>
          <w:sz w:val="24"/>
        </w:rPr>
      </w:pPr>
    </w:p>
    <w:p w14:paraId="50E3EBF5">
      <w:pPr>
        <w:spacing w:line="500" w:lineRule="exact"/>
        <w:rPr>
          <w:spacing w:val="4"/>
          <w:sz w:val="24"/>
        </w:rPr>
      </w:pPr>
    </w:p>
    <w:p w14:paraId="10C2DE0E">
      <w:pPr>
        <w:spacing w:line="500" w:lineRule="exact"/>
        <w:rPr>
          <w:rFonts w:ascii="宋体" w:hAnsi="宋体"/>
          <w:sz w:val="24"/>
          <w:u w:val="single"/>
        </w:rPr>
      </w:pPr>
      <w:r>
        <w:rPr>
          <w:rFonts w:hint="eastAsia"/>
          <w:spacing w:val="4"/>
          <w:sz w:val="24"/>
        </w:rPr>
        <w:t>投标人名称（</w:t>
      </w:r>
      <w:r>
        <w:rPr>
          <w:rFonts w:hint="eastAsia" w:ascii="宋体" w:hAnsi="宋体"/>
          <w:sz w:val="24"/>
        </w:rPr>
        <w:t>单位盖</w:t>
      </w:r>
      <w:r>
        <w:rPr>
          <w:rFonts w:hint="eastAsia"/>
          <w:spacing w:val="4"/>
          <w:sz w:val="24"/>
        </w:rPr>
        <w:t>公章）：</w:t>
      </w:r>
    </w:p>
    <w:p w14:paraId="4B6E452A">
      <w:pPr>
        <w:spacing w:line="520" w:lineRule="exact"/>
        <w:rPr>
          <w:spacing w:val="4"/>
          <w:sz w:val="24"/>
        </w:rPr>
      </w:pPr>
      <w:r>
        <w:rPr>
          <w:rFonts w:hint="eastAsia"/>
          <w:spacing w:val="4"/>
          <w:sz w:val="24"/>
        </w:rPr>
        <w:t>日期：</w:t>
      </w:r>
    </w:p>
    <w:p w14:paraId="71BA013A">
      <w:pPr>
        <w:widowControl/>
        <w:jc w:val="left"/>
        <w:rPr>
          <w:spacing w:val="4"/>
          <w:sz w:val="24"/>
        </w:rPr>
      </w:pPr>
      <w:r>
        <w:rPr>
          <w:spacing w:val="4"/>
          <w:sz w:val="24"/>
        </w:rPr>
        <w:br w:type="page"/>
      </w:r>
    </w:p>
    <w:p w14:paraId="474382E2">
      <w:pPr>
        <w:tabs>
          <w:tab w:val="left" w:pos="426"/>
        </w:tabs>
        <w:autoSpaceDE w:val="0"/>
        <w:autoSpaceDN w:val="0"/>
        <w:spacing w:line="360" w:lineRule="auto"/>
        <w:jc w:val="center"/>
        <w:outlineLvl w:val="3"/>
        <w:rPr>
          <w:rFonts w:ascii="黑体" w:hAnsi="黑体" w:eastAsia="黑体"/>
          <w:sz w:val="32"/>
          <w:szCs w:val="32"/>
        </w:rPr>
      </w:pPr>
      <w:bookmarkStart w:id="91" w:name="_Toc275865606"/>
      <w:bookmarkStart w:id="92" w:name="_Toc435514855"/>
      <w:bookmarkStart w:id="93" w:name="_Toc435515295"/>
      <w:bookmarkStart w:id="94" w:name="_Toc435515294"/>
      <w:bookmarkStart w:id="95" w:name="_Toc275865605"/>
      <w:bookmarkStart w:id="96" w:name="_Toc435514854"/>
      <w:r>
        <w:rPr>
          <w:rFonts w:hint="eastAsia" w:ascii="黑体" w:hAnsi="黑体" w:eastAsia="黑体"/>
          <w:sz w:val="32"/>
          <w:szCs w:val="32"/>
        </w:rPr>
        <w:t>投标人资格声明函</w:t>
      </w:r>
      <w:bookmarkEnd w:id="91"/>
      <w:bookmarkEnd w:id="92"/>
      <w:bookmarkEnd w:id="93"/>
    </w:p>
    <w:p w14:paraId="17D779E4">
      <w:pPr>
        <w:snapToGrid w:val="0"/>
        <w:spacing w:line="360" w:lineRule="auto"/>
        <w:rPr>
          <w:b/>
          <w:sz w:val="24"/>
        </w:rPr>
      </w:pPr>
      <w:r>
        <w:rPr>
          <w:rFonts w:hint="eastAsia"/>
          <w:b/>
          <w:sz w:val="24"/>
        </w:rPr>
        <w:t>佛山采联采购招标有限公司：</w:t>
      </w:r>
    </w:p>
    <w:p w14:paraId="3363E2CC">
      <w:pPr>
        <w:snapToGrid w:val="0"/>
        <w:spacing w:line="360" w:lineRule="auto"/>
        <w:ind w:firstLine="484" w:firstLineChars="202"/>
        <w:rPr>
          <w:rFonts w:ascii="宋体" w:hAnsi="宋体"/>
          <w:sz w:val="24"/>
        </w:rPr>
      </w:pPr>
      <w:r>
        <w:rPr>
          <w:rFonts w:hint="eastAsia" w:ascii="宋体" w:hAnsi="宋体"/>
          <w:sz w:val="24"/>
        </w:rPr>
        <w:t>关于贵公司</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日发布</w:t>
      </w:r>
      <w:r>
        <w:rPr>
          <w:rFonts w:hint="eastAsia" w:ascii="宋体" w:hAnsi="宋体"/>
          <w:sz w:val="24"/>
          <w:u w:val="single"/>
        </w:rPr>
        <w:t xml:space="preserve">  </w:t>
      </w:r>
      <w:r>
        <w:rPr>
          <w:rFonts w:hint="eastAsia" w:ascii="宋体" w:hAnsi="宋体"/>
          <w:sz w:val="24"/>
          <w:u w:val="single"/>
          <w:lang w:eastAsia="zh-CN"/>
        </w:rPr>
        <w:t>中华人民共和国佛山出入境边防检查站2026年度节日慰问品采购项目</w:t>
      </w:r>
      <w:r>
        <w:rPr>
          <w:rFonts w:hint="eastAsia" w:ascii="宋体" w:hAnsi="宋体"/>
          <w:sz w:val="24"/>
        </w:rPr>
        <w:t>（项目编号：</w:t>
      </w:r>
      <w:r>
        <w:rPr>
          <w:rFonts w:hint="eastAsia" w:ascii="宋体" w:hAnsi="宋体"/>
          <w:sz w:val="24"/>
          <w:lang w:eastAsia="zh-CN"/>
        </w:rPr>
        <w:t>CLZ0126FS00QY05</w:t>
      </w:r>
      <w:r>
        <w:rPr>
          <w:rFonts w:hint="eastAsia" w:ascii="宋体" w:hAnsi="宋体"/>
          <w:sz w:val="24"/>
        </w:rPr>
        <w:t>）的采购公告，本单位愿意参加投标，并声明：</w:t>
      </w:r>
    </w:p>
    <w:p w14:paraId="7AF872A2">
      <w:pPr>
        <w:numPr>
          <w:ilvl w:val="0"/>
          <w:numId w:val="84"/>
        </w:numPr>
        <w:tabs>
          <w:tab w:val="left" w:pos="851"/>
          <w:tab w:val="left" w:pos="993"/>
        </w:tabs>
        <w:snapToGrid w:val="0"/>
        <w:spacing w:line="360" w:lineRule="auto"/>
        <w:rPr>
          <w:rFonts w:ascii="宋体" w:hAnsi="宋体"/>
          <w:bCs/>
          <w:sz w:val="24"/>
        </w:rPr>
      </w:pPr>
      <w:r>
        <w:rPr>
          <w:rFonts w:hint="eastAsia" w:ascii="宋体" w:hAnsi="宋体"/>
          <w:sz w:val="24"/>
        </w:rPr>
        <w:t>本单位</w:t>
      </w:r>
      <w:r>
        <w:rPr>
          <w:rFonts w:hint="eastAsia" w:ascii="宋体" w:hAnsi="宋体"/>
          <w:bCs/>
          <w:sz w:val="24"/>
        </w:rPr>
        <w:t>具备以下条件：</w:t>
      </w:r>
    </w:p>
    <w:p w14:paraId="51D23D9D">
      <w:pPr>
        <w:widowControl/>
        <w:numPr>
          <w:ilvl w:val="0"/>
          <w:numId w:val="85"/>
        </w:numPr>
        <w:snapToGrid w:val="0"/>
        <w:spacing w:line="360" w:lineRule="auto"/>
        <w:rPr>
          <w:rFonts w:ascii="宋体" w:hAnsi="宋体" w:cs="宋体"/>
          <w:sz w:val="24"/>
        </w:rPr>
      </w:pPr>
      <w:r>
        <w:rPr>
          <w:rFonts w:hint="eastAsia" w:ascii="宋体" w:hAnsi="宋体" w:cs="宋体"/>
          <w:sz w:val="24"/>
        </w:rPr>
        <w:t>具有履行合同所必需的设备和专业技术能力；</w:t>
      </w:r>
    </w:p>
    <w:p w14:paraId="29D67164">
      <w:pPr>
        <w:widowControl/>
        <w:numPr>
          <w:ilvl w:val="0"/>
          <w:numId w:val="85"/>
        </w:numPr>
        <w:snapToGrid w:val="0"/>
        <w:spacing w:line="360" w:lineRule="auto"/>
        <w:rPr>
          <w:rFonts w:ascii="宋体" w:hAnsi="宋体" w:cs="宋体"/>
          <w:sz w:val="24"/>
        </w:rPr>
      </w:pPr>
      <w:r>
        <w:rPr>
          <w:rFonts w:hint="eastAsia" w:ascii="宋体" w:hAnsi="宋体" w:cs="宋体"/>
          <w:bCs/>
          <w:sz w:val="24"/>
        </w:rPr>
        <w:t>本单位（如前三年内有名称变更的，含变更前名称）</w:t>
      </w:r>
      <w:r>
        <w:rPr>
          <w:rFonts w:hint="eastAsia" w:ascii="宋体" w:hAnsi="宋体" w:cs="宋体"/>
          <w:sz w:val="24"/>
        </w:rPr>
        <w:t>参加政府采购活动前三年内，在经营活动中没有重大违法记录</w:t>
      </w:r>
      <w:r>
        <w:rPr>
          <w:rFonts w:hint="eastAsia" w:ascii="宋体" w:hAnsi="宋体" w:cs="宋体"/>
          <w:bCs/>
          <w:sz w:val="24"/>
        </w:rPr>
        <w:t>（重大违法记录是指因违法经营受到刑事处罚或责令停产停业、吊销许可证或者执照、较大数额罚款等行政处罚。</w:t>
      </w:r>
      <w:r>
        <w:rPr>
          <w:rFonts w:hint="eastAsia" w:ascii="宋体" w:hAnsi="宋体"/>
          <w:kern w:val="2"/>
          <w:sz w:val="24"/>
          <w:szCs w:val="21"/>
        </w:rPr>
        <w:t>根据财库〔2022〕3号文，“较大数额罚款”认定为200万元以上的罚款，法律、行政法规以及国务院有关部门明确规定相关领域“较大数额罚款”标准高于200万元的，从其规定</w:t>
      </w:r>
      <w:r>
        <w:rPr>
          <w:rFonts w:hint="eastAsia" w:ascii="宋体" w:hAnsi="宋体" w:cs="宋体"/>
          <w:bCs/>
          <w:sz w:val="24"/>
        </w:rPr>
        <w:t>）</w:t>
      </w:r>
      <w:r>
        <w:rPr>
          <w:rFonts w:hint="eastAsia" w:ascii="宋体" w:hAnsi="宋体" w:cs="宋体"/>
          <w:sz w:val="24"/>
        </w:rPr>
        <w:t>；</w:t>
      </w:r>
    </w:p>
    <w:p w14:paraId="3AB41407">
      <w:pPr>
        <w:widowControl/>
        <w:numPr>
          <w:ilvl w:val="0"/>
          <w:numId w:val="85"/>
        </w:numPr>
        <w:snapToGrid w:val="0"/>
        <w:spacing w:line="360" w:lineRule="auto"/>
        <w:rPr>
          <w:rFonts w:ascii="宋体" w:hAnsi="宋体" w:cs="宋体"/>
          <w:sz w:val="24"/>
        </w:rPr>
      </w:pPr>
      <w:r>
        <w:rPr>
          <w:rFonts w:hint="eastAsia" w:ascii="宋体" w:hAnsi="宋体" w:cs="宋体"/>
          <w:sz w:val="24"/>
        </w:rPr>
        <w:t>法律、行政法规规定的其他条件。</w:t>
      </w:r>
    </w:p>
    <w:p w14:paraId="3AA3AA06">
      <w:pPr>
        <w:numPr>
          <w:ilvl w:val="0"/>
          <w:numId w:val="84"/>
        </w:numPr>
        <w:tabs>
          <w:tab w:val="left" w:pos="993"/>
        </w:tabs>
        <w:snapToGrid w:val="0"/>
        <w:spacing w:line="360" w:lineRule="auto"/>
        <w:ind w:left="0" w:firstLine="426"/>
        <w:rPr>
          <w:rFonts w:ascii="宋体" w:hAnsi="宋体"/>
          <w:bCs/>
          <w:sz w:val="24"/>
        </w:rPr>
      </w:pPr>
      <w:r>
        <w:rPr>
          <w:rFonts w:hint="eastAsia" w:ascii="宋体" w:hAnsi="宋体"/>
          <w:bCs/>
          <w:sz w:val="24"/>
        </w:rPr>
        <w:t>本单位没有为采购项目提供整体设计、规范编制或者项目管理、监理、检测等服务。</w:t>
      </w:r>
    </w:p>
    <w:p w14:paraId="13174DEB">
      <w:pPr>
        <w:numPr>
          <w:ilvl w:val="0"/>
          <w:numId w:val="84"/>
        </w:numPr>
        <w:tabs>
          <w:tab w:val="left" w:pos="993"/>
        </w:tabs>
        <w:snapToGrid w:val="0"/>
        <w:spacing w:line="360" w:lineRule="auto"/>
        <w:ind w:left="0" w:firstLine="426"/>
        <w:rPr>
          <w:rFonts w:ascii="宋体" w:hAnsi="宋体"/>
          <w:bCs/>
          <w:sz w:val="24"/>
        </w:rPr>
      </w:pPr>
      <w:r>
        <w:rPr>
          <w:rFonts w:hint="eastAsia" w:ascii="宋体" w:hAnsi="宋体"/>
          <w:bCs/>
          <w:sz w:val="24"/>
        </w:rPr>
        <w:t>我方承诺如与本项目同一合同项下其他投标人的单位负责人为同一人或者存在直接控股、管理关系的情形，同意按投标无效处理。</w:t>
      </w:r>
    </w:p>
    <w:p w14:paraId="3D722356">
      <w:pPr>
        <w:snapToGrid w:val="0"/>
        <w:spacing w:line="360" w:lineRule="auto"/>
        <w:ind w:firstLine="484" w:firstLineChars="202"/>
        <w:rPr>
          <w:rFonts w:ascii="宋体" w:hAnsi="宋体"/>
          <w:sz w:val="24"/>
        </w:rPr>
      </w:pPr>
      <w:r>
        <w:rPr>
          <w:rFonts w:hint="eastAsia" w:ascii="宋体" w:hAnsi="宋体"/>
          <w:sz w:val="24"/>
        </w:rPr>
        <w:t>本单位承诺在本次招标采购活动中，如有违法、违规、弄虚作假行为，所造成的损失、不良后果及法律责任，一律由我单位承担。</w:t>
      </w:r>
    </w:p>
    <w:p w14:paraId="5830AEAE">
      <w:pPr>
        <w:snapToGrid w:val="0"/>
        <w:spacing w:line="360" w:lineRule="auto"/>
        <w:ind w:firstLine="420"/>
        <w:rPr>
          <w:sz w:val="24"/>
        </w:rPr>
      </w:pPr>
      <w:r>
        <w:rPr>
          <w:rFonts w:hint="eastAsia"/>
          <w:sz w:val="24"/>
        </w:rPr>
        <w:t>特此声明！</w:t>
      </w:r>
    </w:p>
    <w:p w14:paraId="62EBEDEF">
      <w:pPr>
        <w:autoSpaceDE w:val="0"/>
        <w:autoSpaceDN w:val="0"/>
        <w:snapToGrid w:val="0"/>
        <w:spacing w:line="360" w:lineRule="auto"/>
        <w:rPr>
          <w:rFonts w:ascii="宋体" w:hAnsi="宋体"/>
          <w:b/>
          <w:sz w:val="24"/>
        </w:rPr>
      </w:pPr>
      <w:r>
        <w:rPr>
          <w:rFonts w:hint="eastAsia" w:ascii="宋体" w:hAnsi="宋体"/>
          <w:b/>
          <w:sz w:val="24"/>
        </w:rPr>
        <w:t>说明：</w:t>
      </w:r>
    </w:p>
    <w:p w14:paraId="34F7C796">
      <w:pPr>
        <w:numPr>
          <w:ilvl w:val="0"/>
          <w:numId w:val="86"/>
        </w:numPr>
        <w:autoSpaceDE w:val="0"/>
        <w:autoSpaceDN w:val="0"/>
        <w:snapToGrid w:val="0"/>
        <w:spacing w:line="360" w:lineRule="auto"/>
        <w:jc w:val="left"/>
        <w:rPr>
          <w:rFonts w:ascii="宋体" w:hAnsi="宋体"/>
          <w:sz w:val="24"/>
        </w:rPr>
      </w:pPr>
      <w:r>
        <w:rPr>
          <w:rFonts w:hint="eastAsia" w:ascii="宋体" w:hAnsi="宋体"/>
          <w:sz w:val="24"/>
        </w:rPr>
        <w:t>本声明函必须提供且内容不得擅自删改，否则视为无效投标。</w:t>
      </w:r>
    </w:p>
    <w:p w14:paraId="750F784F">
      <w:pPr>
        <w:numPr>
          <w:ilvl w:val="0"/>
          <w:numId w:val="86"/>
        </w:numPr>
        <w:autoSpaceDE w:val="0"/>
        <w:autoSpaceDN w:val="0"/>
        <w:snapToGrid w:val="0"/>
        <w:spacing w:line="360" w:lineRule="auto"/>
        <w:jc w:val="left"/>
        <w:rPr>
          <w:rFonts w:ascii="宋体" w:hAnsi="宋体"/>
          <w:sz w:val="24"/>
        </w:rPr>
      </w:pPr>
      <w:r>
        <w:rPr>
          <w:rFonts w:hint="eastAsia" w:ascii="宋体" w:hAnsi="宋体"/>
          <w:sz w:val="24"/>
        </w:rPr>
        <w:t>本声明函如有虚假或与事实不符的，作</w:t>
      </w:r>
      <w:r>
        <w:rPr>
          <w:rFonts w:hint="eastAsia" w:ascii="宋体" w:hAnsi="宋体"/>
          <w:b/>
          <w:sz w:val="24"/>
        </w:rPr>
        <w:t>无效投标</w:t>
      </w:r>
      <w:r>
        <w:rPr>
          <w:rFonts w:hint="eastAsia" w:ascii="宋体" w:hAnsi="宋体"/>
          <w:sz w:val="24"/>
        </w:rPr>
        <w:t>处理。</w:t>
      </w:r>
    </w:p>
    <w:p w14:paraId="69D79F9C">
      <w:pPr>
        <w:pStyle w:val="84"/>
        <w:autoSpaceDE w:val="0"/>
        <w:autoSpaceDN w:val="0"/>
        <w:snapToGrid w:val="0"/>
        <w:spacing w:line="360" w:lineRule="auto"/>
        <w:ind w:left="420" w:firstLine="0" w:firstLineChars="0"/>
        <w:jc w:val="left"/>
        <w:rPr>
          <w:rFonts w:ascii="宋体" w:hAnsi="宋体"/>
          <w:sz w:val="24"/>
        </w:rPr>
      </w:pPr>
    </w:p>
    <w:p w14:paraId="5BBB8FDB">
      <w:pPr>
        <w:tabs>
          <w:tab w:val="left" w:pos="426"/>
        </w:tabs>
        <w:snapToGrid w:val="0"/>
        <w:spacing w:line="360" w:lineRule="auto"/>
        <w:rPr>
          <w:rFonts w:ascii="宋体" w:hAnsi="宋体"/>
          <w:bCs/>
          <w:sz w:val="24"/>
        </w:rPr>
      </w:pPr>
    </w:p>
    <w:p w14:paraId="3947028C">
      <w:pPr>
        <w:snapToGrid w:val="0"/>
        <w:spacing w:line="360" w:lineRule="auto"/>
        <w:ind w:firstLine="420"/>
        <w:jc w:val="left"/>
        <w:rPr>
          <w:sz w:val="24"/>
        </w:rPr>
      </w:pPr>
      <w:r>
        <w:rPr>
          <w:rFonts w:hint="eastAsia"/>
          <w:sz w:val="24"/>
        </w:rPr>
        <w:t>投标人名称（单位盖公章）：</w:t>
      </w:r>
      <w:r>
        <w:rPr>
          <w:sz w:val="24"/>
        </w:rPr>
        <w:t xml:space="preserve"> </w:t>
      </w:r>
    </w:p>
    <w:p w14:paraId="3D3CCF8C">
      <w:pPr>
        <w:snapToGrid w:val="0"/>
        <w:spacing w:line="360" w:lineRule="auto"/>
        <w:ind w:firstLine="420"/>
        <w:jc w:val="left"/>
        <w:rPr>
          <w:sz w:val="24"/>
        </w:rPr>
      </w:pPr>
      <w:r>
        <w:rPr>
          <w:rFonts w:hint="eastAsia"/>
          <w:sz w:val="24"/>
        </w:rPr>
        <w:t>单位地址：</w:t>
      </w:r>
      <w:r>
        <w:rPr>
          <w:sz w:val="24"/>
        </w:rPr>
        <w:t xml:space="preserve"> </w:t>
      </w:r>
    </w:p>
    <w:p w14:paraId="0C22438D">
      <w:pPr>
        <w:snapToGrid w:val="0"/>
        <w:spacing w:line="360" w:lineRule="auto"/>
        <w:ind w:firstLine="420"/>
        <w:jc w:val="left"/>
        <w:rPr>
          <w:sz w:val="24"/>
        </w:rPr>
        <w:sectPr>
          <w:pgSz w:w="11906" w:h="16838"/>
          <w:pgMar w:top="1440" w:right="1286" w:bottom="1440" w:left="1440" w:header="851" w:footer="992" w:gutter="0"/>
          <w:cols w:space="720" w:num="1"/>
          <w:docGrid w:type="lines" w:linePitch="312" w:charSpace="0"/>
        </w:sectPr>
      </w:pPr>
      <w:r>
        <w:rPr>
          <w:rFonts w:hint="eastAsia"/>
          <w:sz w:val="24"/>
        </w:rPr>
        <w:t>日期：</w:t>
      </w:r>
    </w:p>
    <w:p w14:paraId="5413FE24">
      <w:pPr>
        <w:tabs>
          <w:tab w:val="left" w:pos="426"/>
        </w:tabs>
        <w:autoSpaceDE w:val="0"/>
        <w:autoSpaceDN w:val="0"/>
        <w:spacing w:line="360" w:lineRule="auto"/>
        <w:jc w:val="center"/>
        <w:outlineLvl w:val="3"/>
        <w:rPr>
          <w:rFonts w:ascii="黑体" w:hAnsi="黑体" w:eastAsia="黑体"/>
          <w:sz w:val="32"/>
          <w:szCs w:val="32"/>
        </w:rPr>
      </w:pPr>
      <w:r>
        <w:rPr>
          <w:rFonts w:hint="eastAsia" w:ascii="黑体" w:hAnsi="黑体" w:eastAsia="黑体"/>
          <w:sz w:val="32"/>
          <w:szCs w:val="32"/>
        </w:rPr>
        <w:t>公章对投标专用章授权说明</w:t>
      </w:r>
    </w:p>
    <w:p w14:paraId="431FD335">
      <w:pPr>
        <w:spacing w:line="400" w:lineRule="exact"/>
        <w:rPr>
          <w:rFonts w:ascii="宋体" w:hAnsi="宋体"/>
          <w:sz w:val="24"/>
        </w:rPr>
      </w:pPr>
    </w:p>
    <w:p w14:paraId="6E005EDD">
      <w:pPr>
        <w:snapToGrid w:val="0"/>
        <w:spacing w:line="360" w:lineRule="auto"/>
        <w:rPr>
          <w:rFonts w:ascii="宋体" w:hAnsi="宋体"/>
          <w:sz w:val="24"/>
        </w:rPr>
      </w:pPr>
      <w:r>
        <w:rPr>
          <w:rFonts w:hint="eastAsia" w:ascii="宋体" w:hAnsi="宋体"/>
          <w:b/>
          <w:sz w:val="24"/>
        </w:rPr>
        <w:t>佛山采联采购招标有限公司：</w:t>
      </w:r>
    </w:p>
    <w:p w14:paraId="2196709F">
      <w:pPr>
        <w:snapToGrid w:val="0"/>
        <w:spacing w:line="360" w:lineRule="auto"/>
        <w:ind w:firstLine="566" w:firstLineChars="236"/>
        <w:rPr>
          <w:rFonts w:ascii="宋体" w:hAnsi="宋体"/>
          <w:sz w:val="24"/>
        </w:rPr>
      </w:pPr>
      <w:r>
        <w:rPr>
          <w:rFonts w:hint="eastAsia" w:ascii="宋体" w:hAnsi="宋体"/>
          <w:sz w:val="24"/>
        </w:rPr>
        <w:t>本单位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（投标人名称）  </w:t>
      </w:r>
      <w:r>
        <w:rPr>
          <w:rFonts w:hint="eastAsia" w:ascii="宋体" w:hAnsi="宋体"/>
          <w:sz w:val="24"/>
        </w:rPr>
        <w:t>参加</w:t>
      </w:r>
      <w:r>
        <w:rPr>
          <w:rFonts w:hint="eastAsia" w:ascii="宋体" w:hAnsi="宋体"/>
          <w:sz w:val="24"/>
          <w:u w:val="single"/>
          <w:lang w:eastAsia="zh-CN"/>
        </w:rPr>
        <w:t>中华人民共和国佛山出入境边防检查站2026年度节日慰问品采购项目</w:t>
      </w:r>
      <w:r>
        <w:rPr>
          <w:rFonts w:hint="eastAsia" w:ascii="宋体" w:hAnsi="宋体"/>
          <w:sz w:val="24"/>
          <w:u w:val="single"/>
        </w:rPr>
        <w:t>（</w:t>
      </w:r>
      <w:r>
        <w:rPr>
          <w:rFonts w:hint="eastAsia" w:ascii="宋体" w:hAnsi="宋体"/>
          <w:sz w:val="24"/>
          <w:u w:val="single"/>
          <w:lang w:eastAsia="zh-CN"/>
        </w:rPr>
        <w:t>CLZ0126FS00QY05</w:t>
      </w:r>
      <w:r>
        <w:rPr>
          <w:rFonts w:hint="eastAsia" w:ascii="宋体" w:hAnsi="宋体"/>
          <w:sz w:val="24"/>
          <w:u w:val="single"/>
        </w:rPr>
        <w:t>）</w:t>
      </w:r>
      <w:r>
        <w:rPr>
          <w:rFonts w:hint="eastAsia" w:ascii="宋体" w:hAnsi="宋体"/>
          <w:sz w:val="24"/>
        </w:rPr>
        <w:t>的采购活动，在此作如下说明：</w:t>
      </w:r>
    </w:p>
    <w:p w14:paraId="54A98CD8">
      <w:pPr>
        <w:snapToGrid w:val="0"/>
        <w:spacing w:line="360" w:lineRule="auto"/>
        <w:ind w:firstLine="566" w:firstLineChars="236"/>
        <w:rPr>
          <w:rFonts w:ascii="宋体" w:hAnsi="宋体"/>
          <w:sz w:val="24"/>
        </w:rPr>
      </w:pPr>
      <w:r>
        <w:rPr>
          <w:rFonts w:hint="eastAsia" w:ascii="宋体" w:hAnsi="宋体"/>
          <w:sz w:val="24"/>
        </w:rPr>
        <w:t>在此次采购活动中，我单位所使用的“投标专用章”与我单位公章具有同等的法律效力，我单位对所使用“投标专用章”的行为和相应责任予以完全承认。</w:t>
      </w:r>
    </w:p>
    <w:p w14:paraId="0D46E436">
      <w:pPr>
        <w:snapToGrid w:val="0"/>
        <w:spacing w:line="360" w:lineRule="auto"/>
        <w:ind w:firstLine="566" w:firstLineChars="236"/>
        <w:rPr>
          <w:rFonts w:ascii="宋体" w:hAnsi="宋体"/>
          <w:sz w:val="24"/>
        </w:rPr>
      </w:pPr>
      <w:r>
        <w:rPr>
          <w:rFonts w:hint="eastAsia" w:ascii="宋体" w:hAnsi="宋体"/>
          <w:sz w:val="24"/>
        </w:rPr>
        <w:t>特此说明。</w:t>
      </w:r>
    </w:p>
    <w:p w14:paraId="1BF38136">
      <w:pPr>
        <w:snapToGrid w:val="0"/>
        <w:spacing w:line="360" w:lineRule="auto"/>
        <w:rPr>
          <w:rFonts w:ascii="宋体" w:hAnsi="宋体"/>
          <w:sz w:val="24"/>
        </w:rPr>
      </w:pPr>
    </w:p>
    <w:p w14:paraId="7DF19612">
      <w:pPr>
        <w:snapToGrid w:val="0"/>
        <w:spacing w:line="360" w:lineRule="auto"/>
        <w:rPr>
          <w:rFonts w:ascii="宋体" w:hAnsi="宋体"/>
          <w:b/>
          <w:bCs/>
          <w:sz w:val="24"/>
        </w:rPr>
      </w:pPr>
    </w:p>
    <w:p w14:paraId="76558FB4">
      <w:pPr>
        <w:snapToGrid w:val="0"/>
        <w:spacing w:line="360" w:lineRule="auto"/>
        <w:rPr>
          <w:rFonts w:ascii="宋体" w:hAnsi="宋体"/>
          <w:sz w:val="24"/>
          <w:u w:val="single"/>
        </w:rPr>
      </w:pPr>
      <w:r>
        <w:rPr>
          <w:rFonts w:hint="eastAsia" w:ascii="宋体" w:hAnsi="宋体"/>
          <w:sz w:val="24"/>
        </w:rPr>
        <w:t>投标人名称（单位盖公章）：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05FE5670">
      <w:pPr>
        <w:snapToGrid w:val="0"/>
        <w:spacing w:line="360" w:lineRule="auto"/>
        <w:rPr>
          <w:rFonts w:ascii="宋体" w:hAnsi="宋体"/>
          <w:sz w:val="24"/>
        </w:rPr>
      </w:pPr>
      <w:r>
        <w:rPr>
          <w:rFonts w:hint="eastAsia" w:ascii="宋体" w:hAnsi="宋体"/>
          <w:sz w:val="24"/>
        </w:rPr>
        <w:t>单位注册地址：</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p>
    <w:p w14:paraId="5555CA7B">
      <w:pPr>
        <w:snapToGrid w:val="0"/>
        <w:spacing w:line="360" w:lineRule="auto"/>
        <w:rPr>
          <w:rFonts w:ascii="宋体" w:hAnsi="宋体"/>
          <w:sz w:val="24"/>
        </w:rPr>
      </w:pPr>
      <w:r>
        <w:rPr>
          <w:rFonts w:hint="eastAsia" w:ascii="宋体" w:hAnsi="宋体"/>
          <w:sz w:val="24"/>
        </w:rPr>
        <w:t>法定代表人</w:t>
      </w:r>
      <w:r>
        <w:rPr>
          <w:rFonts w:hint="eastAsia" w:ascii="宋体"/>
          <w:sz w:val="24"/>
        </w:rPr>
        <w:t>或</w:t>
      </w:r>
      <w:r>
        <w:rPr>
          <w:rFonts w:hint="eastAsia" w:ascii="宋体" w:hAnsi="宋体"/>
          <w:sz w:val="24"/>
        </w:rPr>
        <w:t>投标人授权代表（签名或盖个人名章）：</w:t>
      </w:r>
      <w:r>
        <w:rPr>
          <w:rFonts w:hint="eastAsia" w:ascii="宋体" w:hAnsi="宋体"/>
          <w:sz w:val="24"/>
          <w:u w:val="single"/>
        </w:rPr>
        <w:t xml:space="preserve"> </w:t>
      </w:r>
      <w:r>
        <w:rPr>
          <w:rFonts w:ascii="宋体" w:hAnsi="宋体"/>
          <w:sz w:val="24"/>
          <w:u w:val="single"/>
        </w:rPr>
        <w:t xml:space="preserve">                      </w:t>
      </w:r>
    </w:p>
    <w:p w14:paraId="6DC26551">
      <w:pPr>
        <w:snapToGrid w:val="0"/>
        <w:spacing w:line="360" w:lineRule="auto"/>
        <w:rPr>
          <w:rFonts w:ascii="宋体" w:hAnsi="宋体"/>
          <w:sz w:val="24"/>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日</w:t>
      </w:r>
    </w:p>
    <w:p w14:paraId="3A16A653">
      <w:pPr>
        <w:snapToGrid w:val="0"/>
        <w:spacing w:line="360" w:lineRule="auto"/>
        <w:rPr>
          <w:rFonts w:ascii="宋体" w:hAnsi="宋体"/>
          <w:sz w:val="24"/>
        </w:rPr>
      </w:pPr>
    </w:p>
    <w:p w14:paraId="46062485">
      <w:pPr>
        <w:snapToGrid w:val="0"/>
        <w:spacing w:line="360" w:lineRule="auto"/>
        <w:rPr>
          <w:rFonts w:ascii="宋体" w:hAnsi="宋体"/>
          <w:sz w:val="24"/>
        </w:rPr>
      </w:pPr>
      <w:r>
        <w:rPr>
          <w:rFonts w:hint="eastAsia" w:ascii="宋体" w:hAnsi="宋体"/>
          <w:sz w:val="24"/>
        </w:rPr>
        <w:t>我单位投标专用章样式如下：</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5"/>
      </w:tblGrid>
      <w:tr w14:paraId="5265E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6" w:hRule="atLeast"/>
        </w:trPr>
        <w:tc>
          <w:tcPr>
            <w:tcW w:w="9125" w:type="dxa"/>
          </w:tcPr>
          <w:p w14:paraId="6AD15FAA">
            <w:pPr>
              <w:spacing w:line="400" w:lineRule="exact"/>
              <w:rPr>
                <w:rFonts w:ascii="宋体" w:hAnsi="宋体"/>
                <w:b/>
                <w:bCs/>
                <w:szCs w:val="21"/>
              </w:rPr>
            </w:pPr>
          </w:p>
        </w:tc>
      </w:tr>
    </w:tbl>
    <w:p w14:paraId="33217A25">
      <w:pPr>
        <w:snapToGrid w:val="0"/>
        <w:spacing w:line="360" w:lineRule="auto"/>
        <w:ind w:firstLine="420"/>
        <w:jc w:val="left"/>
        <w:rPr>
          <w:sz w:val="24"/>
        </w:rPr>
      </w:pPr>
    </w:p>
    <w:p w14:paraId="5F6A1ACD">
      <w:pPr>
        <w:snapToGrid w:val="0"/>
        <w:spacing w:line="360" w:lineRule="auto"/>
        <w:ind w:firstLine="420"/>
        <w:jc w:val="left"/>
        <w:rPr>
          <w:sz w:val="24"/>
        </w:rPr>
      </w:pPr>
    </w:p>
    <w:p w14:paraId="14286481">
      <w:pPr>
        <w:snapToGrid w:val="0"/>
        <w:spacing w:line="360" w:lineRule="auto"/>
        <w:ind w:firstLine="420"/>
        <w:jc w:val="left"/>
        <w:rPr>
          <w:sz w:val="24"/>
        </w:rPr>
        <w:sectPr>
          <w:pgSz w:w="11906" w:h="16838"/>
          <w:pgMar w:top="1440" w:right="1286" w:bottom="1440" w:left="1440" w:header="851" w:footer="992" w:gutter="0"/>
          <w:cols w:space="720" w:num="1"/>
          <w:docGrid w:type="lines" w:linePitch="312" w:charSpace="0"/>
        </w:sectPr>
      </w:pPr>
    </w:p>
    <w:p w14:paraId="62363DF7">
      <w:pPr>
        <w:tabs>
          <w:tab w:val="left" w:pos="426"/>
        </w:tabs>
        <w:autoSpaceDE w:val="0"/>
        <w:autoSpaceDN w:val="0"/>
        <w:spacing w:line="360" w:lineRule="auto"/>
        <w:jc w:val="center"/>
        <w:outlineLvl w:val="3"/>
        <w:rPr>
          <w:rFonts w:ascii="黑体" w:hAnsi="黑体" w:eastAsia="黑体"/>
          <w:sz w:val="32"/>
          <w:szCs w:val="32"/>
        </w:rPr>
      </w:pPr>
      <w:r>
        <w:rPr>
          <w:rFonts w:hint="eastAsia" w:ascii="黑体" w:hAnsi="黑体" w:eastAsia="黑体"/>
          <w:sz w:val="32"/>
          <w:szCs w:val="32"/>
        </w:rPr>
        <w:t>主要股东或出资人信息</w:t>
      </w:r>
    </w:p>
    <w:p w14:paraId="7A5275B6">
      <w:pPr>
        <w:tabs>
          <w:tab w:val="left" w:pos="7740"/>
        </w:tabs>
        <w:snapToGrid w:val="0"/>
        <w:spacing w:line="360" w:lineRule="auto"/>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513"/>
        <w:gridCol w:w="2411"/>
        <w:gridCol w:w="1849"/>
        <w:gridCol w:w="1404"/>
        <w:gridCol w:w="1118"/>
      </w:tblGrid>
      <w:tr w14:paraId="0A89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586" w:type="pct"/>
            <w:tcBorders>
              <w:top w:val="single" w:color="auto" w:sz="12" w:space="0"/>
              <w:left w:val="single" w:color="auto" w:sz="12" w:space="0"/>
            </w:tcBorders>
            <w:vAlign w:val="center"/>
          </w:tcPr>
          <w:p w14:paraId="08423A73">
            <w:pPr>
              <w:snapToGrid w:val="0"/>
              <w:jc w:val="center"/>
              <w:rPr>
                <w:rFonts w:ascii="宋体" w:hAnsi="宋体" w:cs="Arial"/>
                <w:sz w:val="24"/>
              </w:rPr>
            </w:pPr>
            <w:r>
              <w:rPr>
                <w:rFonts w:hint="eastAsia" w:ascii="宋体" w:hAnsi="宋体" w:cs="Arial"/>
                <w:sz w:val="24"/>
              </w:rPr>
              <w:t>序号</w:t>
            </w:r>
          </w:p>
        </w:tc>
        <w:tc>
          <w:tcPr>
            <w:tcW w:w="805" w:type="pct"/>
            <w:tcBorders>
              <w:top w:val="single" w:color="auto" w:sz="12" w:space="0"/>
            </w:tcBorders>
            <w:vAlign w:val="center"/>
          </w:tcPr>
          <w:p w14:paraId="4E94BCE1">
            <w:pPr>
              <w:snapToGrid w:val="0"/>
              <w:jc w:val="center"/>
              <w:rPr>
                <w:rFonts w:ascii="宋体" w:hAnsi="宋体" w:cs="Arial"/>
                <w:sz w:val="24"/>
              </w:rPr>
            </w:pPr>
            <w:r>
              <w:rPr>
                <w:rFonts w:hint="eastAsia" w:ascii="宋体" w:hAnsi="宋体" w:cs="Arial"/>
                <w:sz w:val="24"/>
              </w:rPr>
              <w:t>名称</w:t>
            </w:r>
          </w:p>
          <w:p w14:paraId="55A133E7">
            <w:pPr>
              <w:snapToGrid w:val="0"/>
              <w:jc w:val="center"/>
              <w:rPr>
                <w:rFonts w:ascii="宋体" w:hAnsi="宋体" w:cs="Arial"/>
                <w:sz w:val="24"/>
              </w:rPr>
            </w:pPr>
            <w:r>
              <w:rPr>
                <w:rFonts w:hint="eastAsia" w:ascii="宋体" w:hAnsi="宋体" w:cs="Arial"/>
                <w:sz w:val="24"/>
              </w:rPr>
              <w:t>（姓名）</w:t>
            </w:r>
          </w:p>
        </w:tc>
        <w:tc>
          <w:tcPr>
            <w:tcW w:w="1283" w:type="pct"/>
            <w:tcBorders>
              <w:top w:val="single" w:color="auto" w:sz="12" w:space="0"/>
              <w:right w:val="single" w:color="auto" w:sz="6" w:space="0"/>
            </w:tcBorders>
            <w:vAlign w:val="center"/>
          </w:tcPr>
          <w:p w14:paraId="0E56995F">
            <w:pPr>
              <w:snapToGrid w:val="0"/>
              <w:jc w:val="center"/>
              <w:rPr>
                <w:rFonts w:ascii="宋体" w:hAnsi="宋体" w:cs="Arial"/>
                <w:sz w:val="24"/>
              </w:rPr>
            </w:pPr>
            <w:r>
              <w:rPr>
                <w:rFonts w:hint="eastAsia" w:ascii="宋体" w:hAnsi="宋体" w:cs="Arial"/>
                <w:sz w:val="24"/>
              </w:rPr>
              <w:t>统一社会信用代码（身份证号）</w:t>
            </w:r>
          </w:p>
        </w:tc>
        <w:tc>
          <w:tcPr>
            <w:tcW w:w="984" w:type="pct"/>
            <w:tcBorders>
              <w:top w:val="single" w:color="auto" w:sz="12" w:space="0"/>
              <w:left w:val="single" w:color="auto" w:sz="6" w:space="0"/>
            </w:tcBorders>
            <w:vAlign w:val="center"/>
          </w:tcPr>
          <w:p w14:paraId="1B411C48">
            <w:pPr>
              <w:snapToGrid w:val="0"/>
              <w:jc w:val="center"/>
              <w:rPr>
                <w:rFonts w:ascii="宋体" w:hAnsi="宋体" w:cs="Arial"/>
                <w:sz w:val="24"/>
              </w:rPr>
            </w:pPr>
            <w:r>
              <w:rPr>
                <w:rFonts w:hint="eastAsia" w:ascii="宋体" w:hAnsi="宋体" w:cs="Arial"/>
                <w:sz w:val="24"/>
              </w:rPr>
              <w:t>出资额</w:t>
            </w:r>
          </w:p>
          <w:p w14:paraId="0BD5577F">
            <w:pPr>
              <w:snapToGrid w:val="0"/>
              <w:jc w:val="center"/>
              <w:rPr>
                <w:rFonts w:ascii="宋体" w:hAnsi="宋体" w:cs="Arial"/>
                <w:sz w:val="24"/>
              </w:rPr>
            </w:pPr>
            <w:r>
              <w:rPr>
                <w:rFonts w:hint="eastAsia" w:ascii="宋体" w:hAnsi="宋体" w:cs="Arial"/>
                <w:sz w:val="24"/>
              </w:rPr>
              <w:t>（人民币 万元）</w:t>
            </w:r>
          </w:p>
        </w:tc>
        <w:tc>
          <w:tcPr>
            <w:tcW w:w="747" w:type="pct"/>
            <w:tcBorders>
              <w:top w:val="single" w:color="auto" w:sz="12" w:space="0"/>
            </w:tcBorders>
            <w:vAlign w:val="center"/>
          </w:tcPr>
          <w:p w14:paraId="51325875">
            <w:pPr>
              <w:snapToGrid w:val="0"/>
              <w:jc w:val="center"/>
              <w:rPr>
                <w:rFonts w:ascii="宋体" w:hAnsi="宋体" w:cs="Arial"/>
                <w:sz w:val="24"/>
              </w:rPr>
            </w:pPr>
            <w:r>
              <w:rPr>
                <w:rFonts w:hint="eastAsia" w:ascii="宋体" w:hAnsi="宋体" w:cs="Arial"/>
                <w:sz w:val="24"/>
              </w:rPr>
              <w:t>出资方式</w:t>
            </w:r>
          </w:p>
        </w:tc>
        <w:tc>
          <w:tcPr>
            <w:tcW w:w="595" w:type="pct"/>
            <w:tcBorders>
              <w:top w:val="single" w:color="auto" w:sz="12" w:space="0"/>
              <w:left w:val="single" w:color="auto" w:sz="6" w:space="0"/>
              <w:right w:val="single" w:color="auto" w:sz="12" w:space="0"/>
            </w:tcBorders>
            <w:vAlign w:val="center"/>
          </w:tcPr>
          <w:p w14:paraId="5E001902">
            <w:pPr>
              <w:snapToGrid w:val="0"/>
              <w:jc w:val="center"/>
              <w:rPr>
                <w:rFonts w:ascii="宋体" w:hAnsi="宋体" w:cs="Arial"/>
                <w:sz w:val="24"/>
              </w:rPr>
            </w:pPr>
            <w:r>
              <w:rPr>
                <w:rFonts w:hint="eastAsia" w:ascii="宋体" w:hAnsi="宋体" w:cs="Arial"/>
                <w:sz w:val="24"/>
              </w:rPr>
              <w:t>占全部股份比例</w:t>
            </w:r>
          </w:p>
        </w:tc>
      </w:tr>
      <w:tr w14:paraId="2EC1F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6" w:type="pct"/>
            <w:tcBorders>
              <w:left w:val="single" w:color="auto" w:sz="12" w:space="0"/>
            </w:tcBorders>
          </w:tcPr>
          <w:p w14:paraId="74B0406C">
            <w:pPr>
              <w:jc w:val="center"/>
              <w:rPr>
                <w:rFonts w:ascii="宋体" w:hAnsi="宋体" w:cs="Arial"/>
                <w:sz w:val="24"/>
              </w:rPr>
            </w:pPr>
            <w:r>
              <w:rPr>
                <w:rFonts w:hint="eastAsia" w:ascii="宋体" w:hAnsi="宋体" w:cs="Arial"/>
                <w:sz w:val="24"/>
              </w:rPr>
              <w:t>1</w:t>
            </w:r>
          </w:p>
        </w:tc>
        <w:tc>
          <w:tcPr>
            <w:tcW w:w="805" w:type="pct"/>
          </w:tcPr>
          <w:p w14:paraId="5C9CD01D">
            <w:pPr>
              <w:jc w:val="center"/>
              <w:rPr>
                <w:rFonts w:ascii="宋体" w:hAnsi="宋体" w:cs="Arial"/>
                <w:sz w:val="24"/>
              </w:rPr>
            </w:pPr>
          </w:p>
        </w:tc>
        <w:tc>
          <w:tcPr>
            <w:tcW w:w="1283" w:type="pct"/>
            <w:tcBorders>
              <w:right w:val="single" w:color="auto" w:sz="6" w:space="0"/>
            </w:tcBorders>
          </w:tcPr>
          <w:p w14:paraId="51F9228A">
            <w:pPr>
              <w:jc w:val="center"/>
              <w:rPr>
                <w:rFonts w:ascii="宋体" w:hAnsi="宋体" w:cs="Arial"/>
                <w:sz w:val="24"/>
              </w:rPr>
            </w:pPr>
          </w:p>
        </w:tc>
        <w:tc>
          <w:tcPr>
            <w:tcW w:w="984" w:type="pct"/>
            <w:tcBorders>
              <w:left w:val="single" w:color="auto" w:sz="6" w:space="0"/>
            </w:tcBorders>
          </w:tcPr>
          <w:p w14:paraId="1C1DBBF2">
            <w:pPr>
              <w:jc w:val="center"/>
              <w:rPr>
                <w:rFonts w:ascii="宋体" w:hAnsi="宋体" w:cs="Arial"/>
                <w:sz w:val="24"/>
              </w:rPr>
            </w:pPr>
          </w:p>
        </w:tc>
        <w:tc>
          <w:tcPr>
            <w:tcW w:w="747" w:type="pct"/>
          </w:tcPr>
          <w:p w14:paraId="09BA39FA">
            <w:pPr>
              <w:jc w:val="center"/>
              <w:rPr>
                <w:rFonts w:ascii="宋体" w:hAnsi="宋体" w:cs="Arial"/>
                <w:sz w:val="24"/>
              </w:rPr>
            </w:pPr>
          </w:p>
        </w:tc>
        <w:tc>
          <w:tcPr>
            <w:tcW w:w="595" w:type="pct"/>
            <w:tcBorders>
              <w:left w:val="single" w:color="auto" w:sz="6" w:space="0"/>
              <w:right w:val="single" w:color="auto" w:sz="12" w:space="0"/>
            </w:tcBorders>
          </w:tcPr>
          <w:p w14:paraId="426F80D9">
            <w:pPr>
              <w:jc w:val="center"/>
              <w:rPr>
                <w:rFonts w:ascii="宋体" w:hAnsi="宋体" w:cs="Arial"/>
                <w:sz w:val="24"/>
              </w:rPr>
            </w:pPr>
          </w:p>
        </w:tc>
      </w:tr>
      <w:tr w14:paraId="2324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6" w:type="pct"/>
            <w:tcBorders>
              <w:left w:val="single" w:color="auto" w:sz="12" w:space="0"/>
            </w:tcBorders>
          </w:tcPr>
          <w:p w14:paraId="2661B079">
            <w:pPr>
              <w:jc w:val="center"/>
              <w:rPr>
                <w:rFonts w:ascii="宋体" w:hAnsi="宋体" w:cs="Arial"/>
                <w:sz w:val="24"/>
              </w:rPr>
            </w:pPr>
            <w:r>
              <w:rPr>
                <w:rFonts w:hint="eastAsia" w:ascii="宋体" w:hAnsi="宋体" w:cs="Arial"/>
                <w:sz w:val="24"/>
              </w:rPr>
              <w:t>2</w:t>
            </w:r>
          </w:p>
        </w:tc>
        <w:tc>
          <w:tcPr>
            <w:tcW w:w="805" w:type="pct"/>
          </w:tcPr>
          <w:p w14:paraId="763D2EBC">
            <w:pPr>
              <w:jc w:val="center"/>
              <w:rPr>
                <w:rFonts w:ascii="宋体" w:hAnsi="宋体" w:cs="Arial"/>
                <w:sz w:val="24"/>
              </w:rPr>
            </w:pPr>
          </w:p>
        </w:tc>
        <w:tc>
          <w:tcPr>
            <w:tcW w:w="1283" w:type="pct"/>
            <w:tcBorders>
              <w:right w:val="single" w:color="auto" w:sz="6" w:space="0"/>
            </w:tcBorders>
          </w:tcPr>
          <w:p w14:paraId="12BF3F1B">
            <w:pPr>
              <w:jc w:val="center"/>
              <w:rPr>
                <w:rFonts w:ascii="宋体" w:hAnsi="宋体" w:cs="Arial"/>
                <w:sz w:val="24"/>
              </w:rPr>
            </w:pPr>
          </w:p>
        </w:tc>
        <w:tc>
          <w:tcPr>
            <w:tcW w:w="984" w:type="pct"/>
            <w:tcBorders>
              <w:left w:val="single" w:color="auto" w:sz="6" w:space="0"/>
            </w:tcBorders>
          </w:tcPr>
          <w:p w14:paraId="444D49F3">
            <w:pPr>
              <w:jc w:val="center"/>
              <w:rPr>
                <w:rFonts w:ascii="宋体" w:hAnsi="宋体" w:cs="Arial"/>
                <w:sz w:val="24"/>
              </w:rPr>
            </w:pPr>
          </w:p>
        </w:tc>
        <w:tc>
          <w:tcPr>
            <w:tcW w:w="747" w:type="pct"/>
          </w:tcPr>
          <w:p w14:paraId="26873674">
            <w:pPr>
              <w:jc w:val="center"/>
              <w:rPr>
                <w:rFonts w:ascii="宋体" w:hAnsi="宋体" w:cs="Arial"/>
                <w:sz w:val="24"/>
              </w:rPr>
            </w:pPr>
          </w:p>
        </w:tc>
        <w:tc>
          <w:tcPr>
            <w:tcW w:w="595" w:type="pct"/>
            <w:tcBorders>
              <w:left w:val="single" w:color="auto" w:sz="6" w:space="0"/>
              <w:right w:val="single" w:color="auto" w:sz="12" w:space="0"/>
            </w:tcBorders>
          </w:tcPr>
          <w:p w14:paraId="5DBD1811">
            <w:pPr>
              <w:jc w:val="center"/>
              <w:rPr>
                <w:rFonts w:ascii="宋体" w:hAnsi="宋体" w:cs="Arial"/>
                <w:sz w:val="24"/>
              </w:rPr>
            </w:pPr>
          </w:p>
        </w:tc>
      </w:tr>
      <w:tr w14:paraId="6B46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6" w:type="pct"/>
            <w:tcBorders>
              <w:left w:val="single" w:color="auto" w:sz="12" w:space="0"/>
              <w:bottom w:val="single" w:color="auto" w:sz="12" w:space="0"/>
            </w:tcBorders>
          </w:tcPr>
          <w:p w14:paraId="078DBA5B">
            <w:pPr>
              <w:jc w:val="center"/>
              <w:rPr>
                <w:rFonts w:ascii="宋体" w:hAnsi="宋体" w:cs="Arial"/>
                <w:sz w:val="24"/>
              </w:rPr>
            </w:pPr>
            <w:r>
              <w:rPr>
                <w:rFonts w:hint="eastAsia" w:ascii="宋体" w:hAnsi="宋体" w:cs="Arial"/>
                <w:sz w:val="24"/>
              </w:rPr>
              <w:t>…</w:t>
            </w:r>
          </w:p>
        </w:tc>
        <w:tc>
          <w:tcPr>
            <w:tcW w:w="805" w:type="pct"/>
            <w:tcBorders>
              <w:bottom w:val="single" w:color="auto" w:sz="12" w:space="0"/>
            </w:tcBorders>
          </w:tcPr>
          <w:p w14:paraId="465FE15A">
            <w:pPr>
              <w:jc w:val="center"/>
              <w:rPr>
                <w:rFonts w:ascii="宋体" w:hAnsi="宋体" w:cs="Arial"/>
                <w:sz w:val="24"/>
              </w:rPr>
            </w:pPr>
          </w:p>
        </w:tc>
        <w:tc>
          <w:tcPr>
            <w:tcW w:w="1283" w:type="pct"/>
            <w:tcBorders>
              <w:bottom w:val="single" w:color="auto" w:sz="12" w:space="0"/>
              <w:right w:val="single" w:color="auto" w:sz="6" w:space="0"/>
            </w:tcBorders>
          </w:tcPr>
          <w:p w14:paraId="192C365C">
            <w:pPr>
              <w:jc w:val="center"/>
              <w:rPr>
                <w:rFonts w:ascii="宋体" w:hAnsi="宋体" w:cs="Arial"/>
                <w:sz w:val="24"/>
              </w:rPr>
            </w:pPr>
          </w:p>
        </w:tc>
        <w:tc>
          <w:tcPr>
            <w:tcW w:w="984" w:type="pct"/>
            <w:tcBorders>
              <w:left w:val="single" w:color="auto" w:sz="6" w:space="0"/>
              <w:bottom w:val="single" w:color="auto" w:sz="12" w:space="0"/>
            </w:tcBorders>
          </w:tcPr>
          <w:p w14:paraId="639C69C8">
            <w:pPr>
              <w:jc w:val="center"/>
              <w:rPr>
                <w:rFonts w:ascii="宋体" w:hAnsi="宋体" w:cs="Arial"/>
                <w:sz w:val="24"/>
              </w:rPr>
            </w:pPr>
          </w:p>
        </w:tc>
        <w:tc>
          <w:tcPr>
            <w:tcW w:w="747" w:type="pct"/>
            <w:tcBorders>
              <w:bottom w:val="single" w:color="auto" w:sz="12" w:space="0"/>
            </w:tcBorders>
          </w:tcPr>
          <w:p w14:paraId="2694B4BC">
            <w:pPr>
              <w:jc w:val="center"/>
              <w:rPr>
                <w:rFonts w:ascii="宋体" w:hAnsi="宋体" w:cs="Arial"/>
                <w:sz w:val="24"/>
              </w:rPr>
            </w:pPr>
          </w:p>
        </w:tc>
        <w:tc>
          <w:tcPr>
            <w:tcW w:w="595" w:type="pct"/>
            <w:tcBorders>
              <w:left w:val="single" w:color="auto" w:sz="6" w:space="0"/>
              <w:bottom w:val="single" w:color="auto" w:sz="12" w:space="0"/>
              <w:right w:val="single" w:color="auto" w:sz="12" w:space="0"/>
            </w:tcBorders>
          </w:tcPr>
          <w:p w14:paraId="0C88280A">
            <w:pPr>
              <w:jc w:val="center"/>
              <w:rPr>
                <w:rFonts w:ascii="宋体" w:hAnsi="宋体" w:cs="Arial"/>
                <w:sz w:val="24"/>
              </w:rPr>
            </w:pPr>
          </w:p>
        </w:tc>
      </w:tr>
    </w:tbl>
    <w:p w14:paraId="12E01784">
      <w:pPr>
        <w:spacing w:line="360" w:lineRule="auto"/>
        <w:ind w:firstLine="354" w:firstLineChars="147"/>
        <w:rPr>
          <w:rFonts w:ascii="宋体" w:hAnsi="宋体" w:cs="Arial"/>
          <w:b/>
          <w:sz w:val="24"/>
        </w:rPr>
      </w:pPr>
      <w:r>
        <w:rPr>
          <w:rFonts w:hint="eastAsia" w:ascii="宋体" w:hAnsi="宋体" w:cs="Arial"/>
          <w:b/>
          <w:sz w:val="24"/>
        </w:rPr>
        <w:t>我方承诺，以上信息真实可靠；如填报的股东出资额、出资比例等与实际不符，且属于虚假应标情形，视为放弃中标资格。</w:t>
      </w:r>
    </w:p>
    <w:p w14:paraId="3E8FEC8D">
      <w:pPr>
        <w:spacing w:line="360" w:lineRule="auto"/>
        <w:rPr>
          <w:rFonts w:ascii="宋体" w:hAnsi="宋体" w:cs="Arial"/>
          <w:sz w:val="24"/>
        </w:rPr>
      </w:pPr>
      <w:r>
        <w:rPr>
          <w:rFonts w:hint="eastAsia" w:ascii="宋体" w:hAnsi="宋体" w:cs="Arial"/>
          <w:sz w:val="24"/>
        </w:rPr>
        <w:t>备注：</w:t>
      </w:r>
    </w:p>
    <w:p w14:paraId="29871856">
      <w:pPr>
        <w:pStyle w:val="84"/>
        <w:numPr>
          <w:ilvl w:val="0"/>
          <w:numId w:val="87"/>
        </w:numPr>
        <w:spacing w:line="360" w:lineRule="auto"/>
        <w:ind w:firstLineChars="0"/>
        <w:rPr>
          <w:rFonts w:ascii="宋体" w:hAnsi="宋体" w:cs="Arial"/>
          <w:sz w:val="24"/>
        </w:rPr>
      </w:pPr>
      <w:r>
        <w:rPr>
          <w:rFonts w:hint="eastAsia" w:ascii="宋体" w:hAnsi="宋体" w:cs="Arial"/>
          <w:sz w:val="24"/>
        </w:rPr>
        <w:t>主要股东或出资人为法人的，填写法人全称及统一社会信用代码（尚未办理三证合一的填写组织机构代码）；为自然人的，填写自然人姓名和身份证号。</w:t>
      </w:r>
    </w:p>
    <w:p w14:paraId="696B08A9">
      <w:pPr>
        <w:pStyle w:val="84"/>
        <w:numPr>
          <w:ilvl w:val="0"/>
          <w:numId w:val="87"/>
        </w:numPr>
        <w:spacing w:line="360" w:lineRule="auto"/>
        <w:ind w:firstLineChars="0"/>
        <w:rPr>
          <w:rFonts w:ascii="宋体" w:hAnsi="宋体" w:cs="Arial"/>
          <w:sz w:val="24"/>
        </w:rPr>
      </w:pPr>
      <w:r>
        <w:rPr>
          <w:rFonts w:hint="eastAsia" w:ascii="宋体" w:hAnsi="宋体" w:cs="Arial"/>
          <w:sz w:val="24"/>
        </w:rPr>
        <w:t>出资方式填写：货币、实物、工艺产权和非专利技术、土地使用权等。</w:t>
      </w:r>
    </w:p>
    <w:p w14:paraId="61E3E199">
      <w:pPr>
        <w:pStyle w:val="84"/>
        <w:numPr>
          <w:ilvl w:val="0"/>
          <w:numId w:val="87"/>
        </w:numPr>
        <w:spacing w:line="360" w:lineRule="auto"/>
        <w:ind w:firstLineChars="0"/>
        <w:rPr>
          <w:rFonts w:ascii="宋体" w:hAnsi="宋体" w:cs="Arial"/>
          <w:sz w:val="24"/>
        </w:rPr>
      </w:pPr>
      <w:r>
        <w:rPr>
          <w:rFonts w:hint="eastAsia" w:ascii="宋体" w:hAnsi="宋体" w:cs="Arial"/>
          <w:sz w:val="24"/>
        </w:rPr>
        <w:t>投标单位应按照占全部股份比例从大到小依次逐个股东填写，股东数量多于10个的，填写前10名，不足10个全部填写。</w:t>
      </w:r>
    </w:p>
    <w:p w14:paraId="494D00AA">
      <w:pPr>
        <w:snapToGrid w:val="0"/>
        <w:spacing w:line="360" w:lineRule="auto"/>
        <w:jc w:val="left"/>
        <w:rPr>
          <w:sz w:val="24"/>
        </w:rPr>
      </w:pPr>
    </w:p>
    <w:p w14:paraId="2D4F0B96">
      <w:pPr>
        <w:snapToGrid w:val="0"/>
        <w:spacing w:line="360" w:lineRule="auto"/>
        <w:jc w:val="left"/>
        <w:rPr>
          <w:sz w:val="24"/>
        </w:rPr>
      </w:pPr>
      <w:r>
        <w:rPr>
          <w:rFonts w:hint="eastAsia"/>
          <w:sz w:val="24"/>
        </w:rPr>
        <w:t>投标人名称（单位盖公章）：</w:t>
      </w:r>
      <w:r>
        <w:rPr>
          <w:sz w:val="24"/>
        </w:rPr>
        <w:t xml:space="preserve"> </w:t>
      </w:r>
    </w:p>
    <w:p w14:paraId="13B979C4">
      <w:pPr>
        <w:snapToGrid w:val="0"/>
        <w:spacing w:line="360" w:lineRule="auto"/>
        <w:jc w:val="left"/>
        <w:rPr>
          <w:sz w:val="24"/>
        </w:rPr>
      </w:pPr>
      <w:r>
        <w:rPr>
          <w:rFonts w:hint="eastAsia"/>
          <w:sz w:val="24"/>
        </w:rPr>
        <w:t>日期：</w:t>
      </w:r>
    </w:p>
    <w:p w14:paraId="30423F45">
      <w:pPr>
        <w:widowControl/>
        <w:jc w:val="left"/>
        <w:rPr>
          <w:rFonts w:ascii="黑体" w:hAnsi="黑体" w:eastAsia="黑体"/>
          <w:sz w:val="24"/>
        </w:rPr>
      </w:pPr>
      <w:r>
        <w:rPr>
          <w:rFonts w:ascii="黑体" w:hAnsi="黑体" w:eastAsia="黑体"/>
          <w:sz w:val="24"/>
        </w:rPr>
        <w:br w:type="page"/>
      </w:r>
    </w:p>
    <w:p w14:paraId="580C24DC">
      <w:pPr>
        <w:tabs>
          <w:tab w:val="left" w:pos="426"/>
        </w:tabs>
        <w:autoSpaceDE w:val="0"/>
        <w:autoSpaceDN w:val="0"/>
        <w:spacing w:line="360" w:lineRule="auto"/>
        <w:jc w:val="center"/>
        <w:outlineLvl w:val="3"/>
        <w:rPr>
          <w:rFonts w:ascii="黑体" w:hAnsi="黑体" w:eastAsia="黑体"/>
          <w:sz w:val="32"/>
          <w:szCs w:val="32"/>
        </w:rPr>
      </w:pPr>
      <w:r>
        <w:rPr>
          <w:rFonts w:hint="eastAsia" w:ascii="黑体" w:hAnsi="黑体" w:eastAsia="黑体"/>
          <w:sz w:val="32"/>
          <w:szCs w:val="32"/>
        </w:rPr>
        <w:t>投 标 函</w:t>
      </w:r>
      <w:bookmarkEnd w:id="94"/>
      <w:bookmarkEnd w:id="95"/>
      <w:bookmarkEnd w:id="96"/>
    </w:p>
    <w:p w14:paraId="5BA1F090">
      <w:pPr>
        <w:spacing w:line="360" w:lineRule="auto"/>
        <w:rPr>
          <w:rFonts w:ascii="宋体" w:hAnsi="宋体"/>
          <w:b/>
          <w:sz w:val="24"/>
        </w:rPr>
      </w:pPr>
      <w:r>
        <w:rPr>
          <w:rFonts w:hint="eastAsia" w:ascii="宋体" w:hAnsi="宋体"/>
          <w:b/>
          <w:sz w:val="24"/>
        </w:rPr>
        <w:t>佛山采联采购招标有限公司</w:t>
      </w:r>
    </w:p>
    <w:p w14:paraId="26F5EBAC">
      <w:pPr>
        <w:spacing w:line="360" w:lineRule="auto"/>
        <w:ind w:left="100" w:leftChars="50" w:firstLine="427" w:firstLineChars="178"/>
        <w:rPr>
          <w:rFonts w:ascii="宋体" w:hAnsi="宋体"/>
          <w:sz w:val="24"/>
        </w:rPr>
      </w:pPr>
      <w:r>
        <w:rPr>
          <w:rFonts w:hint="eastAsia" w:ascii="宋体" w:hAnsi="宋体"/>
          <w:sz w:val="24"/>
        </w:rPr>
        <w:t>我方确认收到贵方</w:t>
      </w:r>
      <w:r>
        <w:rPr>
          <w:rFonts w:hint="eastAsia" w:ascii="宋体" w:hAnsi="宋体"/>
          <w:kern w:val="28"/>
          <w:sz w:val="24"/>
          <w:u w:val="single"/>
          <w:lang w:eastAsia="zh-CN"/>
        </w:rPr>
        <w:t>中华人民共和国佛山出入境边防检查站2026年度节日慰问品采购项目</w:t>
      </w:r>
      <w:r>
        <w:rPr>
          <w:rFonts w:hint="eastAsia" w:ascii="宋体" w:hAnsi="宋体"/>
          <w:kern w:val="28"/>
          <w:sz w:val="24"/>
          <w:u w:val="single"/>
        </w:rPr>
        <w:t xml:space="preserve">      </w:t>
      </w:r>
      <w:r>
        <w:rPr>
          <w:rFonts w:hint="eastAsia" w:ascii="宋体" w:hAnsi="宋体"/>
          <w:kern w:val="28"/>
          <w:sz w:val="24"/>
        </w:rPr>
        <w:t>项目</w:t>
      </w:r>
      <w:r>
        <w:rPr>
          <w:rFonts w:hint="eastAsia" w:ascii="宋体" w:hAnsi="宋体"/>
          <w:sz w:val="24"/>
        </w:rPr>
        <w:t>的招标文件（项目编号：</w:t>
      </w:r>
      <w:r>
        <w:rPr>
          <w:rFonts w:hint="eastAsia" w:ascii="宋体" w:hAnsi="宋体"/>
          <w:sz w:val="24"/>
          <w:lang w:eastAsia="zh-CN"/>
        </w:rPr>
        <w:t>CLZ0126FS00QY05</w:t>
      </w:r>
      <w:r>
        <w:rPr>
          <w:rFonts w:hint="eastAsia" w:ascii="宋体" w:hAnsi="宋体"/>
          <w:sz w:val="24"/>
        </w:rPr>
        <w:t>），</w:t>
      </w:r>
      <w:r>
        <w:rPr>
          <w:rFonts w:hint="eastAsia" w:ascii="宋体" w:hAnsi="宋体"/>
          <w:sz w:val="24"/>
          <w:u w:val="single"/>
        </w:rPr>
        <w:t xml:space="preserve"> (投标人名称、地址)。</w:t>
      </w:r>
      <w:r>
        <w:rPr>
          <w:rFonts w:hint="eastAsia" w:ascii="宋体" w:hAnsi="宋体"/>
          <w:sz w:val="24"/>
        </w:rPr>
        <w:t>作为投标人已正式授权《法定代表人授权委托书》中的授权代表或法定代表人为我方签名代表，签名代表在此声明并同意：</w:t>
      </w:r>
    </w:p>
    <w:p w14:paraId="6C52DD62">
      <w:pPr>
        <w:numPr>
          <w:ilvl w:val="0"/>
          <w:numId w:val="88"/>
        </w:numPr>
        <w:tabs>
          <w:tab w:val="clear" w:pos="780"/>
        </w:tabs>
        <w:snapToGrid w:val="0"/>
        <w:spacing w:line="360" w:lineRule="auto"/>
        <w:ind w:left="426"/>
        <w:rPr>
          <w:rFonts w:ascii="宋体" w:hAnsi="宋体"/>
          <w:sz w:val="24"/>
        </w:rPr>
      </w:pPr>
      <w:r>
        <w:rPr>
          <w:rFonts w:hint="eastAsia" w:ascii="宋体" w:hAnsi="宋体"/>
          <w:sz w:val="24"/>
        </w:rPr>
        <w:t>我们愿意遵守采购代理机构招标文件的各项规定，自愿参加投标，并已清楚招标文件的要求及有关文件规定，并严格按照招标文件的规定履行全部责任和义务。</w:t>
      </w:r>
    </w:p>
    <w:p w14:paraId="26D188C0">
      <w:pPr>
        <w:numPr>
          <w:ilvl w:val="0"/>
          <w:numId w:val="88"/>
        </w:numPr>
        <w:tabs>
          <w:tab w:val="clear" w:pos="780"/>
        </w:tabs>
        <w:snapToGrid w:val="0"/>
        <w:spacing w:line="360" w:lineRule="auto"/>
        <w:ind w:left="426"/>
        <w:rPr>
          <w:rFonts w:ascii="宋体" w:hAnsi="宋体"/>
          <w:sz w:val="24"/>
        </w:rPr>
      </w:pPr>
      <w:r>
        <w:rPr>
          <w:rFonts w:hint="eastAsia" w:ascii="宋体" w:hAnsi="宋体"/>
          <w:sz w:val="24"/>
        </w:rPr>
        <w:t>我们同意本投标文件的投标有效期从提交投标文件的截止之日起</w:t>
      </w:r>
      <w:r>
        <w:rPr>
          <w:rFonts w:ascii="宋体" w:hAnsi="宋体"/>
          <w:b/>
          <w:bCs/>
          <w:sz w:val="24"/>
          <w:u w:val="single"/>
        </w:rPr>
        <w:t>90</w:t>
      </w:r>
      <w:r>
        <w:rPr>
          <w:rFonts w:ascii="宋体" w:hAnsi="宋体"/>
          <w:b/>
          <w:bCs/>
          <w:sz w:val="24"/>
        </w:rPr>
        <w:t>日历日</w:t>
      </w:r>
      <w:r>
        <w:rPr>
          <w:rFonts w:ascii="宋体" w:hAnsi="宋体"/>
          <w:sz w:val="24"/>
        </w:rPr>
        <w:t>内有效，并承诺不予撤销已递交的投标文件。</w:t>
      </w:r>
    </w:p>
    <w:p w14:paraId="7B5B7EB0">
      <w:pPr>
        <w:numPr>
          <w:ilvl w:val="0"/>
          <w:numId w:val="88"/>
        </w:numPr>
        <w:tabs>
          <w:tab w:val="clear" w:pos="780"/>
        </w:tabs>
        <w:snapToGrid w:val="0"/>
        <w:spacing w:line="360" w:lineRule="auto"/>
        <w:ind w:left="426"/>
        <w:rPr>
          <w:rFonts w:ascii="宋体" w:hAnsi="宋体"/>
          <w:sz w:val="24"/>
        </w:rPr>
      </w:pPr>
      <w:r>
        <w:rPr>
          <w:rFonts w:hint="eastAsia" w:ascii="宋体" w:hAnsi="宋体"/>
          <w:sz w:val="24"/>
        </w:rPr>
        <w:t>我们已经详细地阅读并完全明白了全部招标文件及附件，包括澄清（如有）及参考文件，我们完全理解本招标文件的要求，</w:t>
      </w:r>
      <w:r>
        <w:rPr>
          <w:rFonts w:hint="eastAsia" w:ascii="宋体"/>
          <w:sz w:val="24"/>
        </w:rPr>
        <w:t>我们同意放弃对招标文件提出不明或误解的一切权力</w:t>
      </w:r>
      <w:r>
        <w:rPr>
          <w:rFonts w:hint="eastAsia" w:ascii="宋体" w:hAnsi="宋体"/>
          <w:sz w:val="24"/>
        </w:rPr>
        <w:t>。</w:t>
      </w:r>
    </w:p>
    <w:p w14:paraId="473BFD52">
      <w:pPr>
        <w:numPr>
          <w:ilvl w:val="0"/>
          <w:numId w:val="88"/>
        </w:numPr>
        <w:tabs>
          <w:tab w:val="clear" w:pos="780"/>
        </w:tabs>
        <w:snapToGrid w:val="0"/>
        <w:spacing w:line="360" w:lineRule="auto"/>
        <w:ind w:left="426"/>
        <w:rPr>
          <w:rFonts w:ascii="宋体" w:hAnsi="宋体"/>
          <w:sz w:val="24"/>
        </w:rPr>
      </w:pPr>
      <w:r>
        <w:rPr>
          <w:rFonts w:hint="eastAsia" w:ascii="宋体" w:hAnsi="宋体"/>
          <w:sz w:val="24"/>
        </w:rPr>
        <w:t>我们同意提供</w:t>
      </w:r>
      <w:r>
        <w:rPr>
          <w:rFonts w:hint="eastAsia" w:ascii="宋体" w:hAnsi="宋体" w:cs="宋体"/>
          <w:sz w:val="24"/>
          <w:lang w:eastAsia="zh-TW"/>
        </w:rPr>
        <w:t>采购人或者采购代理机构</w:t>
      </w:r>
      <w:r>
        <w:rPr>
          <w:rFonts w:hint="eastAsia" w:ascii="宋体" w:hAnsi="宋体"/>
          <w:sz w:val="24"/>
        </w:rPr>
        <w:t>与评标委员会要求的有关投标的一切数据或资料。</w:t>
      </w:r>
    </w:p>
    <w:p w14:paraId="2A4BC1E6">
      <w:pPr>
        <w:numPr>
          <w:ilvl w:val="0"/>
          <w:numId w:val="88"/>
        </w:numPr>
        <w:tabs>
          <w:tab w:val="clear" w:pos="780"/>
        </w:tabs>
        <w:snapToGrid w:val="0"/>
        <w:spacing w:line="360" w:lineRule="auto"/>
        <w:ind w:left="426"/>
        <w:rPr>
          <w:rFonts w:ascii="宋体" w:hAnsi="宋体"/>
          <w:sz w:val="24"/>
        </w:rPr>
      </w:pPr>
      <w:r>
        <w:rPr>
          <w:rFonts w:hint="eastAsia" w:ascii="宋体" w:hAnsi="宋体"/>
          <w:sz w:val="24"/>
        </w:rPr>
        <w:t>我们理解</w:t>
      </w:r>
      <w:r>
        <w:rPr>
          <w:rFonts w:hint="eastAsia" w:ascii="宋体" w:hAnsi="宋体" w:cs="宋体"/>
          <w:sz w:val="24"/>
          <w:lang w:eastAsia="zh-TW"/>
        </w:rPr>
        <w:t>采购人或者采购代理机构</w:t>
      </w:r>
      <w:r>
        <w:rPr>
          <w:rFonts w:hint="eastAsia" w:ascii="宋体" w:hAnsi="宋体"/>
          <w:sz w:val="24"/>
        </w:rPr>
        <w:t>与评标委员会并无义务必须接受最低报价的投标或其它任何投标，完全理解采购代理机构拒绝迟到的任何投标和最低投标报价不是被授予中标的唯一条件。</w:t>
      </w:r>
    </w:p>
    <w:p w14:paraId="4A2540BD">
      <w:pPr>
        <w:numPr>
          <w:ilvl w:val="0"/>
          <w:numId w:val="88"/>
        </w:numPr>
        <w:tabs>
          <w:tab w:val="clear" w:pos="780"/>
        </w:tabs>
        <w:snapToGrid w:val="0"/>
        <w:spacing w:line="360" w:lineRule="auto"/>
        <w:ind w:left="426"/>
        <w:rPr>
          <w:rFonts w:ascii="宋体" w:hAnsi="宋体"/>
          <w:sz w:val="24"/>
        </w:rPr>
      </w:pPr>
      <w:r>
        <w:rPr>
          <w:rFonts w:hint="eastAsia" w:ascii="宋体" w:hAnsi="宋体"/>
          <w:sz w:val="24"/>
        </w:rPr>
        <w:t xml:space="preserve">如果我们未对招标文件全部要求作出实质性响应，则完全同意并接受按无效投标处理。 </w:t>
      </w:r>
    </w:p>
    <w:p w14:paraId="273E02F4">
      <w:pPr>
        <w:numPr>
          <w:ilvl w:val="0"/>
          <w:numId w:val="88"/>
        </w:numPr>
        <w:tabs>
          <w:tab w:val="clear" w:pos="780"/>
        </w:tabs>
        <w:snapToGrid w:val="0"/>
        <w:spacing w:line="360" w:lineRule="auto"/>
        <w:ind w:left="426"/>
        <w:rPr>
          <w:rFonts w:ascii="宋体" w:hAnsi="宋体"/>
          <w:sz w:val="24"/>
        </w:rPr>
      </w:pPr>
      <w:r>
        <w:rPr>
          <w:rFonts w:hint="eastAsia" w:ascii="宋体" w:hAnsi="宋体"/>
          <w:sz w:val="24"/>
        </w:rPr>
        <w:t>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w:t>
      </w:r>
    </w:p>
    <w:p w14:paraId="2FF4D763">
      <w:pPr>
        <w:numPr>
          <w:ilvl w:val="0"/>
          <w:numId w:val="88"/>
        </w:numPr>
        <w:tabs>
          <w:tab w:val="clear" w:pos="780"/>
        </w:tabs>
        <w:snapToGrid w:val="0"/>
        <w:spacing w:line="360" w:lineRule="auto"/>
        <w:ind w:left="426"/>
        <w:rPr>
          <w:rFonts w:ascii="宋体" w:hAnsi="宋体"/>
          <w:sz w:val="24"/>
        </w:rPr>
      </w:pPr>
      <w:r>
        <w:rPr>
          <w:rFonts w:hint="eastAsia" w:ascii="宋体" w:hAnsi="宋体"/>
          <w:sz w:val="24"/>
        </w:rPr>
        <w:t>如果我们提供的声明或承诺不真实，则完全同意认定为我司提供虚假材料，并同意作相应处理。</w:t>
      </w:r>
    </w:p>
    <w:p w14:paraId="1A211EF5">
      <w:pPr>
        <w:numPr>
          <w:ilvl w:val="0"/>
          <w:numId w:val="88"/>
        </w:numPr>
        <w:tabs>
          <w:tab w:val="clear" w:pos="780"/>
        </w:tabs>
        <w:snapToGrid w:val="0"/>
        <w:spacing w:line="360" w:lineRule="auto"/>
        <w:ind w:left="426"/>
        <w:rPr>
          <w:rFonts w:ascii="宋体" w:hAnsi="宋体"/>
          <w:sz w:val="24"/>
        </w:rPr>
      </w:pPr>
      <w:r>
        <w:rPr>
          <w:rFonts w:hint="eastAsia" w:ascii="宋体" w:hAnsi="宋体"/>
          <w:sz w:val="24"/>
        </w:rPr>
        <w:t>我们是依法注册的法人，在法律、财务及运作上完全独立于本项目采购人、用户单位（如有）和采购代理机构。</w:t>
      </w:r>
    </w:p>
    <w:p w14:paraId="6174CF81">
      <w:pPr>
        <w:numPr>
          <w:ilvl w:val="0"/>
          <w:numId w:val="88"/>
        </w:numPr>
        <w:tabs>
          <w:tab w:val="clear" w:pos="780"/>
        </w:tabs>
        <w:snapToGrid w:val="0"/>
        <w:spacing w:line="360" w:lineRule="auto"/>
        <w:ind w:left="426"/>
        <w:rPr>
          <w:rFonts w:ascii="宋体" w:hAnsi="宋体"/>
          <w:sz w:val="24"/>
        </w:rPr>
      </w:pPr>
      <w:r>
        <w:rPr>
          <w:rFonts w:hint="eastAsia" w:ascii="宋体" w:hAnsi="宋体"/>
          <w:sz w:val="24"/>
        </w:rPr>
        <w:t>与本投标有关的一切正式信函请寄：</w:t>
      </w:r>
      <w:r>
        <w:rPr>
          <w:rFonts w:hint="eastAsia" w:ascii="宋体" w:hAnsi="宋体"/>
          <w:sz w:val="24"/>
          <w:u w:val="single"/>
        </w:rPr>
        <w:t xml:space="preserve">      地址      </w:t>
      </w:r>
    </w:p>
    <w:p w14:paraId="3BC7CB0C">
      <w:pPr>
        <w:rPr>
          <w:rFonts w:ascii="宋体"/>
          <w:sz w:val="24"/>
        </w:rPr>
      </w:pPr>
    </w:p>
    <w:p w14:paraId="1DA74282">
      <w:pPr>
        <w:spacing w:line="500" w:lineRule="exact"/>
        <w:ind w:left="420"/>
        <w:rPr>
          <w:spacing w:val="4"/>
          <w:sz w:val="24"/>
        </w:rPr>
      </w:pPr>
      <w:r>
        <w:rPr>
          <w:rFonts w:hint="eastAsia"/>
          <w:spacing w:val="4"/>
          <w:sz w:val="24"/>
        </w:rPr>
        <w:t>投标人名称（单位盖公章）：</w:t>
      </w:r>
    </w:p>
    <w:p w14:paraId="69AF61C7">
      <w:pPr>
        <w:spacing w:line="500" w:lineRule="exact"/>
        <w:ind w:left="420"/>
        <w:rPr>
          <w:spacing w:val="4"/>
          <w:sz w:val="24"/>
        </w:rPr>
      </w:pPr>
      <w:r>
        <w:rPr>
          <w:rFonts w:hint="eastAsia" w:ascii="宋体"/>
          <w:sz w:val="24"/>
        </w:rPr>
        <w:t>法定代表人或</w:t>
      </w:r>
      <w:r>
        <w:rPr>
          <w:rFonts w:hint="eastAsia" w:ascii="宋体" w:hAnsi="宋体"/>
          <w:sz w:val="24"/>
        </w:rPr>
        <w:t>投标人授权代表（签名或盖个人名章）</w:t>
      </w:r>
      <w:r>
        <w:rPr>
          <w:rFonts w:hint="eastAsia"/>
          <w:spacing w:val="4"/>
          <w:sz w:val="24"/>
        </w:rPr>
        <w:t xml:space="preserve"> </w:t>
      </w:r>
    </w:p>
    <w:p w14:paraId="319FEA83">
      <w:pPr>
        <w:spacing w:line="500" w:lineRule="exact"/>
        <w:ind w:left="420"/>
        <w:rPr>
          <w:spacing w:val="4"/>
          <w:sz w:val="24"/>
        </w:rPr>
      </w:pPr>
      <w:r>
        <w:rPr>
          <w:rFonts w:hint="eastAsia"/>
          <w:spacing w:val="4"/>
          <w:sz w:val="24"/>
        </w:rPr>
        <w:t>日期</w:t>
      </w:r>
    </w:p>
    <w:p w14:paraId="4AF2814A">
      <w:pPr>
        <w:snapToGrid w:val="0"/>
        <w:spacing w:line="360" w:lineRule="auto"/>
        <w:ind w:firstLine="494" w:firstLineChars="206"/>
        <w:rPr>
          <w:rFonts w:ascii="黑体" w:eastAsia="黑体"/>
          <w:bCs/>
          <w:sz w:val="24"/>
        </w:rPr>
      </w:pPr>
    </w:p>
    <w:p w14:paraId="7A5449E1">
      <w:pPr>
        <w:autoSpaceDE w:val="0"/>
        <w:autoSpaceDN w:val="0"/>
        <w:spacing w:line="360" w:lineRule="auto"/>
        <w:ind w:left="420" w:firstLine="6"/>
        <w:rPr>
          <w:rFonts w:ascii="宋体" w:hAnsi="宋体"/>
          <w:sz w:val="24"/>
        </w:rPr>
      </w:pPr>
      <w:r>
        <w:rPr>
          <w:rFonts w:hint="eastAsia" w:ascii="宋体" w:hAnsi="宋体"/>
          <w:sz w:val="24"/>
        </w:rPr>
        <w:t>备注：投标函中承诺的投标有效期应当不少于招标文件中载明的投标有效期，其他内容不得擅自删改，否则视为无效投标。</w:t>
      </w:r>
    </w:p>
    <w:p w14:paraId="183D240E">
      <w:pPr>
        <w:snapToGrid w:val="0"/>
        <w:spacing w:line="360" w:lineRule="auto"/>
        <w:ind w:firstLine="494" w:firstLineChars="206"/>
        <w:rPr>
          <w:rFonts w:ascii="黑体" w:eastAsia="黑体"/>
          <w:bCs/>
          <w:sz w:val="24"/>
        </w:rPr>
        <w:sectPr>
          <w:pgSz w:w="11906" w:h="16838"/>
          <w:pgMar w:top="1440" w:right="1286" w:bottom="1440" w:left="1440" w:header="851" w:footer="992" w:gutter="0"/>
          <w:cols w:space="720" w:num="1"/>
          <w:docGrid w:type="lines" w:linePitch="312" w:charSpace="0"/>
        </w:sectPr>
      </w:pPr>
    </w:p>
    <w:p w14:paraId="0637A0D4">
      <w:pPr>
        <w:tabs>
          <w:tab w:val="left" w:pos="142"/>
        </w:tabs>
        <w:autoSpaceDE w:val="0"/>
        <w:autoSpaceDN w:val="0"/>
        <w:spacing w:line="360" w:lineRule="auto"/>
        <w:ind w:left="-2" w:leftChars="-1" w:firstLine="2"/>
        <w:jc w:val="center"/>
        <w:outlineLvl w:val="3"/>
        <w:rPr>
          <w:rFonts w:ascii="黑体" w:hAnsi="黑体" w:eastAsia="黑体"/>
          <w:sz w:val="32"/>
          <w:szCs w:val="32"/>
        </w:rPr>
      </w:pPr>
      <w:bookmarkStart w:id="97" w:name="_承诺函"/>
      <w:bookmarkEnd w:id="97"/>
      <w:bookmarkStart w:id="98" w:name="_Toc52165081"/>
      <w:bookmarkStart w:id="99" w:name="_Toc435514859"/>
      <w:bookmarkStart w:id="100" w:name="_Toc50737329"/>
      <w:bookmarkStart w:id="101" w:name="_Toc275865607"/>
      <w:bookmarkStart w:id="102" w:name="_Toc435515299"/>
      <w:bookmarkStart w:id="103" w:name="_Toc50736477"/>
      <w:bookmarkStart w:id="104" w:name="_Toc50737297"/>
      <w:bookmarkStart w:id="105" w:name="_Toc50737328"/>
      <w:bookmarkStart w:id="106" w:name="_Toc50736476"/>
      <w:bookmarkStart w:id="107" w:name="_Toc50737296"/>
      <w:bookmarkStart w:id="108" w:name="_Toc52165080"/>
      <w:bookmarkStart w:id="109" w:name="_Toc50691034"/>
      <w:r>
        <w:rPr>
          <w:rFonts w:hint="eastAsia" w:ascii="黑体" w:hAnsi="黑体" w:eastAsia="黑体"/>
          <w:sz w:val="32"/>
          <w:szCs w:val="32"/>
        </w:rPr>
        <w:t>法定代表人授权委托书</w:t>
      </w:r>
      <w:bookmarkEnd w:id="98"/>
      <w:bookmarkEnd w:id="99"/>
      <w:bookmarkEnd w:id="100"/>
      <w:bookmarkEnd w:id="101"/>
      <w:bookmarkEnd w:id="102"/>
      <w:bookmarkEnd w:id="103"/>
      <w:bookmarkEnd w:id="104"/>
    </w:p>
    <w:p w14:paraId="622B24F0">
      <w:pPr>
        <w:pStyle w:val="20"/>
        <w:spacing w:line="360" w:lineRule="auto"/>
        <w:ind w:firstLine="480" w:firstLineChars="200"/>
        <w:rPr>
          <w:sz w:val="24"/>
          <w:szCs w:val="24"/>
        </w:rPr>
      </w:pPr>
      <w:r>
        <w:rPr>
          <w:rFonts w:hint="eastAsia"/>
          <w:sz w:val="24"/>
          <w:szCs w:val="24"/>
        </w:rPr>
        <w:t>本授权委托书声明：注册于</w:t>
      </w:r>
      <w:r>
        <w:rPr>
          <w:rFonts w:hint="eastAsia"/>
          <w:sz w:val="24"/>
          <w:szCs w:val="24"/>
          <w:u w:val="single"/>
        </w:rPr>
        <w:t xml:space="preserve"> （投标人地址）  </w:t>
      </w:r>
      <w:r>
        <w:rPr>
          <w:rFonts w:hint="eastAsia"/>
          <w:sz w:val="24"/>
          <w:szCs w:val="24"/>
        </w:rPr>
        <w:t>的</w:t>
      </w:r>
      <w:r>
        <w:rPr>
          <w:rFonts w:hint="eastAsia"/>
          <w:sz w:val="24"/>
          <w:szCs w:val="24"/>
          <w:u w:val="single"/>
        </w:rPr>
        <w:t xml:space="preserve">  （单位名称）    </w:t>
      </w:r>
      <w:r>
        <w:rPr>
          <w:rFonts w:hint="eastAsia"/>
          <w:sz w:val="24"/>
          <w:szCs w:val="24"/>
        </w:rPr>
        <w:t>在下面签名的</w:t>
      </w:r>
      <w:r>
        <w:rPr>
          <w:rFonts w:hint="eastAsia"/>
          <w:sz w:val="24"/>
          <w:szCs w:val="24"/>
          <w:u w:val="single"/>
        </w:rPr>
        <w:t>（法定代表人姓名、职务）</w:t>
      </w:r>
      <w:r>
        <w:rPr>
          <w:rFonts w:hint="eastAsia"/>
          <w:sz w:val="24"/>
          <w:szCs w:val="24"/>
        </w:rPr>
        <w:t>在此授权</w:t>
      </w:r>
      <w:r>
        <w:rPr>
          <w:rFonts w:hint="eastAsia"/>
          <w:sz w:val="24"/>
          <w:szCs w:val="24"/>
          <w:u w:val="single"/>
        </w:rPr>
        <w:t>（被授权人姓名、职务）</w:t>
      </w:r>
      <w:r>
        <w:rPr>
          <w:rFonts w:hint="eastAsia"/>
          <w:sz w:val="24"/>
          <w:szCs w:val="24"/>
        </w:rPr>
        <w:t>作为我公司的合法代理人，就</w:t>
      </w:r>
      <w:r>
        <w:rPr>
          <w:rFonts w:hint="eastAsia"/>
          <w:sz w:val="24"/>
          <w:szCs w:val="24"/>
          <w:u w:val="single"/>
        </w:rPr>
        <w:t>（项目名称、项目编号</w:t>
      </w:r>
      <w:r>
        <w:rPr>
          <w:rFonts w:hint="eastAsia"/>
          <w:sz w:val="24"/>
          <w:szCs w:val="24"/>
        </w:rPr>
        <w:t>）的招投标活动，采购合同的签订、执行、完成和售后服务，作为投标人代表以我方的名义处理一切与之有关的事务。</w:t>
      </w:r>
    </w:p>
    <w:p w14:paraId="72D423D2">
      <w:pPr>
        <w:pStyle w:val="20"/>
        <w:spacing w:line="360" w:lineRule="auto"/>
        <w:ind w:firstLine="480" w:firstLineChars="200"/>
        <w:rPr>
          <w:sz w:val="24"/>
          <w:szCs w:val="24"/>
        </w:rPr>
      </w:pPr>
      <w:r>
        <w:rPr>
          <w:rFonts w:hint="eastAsia"/>
          <w:sz w:val="24"/>
          <w:szCs w:val="24"/>
        </w:rPr>
        <w:t>被授权人（投标人授权代表）无转委托权限。</w:t>
      </w:r>
    </w:p>
    <w:p w14:paraId="26236953">
      <w:pPr>
        <w:spacing w:line="360" w:lineRule="auto"/>
        <w:ind w:firstLine="480" w:firstLineChars="200"/>
        <w:rPr>
          <w:rFonts w:ascii="宋体"/>
          <w:sz w:val="24"/>
        </w:rPr>
      </w:pPr>
      <w:r>
        <w:rPr>
          <w:rFonts w:hint="eastAsia" w:ascii="宋体"/>
          <w:sz w:val="24"/>
        </w:rPr>
        <w:t>本授权书自法定代表人签字（或盖个人名章）之日起生效，特此声明。</w:t>
      </w:r>
    </w:p>
    <w:p w14:paraId="0B9E65E5">
      <w:pPr>
        <w:spacing w:line="360" w:lineRule="auto"/>
        <w:rPr>
          <w:rFonts w:ascii="宋体"/>
          <w:sz w:val="24"/>
        </w:rPr>
      </w:pPr>
    </w:p>
    <w:p w14:paraId="65E908AC">
      <w:pPr>
        <w:spacing w:line="360" w:lineRule="auto"/>
        <w:rPr>
          <w:rFonts w:ascii="宋体"/>
          <w:sz w:val="24"/>
        </w:rPr>
      </w:pPr>
    </w:p>
    <w:p w14:paraId="61AEAECD">
      <w:pPr>
        <w:spacing w:line="360" w:lineRule="auto"/>
        <w:rPr>
          <w:rFonts w:ascii="宋体"/>
          <w:sz w:val="24"/>
        </w:rPr>
      </w:pPr>
      <w:r>
        <w:rPr>
          <w:rFonts w:hint="eastAsia" w:ascii="宋体"/>
          <w:sz w:val="24"/>
        </w:rPr>
        <w:t>投标人名称（</w:t>
      </w:r>
      <w:r>
        <w:rPr>
          <w:rFonts w:hint="eastAsia" w:ascii="宋体" w:hAnsi="宋体"/>
          <w:sz w:val="24"/>
        </w:rPr>
        <w:t>单位盖</w:t>
      </w:r>
      <w:r>
        <w:rPr>
          <w:rFonts w:hint="eastAsia"/>
          <w:spacing w:val="4"/>
          <w:sz w:val="24"/>
        </w:rPr>
        <w:t>公章</w:t>
      </w:r>
      <w:r>
        <w:rPr>
          <w:rFonts w:hint="eastAsia" w:ascii="宋体"/>
          <w:sz w:val="24"/>
        </w:rPr>
        <w:t>）：</w:t>
      </w:r>
    </w:p>
    <w:p w14:paraId="3715FFAF">
      <w:pPr>
        <w:spacing w:line="360" w:lineRule="auto"/>
        <w:rPr>
          <w:rFonts w:ascii="宋体"/>
          <w:sz w:val="24"/>
        </w:rPr>
      </w:pPr>
      <w:r>
        <w:rPr>
          <w:rFonts w:hint="eastAsia" w:ascii="宋体"/>
          <w:sz w:val="24"/>
        </w:rPr>
        <w:t>地      址：</w:t>
      </w:r>
    </w:p>
    <w:p w14:paraId="0B13BA39">
      <w:pPr>
        <w:tabs>
          <w:tab w:val="left" w:pos="3780"/>
        </w:tabs>
        <w:spacing w:line="360" w:lineRule="auto"/>
        <w:rPr>
          <w:rFonts w:ascii="宋体"/>
          <w:sz w:val="24"/>
        </w:rPr>
      </w:pPr>
      <w:r>
        <w:rPr>
          <w:rFonts w:hint="eastAsia" w:ascii="宋体"/>
          <w:sz w:val="24"/>
        </w:rPr>
        <w:t xml:space="preserve">法定代表人（签字或盖个人名章）：                         签字日期：  </w:t>
      </w:r>
      <w:r>
        <w:rPr>
          <w:rFonts w:hint="eastAsia" w:ascii="宋体" w:hAnsi="宋体"/>
          <w:sz w:val="24"/>
        </w:rPr>
        <w:t>年  月  日</w:t>
      </w:r>
    </w:p>
    <w:p w14:paraId="4D59AACA">
      <w:pPr>
        <w:spacing w:line="360" w:lineRule="auto"/>
        <w:ind w:left="1104" w:leftChars="552" w:firstLine="2261"/>
        <w:rPr>
          <w:rFonts w:ascii="宋体"/>
          <w:sz w:val="24"/>
        </w:rPr>
      </w:pPr>
    </w:p>
    <w:p w14:paraId="7A626765">
      <w:pPr>
        <w:spacing w:line="360" w:lineRule="auto"/>
        <w:rPr>
          <w:rFonts w:ascii="宋体"/>
          <w:sz w:val="24"/>
        </w:rPr>
      </w:pPr>
      <w:r>
        <w:rPr>
          <w:rFonts w:ascii="宋体"/>
          <w:sz w:val="24"/>
        </w:rPr>
        <mc:AlternateContent>
          <mc:Choice Requires="wpg">
            <w:drawing>
              <wp:anchor distT="0" distB="0" distL="114300" distR="114300" simplePos="0" relativeHeight="251660288" behindDoc="0" locked="0" layoutInCell="1" allowOverlap="1">
                <wp:simplePos x="0" y="0"/>
                <wp:positionH relativeFrom="column">
                  <wp:posOffset>-19050</wp:posOffset>
                </wp:positionH>
                <wp:positionV relativeFrom="paragraph">
                  <wp:posOffset>217170</wp:posOffset>
                </wp:positionV>
                <wp:extent cx="5584190" cy="1487805"/>
                <wp:effectExtent l="0" t="0" r="0" b="0"/>
                <wp:wrapNone/>
                <wp:docPr id="9" name="组合 6"/>
                <wp:cNvGraphicFramePr/>
                <a:graphic xmlns:a="http://schemas.openxmlformats.org/drawingml/2006/main">
                  <a:graphicData uri="http://schemas.microsoft.com/office/word/2010/wordprocessingGroup">
                    <wpg:wgp>
                      <wpg:cNvGrpSpPr/>
                      <wpg:grpSpPr>
                        <a:xfrm>
                          <a:off x="0" y="0"/>
                          <a:ext cx="5584190" cy="1487805"/>
                          <a:chOff x="1410" y="9240"/>
                          <a:chExt cx="8794" cy="2343"/>
                        </a:xfrm>
                      </wpg:grpSpPr>
                      <wps:wsp>
                        <wps:cNvPr id="11" name="矩形 4"/>
                        <wps:cNvSpPr>
                          <a:spLocks noChangeArrowheads="1"/>
                        </wps:cNvSpPr>
                        <wps:spPr bwMode="auto">
                          <a:xfrm>
                            <a:off x="1410" y="9240"/>
                            <a:ext cx="4337" cy="2343"/>
                          </a:xfrm>
                          <a:prstGeom prst="rect">
                            <a:avLst/>
                          </a:prstGeom>
                          <a:solidFill>
                            <a:srgbClr val="FFFFFF"/>
                          </a:solidFill>
                          <a:ln w="9525">
                            <a:solidFill>
                              <a:srgbClr val="000000"/>
                            </a:solidFill>
                            <a:miter lim="800000"/>
                          </a:ln>
                        </wps:spPr>
                        <wps:txbx>
                          <w:txbxContent>
                            <w:p w14:paraId="3A92AE76">
                              <w:pPr>
                                <w:jc w:val="center"/>
                              </w:pPr>
                            </w:p>
                            <w:p w14:paraId="3758BD12">
                              <w:pPr>
                                <w:jc w:val="center"/>
                                <w:rPr>
                                  <w:sz w:val="24"/>
                                </w:rPr>
                              </w:pPr>
                              <w:r>
                                <w:rPr>
                                  <w:rFonts w:hint="eastAsia"/>
                                  <w:sz w:val="24"/>
                                </w:rPr>
                                <w:t>被授权人（授权代表）</w:t>
                              </w:r>
                            </w:p>
                            <w:p w14:paraId="622A15A6">
                              <w:pPr>
                                <w:jc w:val="center"/>
                                <w:rPr>
                                  <w:sz w:val="24"/>
                                </w:rPr>
                              </w:pPr>
                              <w:r>
                                <w:rPr>
                                  <w:rFonts w:hint="eastAsia"/>
                                  <w:sz w:val="24"/>
                                </w:rPr>
                                <w:t>居民身份证复印件粘贴处</w:t>
                              </w:r>
                            </w:p>
                            <w:p w14:paraId="6274C0DD">
                              <w:pPr>
                                <w:ind w:firstLine="1200" w:firstLineChars="500"/>
                                <w:rPr>
                                  <w:sz w:val="24"/>
                                </w:rPr>
                              </w:pPr>
                            </w:p>
                            <w:p w14:paraId="23143822">
                              <w:pPr>
                                <w:jc w:val="center"/>
                              </w:pPr>
                              <w:r>
                                <w:rPr>
                                  <w:rFonts w:hint="eastAsia"/>
                                  <w:sz w:val="24"/>
                                </w:rPr>
                                <w:t>（正面）</w:t>
                              </w:r>
                            </w:p>
                            <w:p w14:paraId="44B459EF"/>
                          </w:txbxContent>
                        </wps:txbx>
                        <wps:bodyPr rot="0" vert="horz" wrap="square" lIns="91440" tIns="45720" rIns="91440" bIns="45720" anchor="t" anchorCtr="0" upright="1">
                          <a:noAutofit/>
                        </wps:bodyPr>
                      </wps:wsp>
                      <wps:wsp>
                        <wps:cNvPr id="12" name="矩形 8"/>
                        <wps:cNvSpPr>
                          <a:spLocks noChangeArrowheads="1"/>
                        </wps:cNvSpPr>
                        <wps:spPr bwMode="auto">
                          <a:xfrm>
                            <a:off x="5867" y="9240"/>
                            <a:ext cx="4337" cy="2343"/>
                          </a:xfrm>
                          <a:prstGeom prst="rect">
                            <a:avLst/>
                          </a:prstGeom>
                          <a:solidFill>
                            <a:srgbClr val="FFFFFF"/>
                          </a:solidFill>
                          <a:ln w="9525">
                            <a:solidFill>
                              <a:srgbClr val="000000"/>
                            </a:solidFill>
                            <a:miter lim="800000"/>
                          </a:ln>
                        </wps:spPr>
                        <wps:txbx>
                          <w:txbxContent>
                            <w:p w14:paraId="2A5F9687">
                              <w:pPr>
                                <w:jc w:val="center"/>
                              </w:pPr>
                            </w:p>
                            <w:p w14:paraId="32C04781">
                              <w:pPr>
                                <w:jc w:val="center"/>
                                <w:rPr>
                                  <w:sz w:val="24"/>
                                </w:rPr>
                              </w:pPr>
                              <w:r>
                                <w:rPr>
                                  <w:rFonts w:hint="eastAsia"/>
                                  <w:sz w:val="24"/>
                                </w:rPr>
                                <w:t>被授权人（授权代表）</w:t>
                              </w:r>
                            </w:p>
                            <w:p w14:paraId="37EC5531">
                              <w:pPr>
                                <w:jc w:val="center"/>
                                <w:rPr>
                                  <w:sz w:val="24"/>
                                </w:rPr>
                              </w:pPr>
                              <w:r>
                                <w:rPr>
                                  <w:rFonts w:hint="eastAsia"/>
                                  <w:sz w:val="24"/>
                                </w:rPr>
                                <w:t>居民身份证复印件粘贴处</w:t>
                              </w:r>
                            </w:p>
                            <w:p w14:paraId="1F876197">
                              <w:pPr>
                                <w:ind w:firstLine="1200" w:firstLineChars="500"/>
                                <w:rPr>
                                  <w:sz w:val="24"/>
                                </w:rPr>
                              </w:pPr>
                            </w:p>
                            <w:p w14:paraId="034988D6">
                              <w:pPr>
                                <w:jc w:val="center"/>
                                <w:rPr>
                                  <w:sz w:val="24"/>
                                </w:rPr>
                              </w:pPr>
                              <w:r>
                                <w:rPr>
                                  <w:rFonts w:hint="eastAsia"/>
                                  <w:sz w:val="24"/>
                                </w:rPr>
                                <w:t>（反面）</w:t>
                              </w:r>
                            </w:p>
                            <w:p w14:paraId="1C44FD2E"/>
                          </w:txbxContent>
                        </wps:txbx>
                        <wps:bodyPr rot="0" vert="horz" wrap="square" lIns="91440" tIns="45720" rIns="91440" bIns="45720" anchor="t" anchorCtr="0" upright="1">
                          <a:noAutofit/>
                        </wps:bodyPr>
                      </wps:wsp>
                    </wpg:wgp>
                  </a:graphicData>
                </a:graphic>
              </wp:anchor>
            </w:drawing>
          </mc:Choice>
          <mc:Fallback>
            <w:pict>
              <v:group id="组合 6" o:spid="_x0000_s1026" o:spt="203" style="position:absolute;left:0pt;margin-left:-1.5pt;margin-top:17.1pt;height:117.15pt;width:439.7pt;z-index:251660288;mso-width-relative:page;mso-height-relative:page;" coordorigin="1410,9240" coordsize="8794,2343" o:gfxdata="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ANU&#10;aMXaAAAACQEAAA8AAAAAAAAAAQAgAAAAIgAAAGRycy9kb3ducmV2LnhtbFBLAQIUABQAAAAIAIdO&#10;4kDJCBUDzAIAAEsIAAAOAAAAAAAAAAEAIAAAACkBAABkcnMvZTJvRG9jLnhtbFBLBQYAAAAABgAG&#10;AFkBAABnBgAAAAA=&#10;">
                <o:lock v:ext="edit" aspectratio="f"/>
                <v:rect id="矩形 4" o:spid="_x0000_s1026" o:spt="1" style="position:absolute;left:1410;top:9240;height:2343;width:4337;" fillcolor="#FFFFFF" filled="t" stroked="t" coordsize="21600,21600" o:gfxdata="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tC7Cr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w:txbxContent>
                      <w:p w14:paraId="3A92AE76">
                        <w:pPr>
                          <w:jc w:val="center"/>
                        </w:pPr>
                      </w:p>
                      <w:p w14:paraId="3758BD12">
                        <w:pPr>
                          <w:jc w:val="center"/>
                          <w:rPr>
                            <w:sz w:val="24"/>
                          </w:rPr>
                        </w:pPr>
                        <w:r>
                          <w:rPr>
                            <w:rFonts w:hint="eastAsia"/>
                            <w:sz w:val="24"/>
                          </w:rPr>
                          <w:t>被授权人（授权代表）</w:t>
                        </w:r>
                      </w:p>
                      <w:p w14:paraId="622A15A6">
                        <w:pPr>
                          <w:jc w:val="center"/>
                          <w:rPr>
                            <w:sz w:val="24"/>
                          </w:rPr>
                        </w:pPr>
                        <w:r>
                          <w:rPr>
                            <w:rFonts w:hint="eastAsia"/>
                            <w:sz w:val="24"/>
                          </w:rPr>
                          <w:t>居民身份证复印件粘贴处</w:t>
                        </w:r>
                      </w:p>
                      <w:p w14:paraId="6274C0DD">
                        <w:pPr>
                          <w:ind w:firstLine="1200" w:firstLineChars="500"/>
                          <w:rPr>
                            <w:sz w:val="24"/>
                          </w:rPr>
                        </w:pPr>
                      </w:p>
                      <w:p w14:paraId="23143822">
                        <w:pPr>
                          <w:jc w:val="center"/>
                        </w:pPr>
                        <w:r>
                          <w:rPr>
                            <w:rFonts w:hint="eastAsia"/>
                            <w:sz w:val="24"/>
                          </w:rPr>
                          <w:t>（正面）</w:t>
                        </w:r>
                      </w:p>
                      <w:p w14:paraId="44B459EF"/>
                    </w:txbxContent>
                  </v:textbox>
                </v:rect>
                <v:rect id="矩形 8" o:spid="_x0000_s1026" o:spt="1" style="position:absolute;left:5867;top:9240;height:2343;width:4337;" fillcolor="#FFFFFF" filled="t" stroked="t" coordsize="21600,21600" o:gfxdata="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gIlfb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w:txbxContent>
                      <w:p w14:paraId="2A5F9687">
                        <w:pPr>
                          <w:jc w:val="center"/>
                        </w:pPr>
                      </w:p>
                      <w:p w14:paraId="32C04781">
                        <w:pPr>
                          <w:jc w:val="center"/>
                          <w:rPr>
                            <w:sz w:val="24"/>
                          </w:rPr>
                        </w:pPr>
                        <w:r>
                          <w:rPr>
                            <w:rFonts w:hint="eastAsia"/>
                            <w:sz w:val="24"/>
                          </w:rPr>
                          <w:t>被授权人（授权代表）</w:t>
                        </w:r>
                      </w:p>
                      <w:p w14:paraId="37EC5531">
                        <w:pPr>
                          <w:jc w:val="center"/>
                          <w:rPr>
                            <w:sz w:val="24"/>
                          </w:rPr>
                        </w:pPr>
                        <w:r>
                          <w:rPr>
                            <w:rFonts w:hint="eastAsia"/>
                            <w:sz w:val="24"/>
                          </w:rPr>
                          <w:t>居民身份证复印件粘贴处</w:t>
                        </w:r>
                      </w:p>
                      <w:p w14:paraId="1F876197">
                        <w:pPr>
                          <w:ind w:firstLine="1200" w:firstLineChars="500"/>
                          <w:rPr>
                            <w:sz w:val="24"/>
                          </w:rPr>
                        </w:pPr>
                      </w:p>
                      <w:p w14:paraId="034988D6">
                        <w:pPr>
                          <w:jc w:val="center"/>
                          <w:rPr>
                            <w:sz w:val="24"/>
                          </w:rPr>
                        </w:pPr>
                        <w:r>
                          <w:rPr>
                            <w:rFonts w:hint="eastAsia"/>
                            <w:sz w:val="24"/>
                          </w:rPr>
                          <w:t>（反面）</w:t>
                        </w:r>
                      </w:p>
                      <w:p w14:paraId="1C44FD2E"/>
                    </w:txbxContent>
                  </v:textbox>
                </v:rect>
              </v:group>
            </w:pict>
          </mc:Fallback>
        </mc:AlternateContent>
      </w:r>
    </w:p>
    <w:p w14:paraId="24D8E19E">
      <w:pPr>
        <w:spacing w:line="360" w:lineRule="auto"/>
        <w:rPr>
          <w:rFonts w:ascii="宋体"/>
          <w:sz w:val="24"/>
        </w:rPr>
      </w:pPr>
    </w:p>
    <w:p w14:paraId="062DC300">
      <w:pPr>
        <w:spacing w:line="360" w:lineRule="auto"/>
        <w:rPr>
          <w:rFonts w:ascii="宋体"/>
          <w:sz w:val="24"/>
        </w:rPr>
      </w:pPr>
    </w:p>
    <w:p w14:paraId="1F11AD53">
      <w:pPr>
        <w:spacing w:line="360" w:lineRule="auto"/>
        <w:rPr>
          <w:rFonts w:ascii="宋体"/>
          <w:sz w:val="24"/>
        </w:rPr>
      </w:pPr>
    </w:p>
    <w:p w14:paraId="4896E543">
      <w:pPr>
        <w:spacing w:line="360" w:lineRule="auto"/>
        <w:rPr>
          <w:rFonts w:ascii="宋体"/>
          <w:sz w:val="24"/>
        </w:rPr>
      </w:pPr>
    </w:p>
    <w:p w14:paraId="59697475">
      <w:pPr>
        <w:spacing w:line="360" w:lineRule="auto"/>
        <w:rPr>
          <w:rFonts w:ascii="宋体"/>
          <w:sz w:val="24"/>
        </w:rPr>
      </w:pPr>
    </w:p>
    <w:p w14:paraId="5573FF32">
      <w:pPr>
        <w:spacing w:line="360" w:lineRule="auto"/>
        <w:rPr>
          <w:rFonts w:ascii="宋体"/>
          <w:sz w:val="24"/>
        </w:rPr>
      </w:pPr>
    </w:p>
    <w:p w14:paraId="70B3C1EE">
      <w:pPr>
        <w:spacing w:line="440" w:lineRule="exact"/>
        <w:rPr>
          <w:rFonts w:ascii="宋体"/>
          <w:sz w:val="24"/>
        </w:rPr>
        <w:sectPr>
          <w:pgSz w:w="11906" w:h="16838"/>
          <w:pgMar w:top="1440" w:right="1286" w:bottom="1440" w:left="1440" w:header="851" w:footer="992" w:gutter="0"/>
          <w:cols w:space="720" w:num="1"/>
          <w:docGrid w:type="lines" w:linePitch="312" w:charSpace="0"/>
        </w:sectPr>
      </w:pPr>
      <w:bookmarkStart w:id="110" w:name="_Toc226217114"/>
    </w:p>
    <w:bookmarkEnd w:id="110"/>
    <w:p w14:paraId="169AD73E">
      <w:pPr>
        <w:tabs>
          <w:tab w:val="left" w:pos="142"/>
        </w:tabs>
        <w:autoSpaceDE w:val="0"/>
        <w:autoSpaceDN w:val="0"/>
        <w:spacing w:line="360" w:lineRule="auto"/>
        <w:ind w:left="-2" w:leftChars="-1" w:firstLine="2"/>
        <w:jc w:val="center"/>
        <w:outlineLvl w:val="3"/>
        <w:rPr>
          <w:rFonts w:ascii="黑体" w:hAnsi="黑体" w:eastAsia="黑体"/>
          <w:sz w:val="32"/>
          <w:szCs w:val="32"/>
        </w:rPr>
      </w:pPr>
      <w:bookmarkStart w:id="111" w:name="_Toc435514860"/>
      <w:bookmarkStart w:id="112" w:name="_Toc435515300"/>
      <w:bookmarkStart w:id="113" w:name="_Toc275865608"/>
      <w:r>
        <w:rPr>
          <w:rFonts w:hint="eastAsia" w:ascii="黑体" w:hAnsi="黑体" w:eastAsia="黑体"/>
          <w:sz w:val="32"/>
          <w:szCs w:val="32"/>
        </w:rPr>
        <w:t>法定代表人证明书</w:t>
      </w:r>
      <w:bookmarkEnd w:id="105"/>
      <w:bookmarkEnd w:id="106"/>
      <w:bookmarkEnd w:id="107"/>
      <w:bookmarkEnd w:id="108"/>
      <w:bookmarkEnd w:id="109"/>
      <w:bookmarkEnd w:id="111"/>
      <w:bookmarkEnd w:id="112"/>
      <w:bookmarkEnd w:id="113"/>
    </w:p>
    <w:p w14:paraId="32A01930">
      <w:pPr>
        <w:tabs>
          <w:tab w:val="left" w:pos="900"/>
        </w:tabs>
        <w:spacing w:line="480" w:lineRule="auto"/>
        <w:ind w:firstLine="1080" w:firstLineChars="450"/>
        <w:rPr>
          <w:rFonts w:ascii="宋体" w:hAnsi="宋体"/>
          <w:sz w:val="24"/>
        </w:rPr>
      </w:pPr>
      <w:r>
        <w:rPr>
          <w:rFonts w:hint="eastAsia" w:ascii="宋体" w:hAnsi="宋体"/>
          <w:sz w:val="24"/>
        </w:rPr>
        <w:t>______________同志，现任我单位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职务，为法定代表人，特此证明。</w:t>
      </w:r>
    </w:p>
    <w:p w14:paraId="0C834657">
      <w:pPr>
        <w:spacing w:line="360" w:lineRule="auto"/>
        <w:ind w:firstLine="480" w:firstLineChars="200"/>
        <w:rPr>
          <w:rFonts w:ascii="宋体" w:hAnsi="宋体"/>
          <w:sz w:val="24"/>
        </w:rPr>
      </w:pPr>
      <w:r>
        <w:rPr>
          <w:rFonts w:hint="eastAsia" w:ascii="宋体"/>
          <w:sz w:val="24"/>
        </w:rPr>
        <w:t>本证明书自签发之日起生效，</w:t>
      </w:r>
      <w:r>
        <w:rPr>
          <w:rFonts w:hint="eastAsia" w:ascii="宋体" w:hAnsi="宋体"/>
          <w:sz w:val="24"/>
        </w:rPr>
        <w:t>有效期与本公司投标文件中标注的投标有效期相同。</w:t>
      </w:r>
    </w:p>
    <w:p w14:paraId="38A920B0">
      <w:pPr>
        <w:spacing w:line="480" w:lineRule="auto"/>
        <w:ind w:firstLine="480" w:firstLineChars="200"/>
        <w:rPr>
          <w:rFonts w:ascii="宋体" w:hAnsi="宋体"/>
          <w:sz w:val="24"/>
        </w:rPr>
      </w:pPr>
      <w:r>
        <w:rPr>
          <w:rFonts w:hint="eastAsia" w:ascii="宋体" w:hAnsi="宋体"/>
          <w:sz w:val="24"/>
        </w:rPr>
        <w:t>附：</w:t>
      </w:r>
    </w:p>
    <w:p w14:paraId="5B20D589">
      <w:pPr>
        <w:spacing w:line="480" w:lineRule="auto"/>
        <w:ind w:firstLine="960" w:firstLineChars="400"/>
        <w:rPr>
          <w:rFonts w:ascii="宋体" w:hAnsi="宋体"/>
          <w:sz w:val="24"/>
        </w:rPr>
      </w:pPr>
      <w:r>
        <w:rPr>
          <w:rFonts w:hint="eastAsia" w:ascii="宋体" w:hAnsi="宋体"/>
          <w:sz w:val="24"/>
        </w:rPr>
        <w:t xml:space="preserve">营业执照（注册号）： </w:t>
      </w:r>
    </w:p>
    <w:p w14:paraId="0B30ADE5">
      <w:pPr>
        <w:spacing w:line="480" w:lineRule="auto"/>
        <w:ind w:firstLine="960" w:firstLineChars="400"/>
        <w:rPr>
          <w:rFonts w:ascii="宋体" w:hAnsi="宋体"/>
          <w:sz w:val="24"/>
        </w:rPr>
      </w:pPr>
      <w:r>
        <w:rPr>
          <w:rFonts w:hint="eastAsia" w:ascii="宋体" w:hAnsi="宋体"/>
          <w:sz w:val="24"/>
        </w:rPr>
        <w:t>经济性质：</w:t>
      </w:r>
    </w:p>
    <w:p w14:paraId="58CAC83D">
      <w:pPr>
        <w:spacing w:line="480" w:lineRule="auto"/>
        <w:ind w:firstLine="960" w:firstLineChars="400"/>
        <w:rPr>
          <w:rFonts w:ascii="宋体" w:hAnsi="宋体"/>
          <w:sz w:val="24"/>
        </w:rPr>
      </w:pPr>
      <w:r>
        <w:rPr>
          <w:rFonts w:hint="eastAsia" w:ascii="宋体" w:hAnsi="宋体"/>
          <w:sz w:val="24"/>
        </w:rPr>
        <w:t>主营（产）：</w:t>
      </w:r>
    </w:p>
    <w:p w14:paraId="78EA7F30">
      <w:pPr>
        <w:spacing w:line="480" w:lineRule="auto"/>
        <w:ind w:firstLine="960" w:firstLineChars="400"/>
        <w:rPr>
          <w:rFonts w:ascii="宋体" w:hAnsi="宋体"/>
          <w:sz w:val="24"/>
        </w:rPr>
      </w:pPr>
      <w:r>
        <w:rPr>
          <w:rFonts w:hint="eastAsia" w:ascii="宋体" w:hAnsi="宋体"/>
          <w:sz w:val="24"/>
        </w:rPr>
        <w:t>兼营（产）：</w:t>
      </w:r>
    </w:p>
    <w:p w14:paraId="2E67E5D2">
      <w:pPr>
        <w:spacing w:line="360" w:lineRule="auto"/>
        <w:rPr>
          <w:rFonts w:ascii="宋体"/>
          <w:sz w:val="24"/>
        </w:rPr>
      </w:pPr>
      <w:r>
        <w:rPr>
          <w:rFonts w:ascii="宋体"/>
          <w:sz w:val="24"/>
        </w:rPr>
        <mc:AlternateContent>
          <mc:Choice Requires="wpg">
            <w:drawing>
              <wp:anchor distT="0" distB="0" distL="114300" distR="114300" simplePos="0" relativeHeight="251661312" behindDoc="0" locked="0" layoutInCell="1" allowOverlap="1">
                <wp:simplePos x="0" y="0"/>
                <wp:positionH relativeFrom="column">
                  <wp:posOffset>-19050</wp:posOffset>
                </wp:positionH>
                <wp:positionV relativeFrom="paragraph">
                  <wp:posOffset>217170</wp:posOffset>
                </wp:positionV>
                <wp:extent cx="5584190" cy="1487805"/>
                <wp:effectExtent l="0" t="0" r="0" b="0"/>
                <wp:wrapNone/>
                <wp:docPr id="6" name="组合 3"/>
                <wp:cNvGraphicFramePr/>
                <a:graphic xmlns:a="http://schemas.openxmlformats.org/drawingml/2006/main">
                  <a:graphicData uri="http://schemas.microsoft.com/office/word/2010/wordprocessingGroup">
                    <wpg:wgp>
                      <wpg:cNvGrpSpPr/>
                      <wpg:grpSpPr>
                        <a:xfrm>
                          <a:off x="0" y="0"/>
                          <a:ext cx="5584190" cy="1487805"/>
                          <a:chOff x="1410" y="9240"/>
                          <a:chExt cx="8794" cy="2343"/>
                        </a:xfrm>
                      </wpg:grpSpPr>
                      <wps:wsp>
                        <wps:cNvPr id="7" name="矩形 11"/>
                        <wps:cNvSpPr>
                          <a:spLocks noChangeArrowheads="1"/>
                        </wps:cNvSpPr>
                        <wps:spPr bwMode="auto">
                          <a:xfrm>
                            <a:off x="1410" y="9240"/>
                            <a:ext cx="4337" cy="2343"/>
                          </a:xfrm>
                          <a:prstGeom prst="rect">
                            <a:avLst/>
                          </a:prstGeom>
                          <a:solidFill>
                            <a:srgbClr val="FFFFFF"/>
                          </a:solidFill>
                          <a:ln w="9525">
                            <a:solidFill>
                              <a:srgbClr val="000000"/>
                            </a:solidFill>
                            <a:miter lim="800000"/>
                          </a:ln>
                        </wps:spPr>
                        <wps:txbx>
                          <w:txbxContent>
                            <w:p w14:paraId="2FDFD7FE">
                              <w:pPr>
                                <w:jc w:val="center"/>
                                <w:rPr>
                                  <w:sz w:val="24"/>
                                </w:rPr>
                              </w:pPr>
                              <w:r>
                                <w:rPr>
                                  <w:rFonts w:hint="eastAsia"/>
                                  <w:sz w:val="24"/>
                                </w:rPr>
                                <w:t>法定代表人</w:t>
                              </w:r>
                            </w:p>
                            <w:p w14:paraId="2C89D985">
                              <w:pPr>
                                <w:jc w:val="center"/>
                                <w:rPr>
                                  <w:sz w:val="24"/>
                                </w:rPr>
                              </w:pPr>
                              <w:r>
                                <w:rPr>
                                  <w:rFonts w:hint="eastAsia"/>
                                  <w:sz w:val="24"/>
                                </w:rPr>
                                <w:t>居民身份证复印件</w:t>
                              </w:r>
                            </w:p>
                            <w:p w14:paraId="3FE41180">
                              <w:pPr>
                                <w:ind w:firstLine="1200" w:firstLineChars="500"/>
                                <w:rPr>
                                  <w:sz w:val="24"/>
                                </w:rPr>
                              </w:pPr>
                            </w:p>
                            <w:p w14:paraId="39C42CEE">
                              <w:pPr>
                                <w:jc w:val="center"/>
                              </w:pPr>
                              <w:r>
                                <w:rPr>
                                  <w:rFonts w:hint="eastAsia"/>
                                  <w:sz w:val="24"/>
                                </w:rPr>
                                <w:t>（正面</w:t>
                              </w:r>
                              <w:r>
                                <w:rPr>
                                  <w:rFonts w:hint="eastAsia"/>
                                </w:rPr>
                                <w:t>）</w:t>
                              </w:r>
                            </w:p>
                            <w:p w14:paraId="7005288D"/>
                          </w:txbxContent>
                        </wps:txbx>
                        <wps:bodyPr rot="0" vert="horz" wrap="square" lIns="91440" tIns="45720" rIns="91440" bIns="45720" anchor="t" anchorCtr="0" upright="1">
                          <a:noAutofit/>
                        </wps:bodyPr>
                      </wps:wsp>
                      <wps:wsp>
                        <wps:cNvPr id="8" name="矩形 12"/>
                        <wps:cNvSpPr>
                          <a:spLocks noChangeArrowheads="1"/>
                        </wps:cNvSpPr>
                        <wps:spPr bwMode="auto">
                          <a:xfrm>
                            <a:off x="5867" y="9240"/>
                            <a:ext cx="4337" cy="2343"/>
                          </a:xfrm>
                          <a:prstGeom prst="rect">
                            <a:avLst/>
                          </a:prstGeom>
                          <a:solidFill>
                            <a:srgbClr val="FFFFFF"/>
                          </a:solidFill>
                          <a:ln w="9525">
                            <a:solidFill>
                              <a:srgbClr val="000000"/>
                            </a:solidFill>
                            <a:miter lim="800000"/>
                          </a:ln>
                        </wps:spPr>
                        <wps:txbx>
                          <w:txbxContent>
                            <w:p w14:paraId="1EB72065">
                              <w:pPr>
                                <w:jc w:val="center"/>
                                <w:rPr>
                                  <w:sz w:val="24"/>
                                </w:rPr>
                              </w:pPr>
                              <w:r>
                                <w:rPr>
                                  <w:rFonts w:hint="eastAsia"/>
                                  <w:sz w:val="24"/>
                                </w:rPr>
                                <w:t>法定代表人</w:t>
                              </w:r>
                            </w:p>
                            <w:p w14:paraId="33E4CEBA">
                              <w:pPr>
                                <w:jc w:val="center"/>
                                <w:rPr>
                                  <w:sz w:val="24"/>
                                </w:rPr>
                              </w:pPr>
                              <w:r>
                                <w:rPr>
                                  <w:rFonts w:hint="eastAsia"/>
                                  <w:sz w:val="24"/>
                                </w:rPr>
                                <w:t>居民身份证复印件</w:t>
                              </w:r>
                            </w:p>
                            <w:p w14:paraId="0361EF17">
                              <w:pPr>
                                <w:ind w:firstLine="1200" w:firstLineChars="500"/>
                                <w:rPr>
                                  <w:sz w:val="24"/>
                                </w:rPr>
                              </w:pPr>
                            </w:p>
                            <w:p w14:paraId="336CB68F">
                              <w:pPr>
                                <w:jc w:val="center"/>
                                <w:rPr>
                                  <w:sz w:val="24"/>
                                </w:rPr>
                              </w:pPr>
                              <w:r>
                                <w:rPr>
                                  <w:rFonts w:hint="eastAsia"/>
                                  <w:sz w:val="24"/>
                                </w:rPr>
                                <w:t>（反面）</w:t>
                              </w:r>
                            </w:p>
                            <w:p w14:paraId="7D71DFD8"/>
                          </w:txbxContent>
                        </wps:txbx>
                        <wps:bodyPr rot="0" vert="horz" wrap="square" lIns="91440" tIns="45720" rIns="91440" bIns="45720" anchor="t" anchorCtr="0" upright="1">
                          <a:noAutofit/>
                        </wps:bodyPr>
                      </wps:wsp>
                    </wpg:wgp>
                  </a:graphicData>
                </a:graphic>
              </wp:anchor>
            </w:drawing>
          </mc:Choice>
          <mc:Fallback>
            <w:pict>
              <v:group id="组合 3" o:spid="_x0000_s1026" o:spt="203" style="position:absolute;left:0pt;margin-left:-1.5pt;margin-top:17.1pt;height:117.15pt;width:439.7pt;z-index:251661312;mso-width-relative:page;mso-height-relative:page;" coordorigin="1410,9240" coordsize="8794,2343" o:gfxdata="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A1RoxdoAAAAJAQAADwAAAAAAAAABACAAAAAiAAAAZHJzL2Rvd25yZXYueG1sUEsBAhQAFAAA&#10;AAgAh07iQCcWUHrRAgAASwgAAA4AAAAAAAAAAQAgAAAAKQEAAGRycy9lMm9Eb2MueG1sUEsFBgAA&#10;AAAGAAYAWQEAAGwGAAAAAA==&#10;">
                <o:lock v:ext="edit" aspectratio="f"/>
                <v:rect id="矩形 11" o:spid="_x0000_s1026" o:spt="1" style="position:absolute;left:1410;top:9240;height:2343;width:4337;"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14:paraId="2FDFD7FE">
                        <w:pPr>
                          <w:jc w:val="center"/>
                          <w:rPr>
                            <w:sz w:val="24"/>
                          </w:rPr>
                        </w:pPr>
                        <w:r>
                          <w:rPr>
                            <w:rFonts w:hint="eastAsia"/>
                            <w:sz w:val="24"/>
                          </w:rPr>
                          <w:t>法定代表人</w:t>
                        </w:r>
                      </w:p>
                      <w:p w14:paraId="2C89D985">
                        <w:pPr>
                          <w:jc w:val="center"/>
                          <w:rPr>
                            <w:sz w:val="24"/>
                          </w:rPr>
                        </w:pPr>
                        <w:r>
                          <w:rPr>
                            <w:rFonts w:hint="eastAsia"/>
                            <w:sz w:val="24"/>
                          </w:rPr>
                          <w:t>居民身份证复印件</w:t>
                        </w:r>
                      </w:p>
                      <w:p w14:paraId="3FE41180">
                        <w:pPr>
                          <w:ind w:firstLine="1200" w:firstLineChars="500"/>
                          <w:rPr>
                            <w:sz w:val="24"/>
                          </w:rPr>
                        </w:pPr>
                      </w:p>
                      <w:p w14:paraId="39C42CEE">
                        <w:pPr>
                          <w:jc w:val="center"/>
                        </w:pPr>
                        <w:r>
                          <w:rPr>
                            <w:rFonts w:hint="eastAsia"/>
                            <w:sz w:val="24"/>
                          </w:rPr>
                          <w:t>（正面</w:t>
                        </w:r>
                        <w:r>
                          <w:rPr>
                            <w:rFonts w:hint="eastAsia"/>
                          </w:rPr>
                          <w:t>）</w:t>
                        </w:r>
                      </w:p>
                      <w:p w14:paraId="7005288D"/>
                    </w:txbxContent>
                  </v:textbox>
                </v:rect>
                <v:rect id="矩形 12" o:spid="_x0000_s1026" o:spt="1" style="position:absolute;left:5867;top:9240;height:2343;width:4337;"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miterlimit="8" joinstyle="miter"/>
                  <v:imagedata o:title=""/>
                  <o:lock v:ext="edit" aspectratio="f"/>
                  <v:textbox>
                    <w:txbxContent>
                      <w:p w14:paraId="1EB72065">
                        <w:pPr>
                          <w:jc w:val="center"/>
                          <w:rPr>
                            <w:sz w:val="24"/>
                          </w:rPr>
                        </w:pPr>
                        <w:r>
                          <w:rPr>
                            <w:rFonts w:hint="eastAsia"/>
                            <w:sz w:val="24"/>
                          </w:rPr>
                          <w:t>法定代表人</w:t>
                        </w:r>
                      </w:p>
                      <w:p w14:paraId="33E4CEBA">
                        <w:pPr>
                          <w:jc w:val="center"/>
                          <w:rPr>
                            <w:sz w:val="24"/>
                          </w:rPr>
                        </w:pPr>
                        <w:r>
                          <w:rPr>
                            <w:rFonts w:hint="eastAsia"/>
                            <w:sz w:val="24"/>
                          </w:rPr>
                          <w:t>居民身份证复印件</w:t>
                        </w:r>
                      </w:p>
                      <w:p w14:paraId="0361EF17">
                        <w:pPr>
                          <w:ind w:firstLine="1200" w:firstLineChars="500"/>
                          <w:rPr>
                            <w:sz w:val="24"/>
                          </w:rPr>
                        </w:pPr>
                      </w:p>
                      <w:p w14:paraId="336CB68F">
                        <w:pPr>
                          <w:jc w:val="center"/>
                          <w:rPr>
                            <w:sz w:val="24"/>
                          </w:rPr>
                        </w:pPr>
                        <w:r>
                          <w:rPr>
                            <w:rFonts w:hint="eastAsia"/>
                            <w:sz w:val="24"/>
                          </w:rPr>
                          <w:t>（反面）</w:t>
                        </w:r>
                      </w:p>
                      <w:p w14:paraId="7D71DFD8"/>
                    </w:txbxContent>
                  </v:textbox>
                </v:rect>
              </v:group>
            </w:pict>
          </mc:Fallback>
        </mc:AlternateContent>
      </w:r>
    </w:p>
    <w:p w14:paraId="0422C294">
      <w:pPr>
        <w:spacing w:line="360" w:lineRule="auto"/>
        <w:rPr>
          <w:rFonts w:ascii="宋体"/>
          <w:sz w:val="24"/>
        </w:rPr>
      </w:pPr>
    </w:p>
    <w:p w14:paraId="1D47043D">
      <w:pPr>
        <w:spacing w:line="360" w:lineRule="auto"/>
        <w:rPr>
          <w:rFonts w:ascii="宋体"/>
          <w:sz w:val="24"/>
        </w:rPr>
      </w:pPr>
    </w:p>
    <w:p w14:paraId="51DDED7F">
      <w:pPr>
        <w:spacing w:line="360" w:lineRule="auto"/>
        <w:rPr>
          <w:rFonts w:ascii="宋体"/>
          <w:sz w:val="24"/>
        </w:rPr>
      </w:pPr>
    </w:p>
    <w:p w14:paraId="62F3F27C">
      <w:pPr>
        <w:spacing w:line="500" w:lineRule="exact"/>
        <w:rPr>
          <w:rFonts w:ascii="宋体"/>
          <w:b/>
          <w:bCs/>
          <w:sz w:val="24"/>
        </w:rPr>
      </w:pPr>
    </w:p>
    <w:p w14:paraId="00B5CB37">
      <w:pPr>
        <w:spacing w:line="500" w:lineRule="exact"/>
        <w:rPr>
          <w:rFonts w:ascii="宋体"/>
          <w:b/>
          <w:bCs/>
          <w:sz w:val="24"/>
        </w:rPr>
      </w:pPr>
    </w:p>
    <w:p w14:paraId="3AC6911E">
      <w:pPr>
        <w:spacing w:line="500" w:lineRule="exact"/>
        <w:rPr>
          <w:rFonts w:ascii="宋体"/>
          <w:b/>
          <w:bCs/>
          <w:sz w:val="24"/>
        </w:rPr>
      </w:pPr>
    </w:p>
    <w:p w14:paraId="643E1641">
      <w:pPr>
        <w:spacing w:line="500" w:lineRule="exact"/>
        <w:ind w:firstLine="5160" w:firstLineChars="2150"/>
        <w:rPr>
          <w:rFonts w:ascii="宋体" w:hAnsi="宋体"/>
          <w:sz w:val="24"/>
        </w:rPr>
      </w:pPr>
      <w:r>
        <w:rPr>
          <w:rFonts w:hint="eastAsia" w:ascii="宋体" w:hAnsi="宋体"/>
          <w:sz w:val="24"/>
        </w:rPr>
        <w:t>投标人名称（单位盖</w:t>
      </w:r>
      <w:r>
        <w:rPr>
          <w:rFonts w:hint="eastAsia"/>
          <w:spacing w:val="4"/>
          <w:sz w:val="24"/>
        </w:rPr>
        <w:t>公章</w:t>
      </w:r>
      <w:r>
        <w:rPr>
          <w:rFonts w:hint="eastAsia" w:ascii="宋体" w:hAnsi="宋体"/>
          <w:sz w:val="24"/>
        </w:rPr>
        <w:t>）：</w:t>
      </w:r>
    </w:p>
    <w:p w14:paraId="0E55B932">
      <w:pPr>
        <w:spacing w:line="500" w:lineRule="exact"/>
        <w:rPr>
          <w:rFonts w:ascii="宋体" w:hAnsi="宋体"/>
          <w:sz w:val="24"/>
        </w:rPr>
      </w:pPr>
      <w:r>
        <w:rPr>
          <w:rFonts w:hint="eastAsia" w:ascii="宋体" w:hAnsi="宋体"/>
          <w:sz w:val="24"/>
        </w:rPr>
        <w:t xml:space="preserve">                                           地址：</w:t>
      </w:r>
    </w:p>
    <w:p w14:paraId="27522C12">
      <w:pPr>
        <w:spacing w:line="500" w:lineRule="exact"/>
        <w:rPr>
          <w:rFonts w:ascii="宋体"/>
          <w:b/>
          <w:bCs/>
          <w:sz w:val="24"/>
        </w:rPr>
      </w:pPr>
      <w:r>
        <w:rPr>
          <w:rFonts w:hint="eastAsia" w:ascii="宋体" w:hAnsi="宋体"/>
          <w:sz w:val="24"/>
        </w:rPr>
        <w:t xml:space="preserve">                                           签发日期：</w:t>
      </w:r>
    </w:p>
    <w:p w14:paraId="314ED7B2">
      <w:pPr>
        <w:numPr>
          <w:ilvl w:val="0"/>
          <w:numId w:val="89"/>
        </w:numPr>
        <w:spacing w:line="440" w:lineRule="exact"/>
        <w:rPr>
          <w:rFonts w:ascii="宋体"/>
          <w:bCs/>
          <w:sz w:val="24"/>
        </w:rPr>
      </w:pPr>
      <w:r>
        <w:rPr>
          <w:rFonts w:ascii="宋体"/>
          <w:b/>
          <w:bCs/>
          <w:sz w:val="24"/>
        </w:rPr>
        <w:br w:type="page"/>
      </w:r>
      <w:bookmarkStart w:id="114" w:name="_Toc50691038"/>
      <w:bookmarkStart w:id="115" w:name="_Toc50736478"/>
      <w:bookmarkStart w:id="116" w:name="_Toc275865609"/>
      <w:bookmarkStart w:id="117" w:name="_Toc87417460"/>
      <w:bookmarkStart w:id="118" w:name="_Toc170699948"/>
      <w:bookmarkStart w:id="119" w:name="_Toc50737330"/>
      <w:bookmarkStart w:id="120" w:name="_Toc239051894"/>
      <w:bookmarkStart w:id="121" w:name="_Toc50737298"/>
      <w:bookmarkStart w:id="122" w:name="_Toc52165082"/>
    </w:p>
    <w:bookmarkEnd w:id="114"/>
    <w:bookmarkEnd w:id="115"/>
    <w:bookmarkEnd w:id="116"/>
    <w:bookmarkEnd w:id="117"/>
    <w:bookmarkEnd w:id="118"/>
    <w:bookmarkEnd w:id="119"/>
    <w:bookmarkEnd w:id="120"/>
    <w:bookmarkEnd w:id="121"/>
    <w:bookmarkEnd w:id="122"/>
    <w:p w14:paraId="0B1E6046">
      <w:pPr>
        <w:tabs>
          <w:tab w:val="left" w:pos="142"/>
        </w:tabs>
        <w:autoSpaceDE w:val="0"/>
        <w:autoSpaceDN w:val="0"/>
        <w:spacing w:line="360" w:lineRule="auto"/>
        <w:ind w:left="-2" w:leftChars="-1" w:firstLine="2"/>
        <w:jc w:val="center"/>
        <w:outlineLvl w:val="3"/>
        <w:rPr>
          <w:rFonts w:ascii="黑体" w:hAnsi="黑体" w:eastAsia="黑体"/>
          <w:sz w:val="32"/>
          <w:szCs w:val="32"/>
        </w:rPr>
      </w:pPr>
      <w:bookmarkStart w:id="123" w:name="_Toc275865613"/>
      <w:bookmarkStart w:id="124" w:name="_Toc50737305"/>
      <w:bookmarkStart w:id="125" w:name="_Toc435515307"/>
      <w:bookmarkStart w:id="126" w:name="_Toc50736485"/>
      <w:bookmarkStart w:id="127" w:name="_Toc50737337"/>
      <w:bookmarkStart w:id="128" w:name="_Toc52165089"/>
      <w:bookmarkStart w:id="129" w:name="_Toc435514867"/>
      <w:bookmarkStart w:id="130" w:name="_Toc50691051"/>
      <w:r>
        <w:rPr>
          <w:rFonts w:hint="eastAsia" w:ascii="黑体" w:hAnsi="黑体" w:eastAsia="黑体"/>
          <w:sz w:val="32"/>
          <w:szCs w:val="32"/>
        </w:rPr>
        <w:t>采购需求条款响应一览表</w:t>
      </w:r>
      <w:bookmarkEnd w:id="123"/>
      <w:bookmarkEnd w:id="124"/>
      <w:bookmarkEnd w:id="125"/>
      <w:bookmarkEnd w:id="126"/>
      <w:bookmarkEnd w:id="127"/>
      <w:bookmarkEnd w:id="128"/>
      <w:bookmarkEnd w:id="129"/>
      <w:bookmarkEnd w:id="130"/>
    </w:p>
    <w:p w14:paraId="605A6870">
      <w:pPr>
        <w:spacing w:line="400" w:lineRule="exact"/>
        <w:rPr>
          <w:rFonts w:ascii="宋体" w:hAnsi="宋体"/>
          <w:sz w:val="24"/>
        </w:rPr>
      </w:pPr>
      <w:r>
        <w:rPr>
          <w:rFonts w:hint="eastAsia" w:ascii="宋体" w:hAnsi="宋体"/>
          <w:sz w:val="24"/>
        </w:rPr>
        <w:t>说明：</w:t>
      </w:r>
    </w:p>
    <w:p w14:paraId="48D555FE">
      <w:pPr>
        <w:pStyle w:val="84"/>
        <w:numPr>
          <w:ilvl w:val="0"/>
          <w:numId w:val="90"/>
        </w:numPr>
        <w:snapToGrid w:val="0"/>
        <w:spacing w:line="360" w:lineRule="auto"/>
        <w:ind w:firstLineChars="0"/>
        <w:rPr>
          <w:rFonts w:ascii="宋体" w:hAnsi="宋体"/>
          <w:sz w:val="24"/>
        </w:rPr>
      </w:pPr>
      <w:r>
        <w:rPr>
          <w:rFonts w:hint="eastAsia" w:ascii="宋体" w:hAnsi="宋体"/>
          <w:sz w:val="24"/>
        </w:rPr>
        <w:t>投标人必须对应招标文件条款逐条应答并按要求填写下表。</w:t>
      </w:r>
    </w:p>
    <w:p w14:paraId="361E3383">
      <w:pPr>
        <w:pStyle w:val="84"/>
        <w:numPr>
          <w:ilvl w:val="0"/>
          <w:numId w:val="90"/>
        </w:numPr>
        <w:snapToGrid w:val="0"/>
        <w:spacing w:line="360" w:lineRule="auto"/>
        <w:ind w:firstLineChars="0"/>
        <w:rPr>
          <w:rFonts w:ascii="宋体" w:hAnsi="宋体"/>
          <w:sz w:val="24"/>
        </w:rPr>
      </w:pPr>
      <w:r>
        <w:rPr>
          <w:rFonts w:hint="eastAsia" w:ascii="宋体" w:hAnsi="宋体"/>
          <w:sz w:val="24"/>
        </w:rPr>
        <w:t>投标人响应描述：</w:t>
      </w:r>
      <w:r>
        <w:rPr>
          <w:rFonts w:hint="eastAsia" w:ascii="宋体" w:hAnsi="宋体"/>
          <w:bCs/>
          <w:sz w:val="24"/>
        </w:rPr>
        <w:t>投标人按响应货物/服务实际数据填写。</w:t>
      </w:r>
    </w:p>
    <w:p w14:paraId="6DAB280A">
      <w:pPr>
        <w:pStyle w:val="84"/>
        <w:numPr>
          <w:ilvl w:val="0"/>
          <w:numId w:val="90"/>
        </w:numPr>
        <w:snapToGrid w:val="0"/>
        <w:spacing w:line="360" w:lineRule="auto"/>
        <w:ind w:firstLineChars="0"/>
        <w:rPr>
          <w:rFonts w:ascii="宋体" w:hAnsi="宋体"/>
          <w:bCs/>
          <w:sz w:val="24"/>
        </w:rPr>
      </w:pPr>
      <w:r>
        <w:rPr>
          <w:rFonts w:hint="eastAsia" w:ascii="宋体" w:hAnsi="宋体"/>
          <w:bCs/>
          <w:sz w:val="24"/>
        </w:rPr>
        <w:t>投标人应按招标文件要求附相关证明文件，如有任何一项不响应或不满足的视为负偏离。</w:t>
      </w:r>
    </w:p>
    <w:p w14:paraId="5C2AEDF9">
      <w:pPr>
        <w:pStyle w:val="84"/>
        <w:numPr>
          <w:ilvl w:val="0"/>
          <w:numId w:val="90"/>
        </w:numPr>
        <w:snapToGrid w:val="0"/>
        <w:spacing w:line="360" w:lineRule="auto"/>
        <w:ind w:firstLineChars="0"/>
        <w:rPr>
          <w:rFonts w:ascii="宋体" w:hAnsi="宋体"/>
          <w:bCs/>
          <w:snapToGrid w:val="0"/>
          <w:sz w:val="24"/>
        </w:rPr>
      </w:pPr>
      <w:r>
        <w:rPr>
          <w:rFonts w:hint="eastAsia" w:ascii="宋体" w:hAnsi="宋体"/>
          <w:snapToGrid w:val="0"/>
          <w:sz w:val="24"/>
        </w:rPr>
        <w:t>偏离情况说明：投标人根据投标人实际情况填写“</w:t>
      </w:r>
      <w:r>
        <w:rPr>
          <w:rFonts w:hint="eastAsia"/>
          <w:snapToGrid w:val="0"/>
          <w:sz w:val="24"/>
        </w:rPr>
        <w:t>正偏离”“完全响应”或“负偏离</w:t>
      </w:r>
      <w:r>
        <w:rPr>
          <w:rFonts w:hint="eastAsia" w:ascii="宋体" w:hAnsi="宋体"/>
          <w:snapToGrid w:val="0"/>
          <w:sz w:val="24"/>
        </w:rPr>
        <w:t>”。</w:t>
      </w:r>
    </w:p>
    <w:p w14:paraId="7EA52E3E">
      <w:pPr>
        <w:widowControl/>
        <w:snapToGrid w:val="0"/>
        <w:spacing w:line="360" w:lineRule="auto"/>
        <w:jc w:val="left"/>
        <w:rPr>
          <w:rFonts w:ascii="宋体" w:hAnsi="宋体"/>
          <w:sz w:val="24"/>
        </w:rPr>
      </w:pPr>
    </w:p>
    <w:p w14:paraId="7462360B">
      <w:pPr>
        <w:widowControl/>
        <w:snapToGrid w:val="0"/>
        <w:spacing w:line="360" w:lineRule="auto"/>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86"/>
        <w:gridCol w:w="2175"/>
        <w:gridCol w:w="2029"/>
        <w:gridCol w:w="1344"/>
      </w:tblGrid>
      <w:tr w14:paraId="2A1029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692" w:type="dxa"/>
            <w:tcBorders>
              <w:top w:val="single" w:color="auto" w:sz="12" w:space="0"/>
              <w:bottom w:val="double" w:color="auto" w:sz="4" w:space="0"/>
            </w:tcBorders>
            <w:shd w:val="clear" w:color="auto" w:fill="EEECE1"/>
            <w:vAlign w:val="center"/>
          </w:tcPr>
          <w:p w14:paraId="2929CA43">
            <w:pPr>
              <w:snapToGrid w:val="0"/>
              <w:ind w:left="-68" w:leftChars="-34" w:right="-70" w:rightChars="-35"/>
              <w:jc w:val="center"/>
              <w:rPr>
                <w:rFonts w:ascii="宋体" w:hAnsi="宋体"/>
                <w:sz w:val="24"/>
              </w:rPr>
            </w:pPr>
            <w:r>
              <w:rPr>
                <w:rFonts w:hint="eastAsia" w:ascii="宋体" w:hAnsi="宋体"/>
                <w:sz w:val="24"/>
              </w:rPr>
              <w:t>序号</w:t>
            </w:r>
          </w:p>
        </w:tc>
        <w:tc>
          <w:tcPr>
            <w:tcW w:w="2786" w:type="dxa"/>
            <w:tcBorders>
              <w:top w:val="single" w:color="auto" w:sz="12" w:space="0"/>
              <w:bottom w:val="double" w:color="auto" w:sz="4" w:space="0"/>
            </w:tcBorders>
            <w:shd w:val="clear" w:color="auto" w:fill="EEECE1"/>
            <w:vAlign w:val="center"/>
          </w:tcPr>
          <w:p w14:paraId="557A9283">
            <w:pPr>
              <w:snapToGrid w:val="0"/>
              <w:ind w:left="-68" w:leftChars="-34" w:right="-70" w:rightChars="-35"/>
              <w:jc w:val="center"/>
              <w:rPr>
                <w:rFonts w:ascii="宋体" w:hAnsi="宋体"/>
                <w:sz w:val="24"/>
              </w:rPr>
            </w:pPr>
            <w:r>
              <w:rPr>
                <w:rFonts w:hint="eastAsia" w:ascii="宋体" w:hAnsi="宋体"/>
                <w:sz w:val="24"/>
              </w:rPr>
              <w:t>招标文件条款描述</w:t>
            </w:r>
          </w:p>
        </w:tc>
        <w:tc>
          <w:tcPr>
            <w:tcW w:w="2175" w:type="dxa"/>
            <w:tcBorders>
              <w:top w:val="single" w:color="auto" w:sz="12" w:space="0"/>
              <w:bottom w:val="double" w:color="auto" w:sz="4" w:space="0"/>
            </w:tcBorders>
            <w:shd w:val="clear" w:color="auto" w:fill="EEECE1"/>
            <w:vAlign w:val="center"/>
          </w:tcPr>
          <w:p w14:paraId="0F663C3C">
            <w:pPr>
              <w:snapToGrid w:val="0"/>
              <w:ind w:left="-68" w:leftChars="-34" w:right="-70" w:rightChars="-35"/>
              <w:jc w:val="center"/>
              <w:rPr>
                <w:rFonts w:ascii="宋体" w:hAnsi="宋体"/>
                <w:sz w:val="24"/>
              </w:rPr>
            </w:pPr>
            <w:r>
              <w:rPr>
                <w:rFonts w:hint="eastAsia" w:ascii="宋体" w:hAnsi="宋体"/>
                <w:sz w:val="24"/>
              </w:rPr>
              <w:t>投标人响应描述</w:t>
            </w:r>
          </w:p>
        </w:tc>
        <w:tc>
          <w:tcPr>
            <w:tcW w:w="2029" w:type="dxa"/>
            <w:tcBorders>
              <w:top w:val="single" w:color="auto" w:sz="12" w:space="0"/>
              <w:bottom w:val="double" w:color="auto" w:sz="4" w:space="0"/>
            </w:tcBorders>
            <w:shd w:val="clear" w:color="auto" w:fill="EEECE1"/>
            <w:vAlign w:val="center"/>
          </w:tcPr>
          <w:p w14:paraId="77F81492">
            <w:pPr>
              <w:snapToGrid w:val="0"/>
              <w:ind w:left="-68" w:leftChars="-34" w:right="-70" w:rightChars="-35"/>
              <w:jc w:val="center"/>
              <w:rPr>
                <w:rFonts w:ascii="宋体" w:hAnsi="宋体"/>
                <w:sz w:val="24"/>
              </w:rPr>
            </w:pPr>
            <w:r>
              <w:rPr>
                <w:rFonts w:hint="eastAsia" w:ascii="宋体" w:hAnsi="宋体"/>
                <w:sz w:val="24"/>
              </w:rPr>
              <w:t>偏离情况说明</w:t>
            </w:r>
          </w:p>
        </w:tc>
        <w:tc>
          <w:tcPr>
            <w:tcW w:w="1344" w:type="dxa"/>
            <w:tcBorders>
              <w:top w:val="single" w:color="auto" w:sz="12" w:space="0"/>
              <w:bottom w:val="double" w:color="auto" w:sz="4" w:space="0"/>
            </w:tcBorders>
            <w:shd w:val="clear" w:color="auto" w:fill="EEECE1"/>
            <w:vAlign w:val="center"/>
          </w:tcPr>
          <w:p w14:paraId="054104BD">
            <w:pPr>
              <w:snapToGrid w:val="0"/>
              <w:ind w:left="-68" w:leftChars="-34" w:right="-70" w:rightChars="-35"/>
              <w:jc w:val="center"/>
              <w:rPr>
                <w:rFonts w:ascii="宋体" w:hAnsi="宋体"/>
                <w:sz w:val="24"/>
              </w:rPr>
            </w:pPr>
            <w:r>
              <w:rPr>
                <w:rFonts w:hint="eastAsia" w:ascii="宋体" w:hAnsi="宋体"/>
                <w:sz w:val="24"/>
              </w:rPr>
              <w:t>查阅/证明文件指引</w:t>
            </w:r>
          </w:p>
        </w:tc>
      </w:tr>
      <w:tr w14:paraId="0B81D2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9026" w:type="dxa"/>
            <w:gridSpan w:val="5"/>
            <w:vAlign w:val="center"/>
          </w:tcPr>
          <w:p w14:paraId="78FCED82">
            <w:pPr>
              <w:spacing w:line="400" w:lineRule="exact"/>
              <w:jc w:val="left"/>
              <w:rPr>
                <w:rFonts w:ascii="宋体" w:hAnsi="宋体"/>
                <w:b/>
                <w:sz w:val="24"/>
              </w:rPr>
            </w:pPr>
            <w:r>
              <w:rPr>
                <w:rFonts w:hint="eastAsia"/>
                <w:b/>
                <w:sz w:val="24"/>
              </w:rPr>
              <w:t>（一）标注“★”的实质性</w:t>
            </w:r>
            <w:r>
              <w:rPr>
                <w:rFonts w:hint="eastAsia" w:ascii="宋体" w:hAnsi="宋体"/>
                <w:b/>
                <w:sz w:val="24"/>
              </w:rPr>
              <w:t>条款</w:t>
            </w:r>
          </w:p>
        </w:tc>
      </w:tr>
      <w:tr w14:paraId="2F5173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692" w:type="dxa"/>
            <w:vAlign w:val="center"/>
          </w:tcPr>
          <w:p w14:paraId="16D84916">
            <w:pPr>
              <w:numPr>
                <w:ilvl w:val="0"/>
                <w:numId w:val="91"/>
              </w:numPr>
              <w:jc w:val="center"/>
              <w:rPr>
                <w:rFonts w:ascii="宋体" w:hAnsi="宋体"/>
                <w:sz w:val="24"/>
              </w:rPr>
            </w:pPr>
          </w:p>
        </w:tc>
        <w:tc>
          <w:tcPr>
            <w:tcW w:w="2786" w:type="dxa"/>
            <w:vAlign w:val="center"/>
          </w:tcPr>
          <w:p w14:paraId="3DBF6C9F">
            <w:pPr>
              <w:spacing w:line="400" w:lineRule="exact"/>
              <w:jc w:val="left"/>
              <w:rPr>
                <w:rFonts w:hint="eastAsia" w:ascii="宋体" w:hAnsi="宋体"/>
                <w:sz w:val="24"/>
              </w:rPr>
            </w:pPr>
            <w:r>
              <w:rPr>
                <w:rFonts w:hint="eastAsia" w:ascii="宋体" w:hAnsi="宋体"/>
                <w:sz w:val="24"/>
              </w:rPr>
              <w:t>（四）中标人服务要求</w:t>
            </w:r>
          </w:p>
          <w:p w14:paraId="2483450B">
            <w:pPr>
              <w:spacing w:line="400" w:lineRule="exact"/>
              <w:jc w:val="left"/>
              <w:rPr>
                <w:rFonts w:ascii="宋体" w:hAnsi="宋体"/>
                <w:sz w:val="24"/>
              </w:rPr>
            </w:pPr>
            <w:r>
              <w:rPr>
                <w:rFonts w:hint="eastAsia" w:ascii="宋体" w:hAnsi="宋体"/>
                <w:sz w:val="24"/>
              </w:rPr>
              <w:t xml:space="preserve"> ★1.投标人须在投标时提供本项目专属福利电子采购平台产品清单列表，并承诺所提供的产品价格不高于该产品在京东自营旗舰店、淘宝天猫超市网上平台及中标人社会公开电商平台在售的价格，供货期内货品价格无法按上述实施，中标人应提供市场参考价或其他报价作为价格参考依据，最终由采购人与中标人协商确定。（提供承诺函）。 </w:t>
            </w:r>
          </w:p>
        </w:tc>
        <w:tc>
          <w:tcPr>
            <w:tcW w:w="2175" w:type="dxa"/>
            <w:vAlign w:val="center"/>
          </w:tcPr>
          <w:p w14:paraId="013B63E5">
            <w:pPr>
              <w:spacing w:line="400" w:lineRule="exact"/>
              <w:jc w:val="center"/>
              <w:rPr>
                <w:rFonts w:ascii="宋体" w:hAnsi="宋体"/>
                <w:sz w:val="24"/>
              </w:rPr>
            </w:pPr>
          </w:p>
        </w:tc>
        <w:tc>
          <w:tcPr>
            <w:tcW w:w="2029" w:type="dxa"/>
            <w:vAlign w:val="center"/>
          </w:tcPr>
          <w:p w14:paraId="0E958A74">
            <w:pPr>
              <w:spacing w:line="400" w:lineRule="exact"/>
              <w:jc w:val="center"/>
              <w:rPr>
                <w:rFonts w:ascii="宋体" w:hAnsi="宋体"/>
                <w:sz w:val="24"/>
              </w:rPr>
            </w:pPr>
          </w:p>
        </w:tc>
        <w:tc>
          <w:tcPr>
            <w:tcW w:w="1344" w:type="dxa"/>
            <w:vAlign w:val="center"/>
          </w:tcPr>
          <w:p w14:paraId="3EC83FBF">
            <w:pPr>
              <w:spacing w:line="400" w:lineRule="exact"/>
              <w:jc w:val="center"/>
              <w:rPr>
                <w:rFonts w:ascii="宋体" w:hAnsi="宋体"/>
                <w:sz w:val="24"/>
              </w:rPr>
            </w:pPr>
          </w:p>
        </w:tc>
      </w:tr>
      <w:tr w14:paraId="065348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692" w:type="dxa"/>
            <w:vAlign w:val="center"/>
          </w:tcPr>
          <w:p w14:paraId="4D9EB5C9">
            <w:pPr>
              <w:numPr>
                <w:ilvl w:val="0"/>
                <w:numId w:val="91"/>
              </w:numPr>
              <w:jc w:val="center"/>
              <w:rPr>
                <w:rFonts w:ascii="宋体" w:hAnsi="宋体"/>
                <w:sz w:val="24"/>
              </w:rPr>
            </w:pPr>
          </w:p>
        </w:tc>
        <w:tc>
          <w:tcPr>
            <w:tcW w:w="2786" w:type="dxa"/>
            <w:vAlign w:val="center"/>
          </w:tcPr>
          <w:p w14:paraId="5FD41ACE">
            <w:pPr>
              <w:spacing w:line="400" w:lineRule="exact"/>
              <w:jc w:val="left"/>
              <w:rPr>
                <w:rFonts w:hint="eastAsia" w:ascii="宋体" w:hAnsi="宋体"/>
                <w:sz w:val="24"/>
              </w:rPr>
            </w:pPr>
            <w:r>
              <w:rPr>
                <w:rFonts w:hint="eastAsia" w:ascii="宋体" w:hAnsi="宋体"/>
                <w:sz w:val="24"/>
              </w:rPr>
              <w:t>（四）中标人服务要求</w:t>
            </w:r>
          </w:p>
          <w:p w14:paraId="65A3BA5A">
            <w:pPr>
              <w:snapToGrid w:val="0"/>
              <w:spacing w:line="360" w:lineRule="auto"/>
              <w:jc w:val="left"/>
              <w:rPr>
                <w:rFonts w:ascii="宋体" w:hAnsi="宋体"/>
                <w:sz w:val="24"/>
              </w:rPr>
            </w:pPr>
            <w:r>
              <w:rPr>
                <w:rFonts w:hint="eastAsia" w:ascii="宋体" w:hAnsi="宋体"/>
                <w:sz w:val="24"/>
              </w:rPr>
              <w:t xml:space="preserve">★4.中标人须承诺提供的货物来源可追查，货物具有良好的周转渠道和充足的货物资源。（提供承诺函）。 </w:t>
            </w:r>
          </w:p>
        </w:tc>
        <w:tc>
          <w:tcPr>
            <w:tcW w:w="2175" w:type="dxa"/>
            <w:vAlign w:val="center"/>
          </w:tcPr>
          <w:p w14:paraId="4D8A4A6D">
            <w:pPr>
              <w:spacing w:line="400" w:lineRule="exact"/>
              <w:jc w:val="center"/>
              <w:rPr>
                <w:rFonts w:ascii="宋体" w:hAnsi="宋体"/>
                <w:sz w:val="24"/>
              </w:rPr>
            </w:pPr>
          </w:p>
        </w:tc>
        <w:tc>
          <w:tcPr>
            <w:tcW w:w="2029" w:type="dxa"/>
            <w:vAlign w:val="center"/>
          </w:tcPr>
          <w:p w14:paraId="7ADAACC5">
            <w:pPr>
              <w:spacing w:line="400" w:lineRule="exact"/>
              <w:jc w:val="center"/>
              <w:rPr>
                <w:rFonts w:ascii="宋体" w:hAnsi="宋体"/>
                <w:sz w:val="24"/>
              </w:rPr>
            </w:pPr>
          </w:p>
        </w:tc>
        <w:tc>
          <w:tcPr>
            <w:tcW w:w="1344" w:type="dxa"/>
            <w:vAlign w:val="center"/>
          </w:tcPr>
          <w:p w14:paraId="6AB31FE3">
            <w:pPr>
              <w:spacing w:line="400" w:lineRule="exact"/>
              <w:jc w:val="center"/>
              <w:rPr>
                <w:rFonts w:ascii="宋体" w:hAnsi="宋体"/>
                <w:sz w:val="24"/>
              </w:rPr>
            </w:pPr>
          </w:p>
        </w:tc>
      </w:tr>
      <w:tr w14:paraId="4050BD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692" w:type="dxa"/>
            <w:vAlign w:val="center"/>
          </w:tcPr>
          <w:p w14:paraId="0C75939B">
            <w:pPr>
              <w:ind w:left="180"/>
              <w:jc w:val="center"/>
              <w:rPr>
                <w:rFonts w:ascii="宋体" w:hAnsi="宋体"/>
                <w:sz w:val="24"/>
              </w:rPr>
            </w:pPr>
            <w:r>
              <w:rPr>
                <w:rFonts w:ascii="宋体" w:hAnsi="宋体"/>
                <w:sz w:val="24"/>
              </w:rPr>
              <w:t>3</w:t>
            </w:r>
          </w:p>
        </w:tc>
        <w:tc>
          <w:tcPr>
            <w:tcW w:w="2786" w:type="dxa"/>
            <w:vAlign w:val="center"/>
          </w:tcPr>
          <w:p w14:paraId="5318C233">
            <w:pPr>
              <w:pStyle w:val="20"/>
              <w:numPr>
                <w:ilvl w:val="0"/>
                <w:numId w:val="0"/>
              </w:numPr>
              <w:tabs>
                <w:tab w:val="left" w:pos="540"/>
              </w:tabs>
              <w:snapToGrid w:val="0"/>
              <w:spacing w:line="360" w:lineRule="auto"/>
              <w:ind w:left="420" w:leftChars="0" w:hanging="420" w:firstLineChars="0"/>
              <w:rPr>
                <w:rFonts w:asciiTheme="minorEastAsia" w:hAnsiTheme="minorEastAsia"/>
                <w:b/>
                <w:sz w:val="24"/>
                <w:szCs w:val="24"/>
              </w:rPr>
            </w:pPr>
            <w:r>
              <w:rPr>
                <w:rFonts w:hint="eastAsia" w:hAnsi="宋体" w:eastAsia="宋体" w:cs="Courier New"/>
                <w:b/>
                <w:color w:val="auto"/>
                <w:sz w:val="24"/>
                <w:szCs w:val="24"/>
                <w:lang w:val="en-US" w:eastAsia="zh-CN" w:bidi="ar-SA"/>
              </w:rPr>
              <w:t>四</w:t>
            </w:r>
            <w:r>
              <w:rPr>
                <w:rFonts w:ascii="宋体" w:hAnsi="宋体" w:eastAsia="宋体" w:cs="Courier New"/>
                <w:b/>
                <w:color w:val="auto"/>
                <w:sz w:val="24"/>
                <w:szCs w:val="24"/>
                <w:lang w:val="en-US" w:eastAsia="zh-CN" w:bidi="ar-SA"/>
              </w:rPr>
              <w:t>、</w:t>
            </w:r>
            <w:r>
              <w:rPr>
                <w:rFonts w:hint="eastAsia" w:hAnsi="宋体"/>
                <w:b/>
                <w:sz w:val="24"/>
                <w:szCs w:val="24"/>
              </w:rPr>
              <w:t>★</w:t>
            </w:r>
            <w:r>
              <w:rPr>
                <w:rFonts w:hint="eastAsia" w:asciiTheme="minorEastAsia" w:hAnsiTheme="minorEastAsia"/>
                <w:b/>
                <w:sz w:val="24"/>
                <w:szCs w:val="24"/>
              </w:rPr>
              <w:t>商务要求</w:t>
            </w:r>
          </w:p>
          <w:p w14:paraId="4CBDB4CC">
            <w:pPr>
              <w:pStyle w:val="84"/>
              <w:numPr>
                <w:ilvl w:val="0"/>
                <w:numId w:val="0"/>
              </w:numPr>
              <w:snapToGrid w:val="0"/>
              <w:spacing w:line="360" w:lineRule="auto"/>
              <w:ind w:left="0" w:leftChars="0" w:firstLine="0" w:firstLineChars="0"/>
              <w:jc w:val="left"/>
              <w:textAlignment w:val="auto"/>
              <w:outlineLvl w:val="1"/>
              <w:rPr>
                <w:rFonts w:ascii="宋体" w:hAnsi="宋体"/>
                <w:b/>
                <w:bCs/>
                <w:sz w:val="24"/>
              </w:rPr>
            </w:pPr>
            <w:r>
              <w:rPr>
                <w:rFonts w:hint="eastAsia" w:ascii="宋体" w:hAnsi="宋体" w:eastAsia="宋体" w:cs="Times New Roman"/>
                <w:b/>
                <w:bCs/>
                <w:sz w:val="24"/>
                <w:szCs w:val="24"/>
                <w:lang w:val="en-US" w:eastAsia="zh-CN" w:bidi="ar-SA"/>
              </w:rPr>
              <w:t>（一）</w:t>
            </w:r>
            <w:r>
              <w:rPr>
                <w:rFonts w:hint="eastAsia" w:ascii="宋体" w:hAnsi="宋体"/>
                <w:b/>
                <w:bCs/>
                <w:sz w:val="24"/>
              </w:rPr>
              <w:t>响应报价</w:t>
            </w:r>
          </w:p>
          <w:p w14:paraId="659F5A4E">
            <w:pPr>
              <w:numPr>
                <w:ilvl w:val="0"/>
                <w:numId w:val="0"/>
              </w:numPr>
              <w:snapToGrid w:val="0"/>
              <w:spacing w:line="360" w:lineRule="auto"/>
              <w:ind w:left="0" w:leftChars="0" w:firstLine="0" w:firstLineChars="0"/>
              <w:textAlignment w:val="auto"/>
              <w:rPr>
                <w:rFonts w:ascii="宋体" w:hAnsi="宋体"/>
                <w:sz w:val="24"/>
              </w:rPr>
            </w:pPr>
            <w:r>
              <w:rPr>
                <w:rFonts w:hint="default" w:ascii="Times New Roman" w:hAnsi="Times New Roman" w:eastAsia="宋体" w:cs="Times New Roman"/>
                <w:sz w:val="24"/>
                <w:szCs w:val="24"/>
                <w:lang w:val="en-US" w:eastAsia="zh-CN" w:bidi="ar-SA"/>
              </w:rPr>
              <w:t>1．</w:t>
            </w:r>
            <w:r>
              <w:rPr>
                <w:rFonts w:hint="eastAsia" w:ascii="宋体" w:hAnsi="宋体"/>
                <w:sz w:val="24"/>
              </w:rPr>
              <w:t>投标人必须对本项目专属福利电子采购平台上所有商品报出一个统一的响应综合折扣率，综合折扣率报价区间为0%—100%，保留两位小数（如90.00%），否则按无效报价处理。</w:t>
            </w:r>
          </w:p>
          <w:p w14:paraId="525B5D9E">
            <w:pPr>
              <w:numPr>
                <w:ilvl w:val="0"/>
                <w:numId w:val="0"/>
              </w:numPr>
              <w:snapToGrid w:val="0"/>
              <w:spacing w:line="360" w:lineRule="auto"/>
              <w:ind w:left="0" w:leftChars="0" w:firstLine="0" w:firstLineChars="0"/>
              <w:textAlignment w:val="auto"/>
              <w:rPr>
                <w:rFonts w:ascii="宋体" w:hAnsi="宋体"/>
                <w:sz w:val="24"/>
              </w:rPr>
            </w:pPr>
            <w:r>
              <w:rPr>
                <w:rFonts w:hint="default" w:ascii="Times New Roman" w:hAnsi="Times New Roman" w:eastAsia="宋体" w:cs="Times New Roman"/>
                <w:sz w:val="24"/>
                <w:szCs w:val="24"/>
                <w:lang w:val="en-US" w:eastAsia="zh-CN" w:bidi="ar-SA"/>
              </w:rPr>
              <w:t>2．</w:t>
            </w:r>
            <w:r>
              <w:rPr>
                <w:rFonts w:hint="eastAsia" w:ascii="宋体" w:hAnsi="宋体"/>
                <w:sz w:val="24"/>
              </w:rPr>
              <w:t>综合折扣率及结算价款已包含货款、包装、保管、运输保险、搬运、验收、质保期服务、投入人员费、电子采购平台服务费、各项税费及合同实施过程中可预见或不可预见费用等一切费用，采购人不再另行支付其他费用，合同另有约定除外。</w:t>
            </w:r>
          </w:p>
          <w:p w14:paraId="2E5F5688">
            <w:pPr>
              <w:numPr>
                <w:ilvl w:val="0"/>
                <w:numId w:val="0"/>
              </w:numPr>
              <w:snapToGrid w:val="0"/>
              <w:spacing w:line="360" w:lineRule="auto"/>
              <w:ind w:left="0" w:leftChars="0" w:firstLine="0" w:firstLineChars="0"/>
              <w:textAlignment w:val="auto"/>
              <w:rPr>
                <w:rFonts w:ascii="宋体" w:hAnsi="宋体"/>
                <w:sz w:val="24"/>
              </w:rPr>
            </w:pPr>
            <w:r>
              <w:rPr>
                <w:rFonts w:hint="default" w:ascii="Times New Roman" w:hAnsi="Times New Roman" w:eastAsia="宋体" w:cs="Times New Roman"/>
                <w:sz w:val="24"/>
                <w:szCs w:val="24"/>
                <w:lang w:val="en-US" w:eastAsia="zh-CN" w:bidi="ar-SA"/>
              </w:rPr>
              <w:t>3．</w:t>
            </w:r>
            <w:r>
              <w:rPr>
                <w:rFonts w:hint="eastAsia" w:ascii="宋体" w:hAnsi="宋体"/>
                <w:sz w:val="24"/>
              </w:rPr>
              <w:t>综合折扣率为本项目专属福利电子采购平台上进行下单的当日商品挂牌价的折扣率。</w:t>
            </w:r>
          </w:p>
          <w:p w14:paraId="1E72BA4D">
            <w:pPr>
              <w:snapToGrid w:val="0"/>
              <w:spacing w:line="360" w:lineRule="auto"/>
              <w:rPr>
                <w:rFonts w:ascii="宋体" w:hAnsi="宋体"/>
                <w:sz w:val="24"/>
              </w:rPr>
            </w:pPr>
            <w:r>
              <w:rPr>
                <w:rFonts w:hint="eastAsia" w:ascii="宋体" w:hAnsi="宋体"/>
                <w:sz w:val="24"/>
              </w:rPr>
              <w:t>例如：202</w:t>
            </w:r>
            <w:r>
              <w:rPr>
                <w:rFonts w:hint="eastAsia" w:ascii="宋体" w:hAnsi="宋体"/>
                <w:sz w:val="24"/>
                <w:lang w:val="en-US" w:eastAsia="zh-CN"/>
              </w:rPr>
              <w:t>6</w:t>
            </w:r>
            <w:r>
              <w:rPr>
                <w:rFonts w:hint="eastAsia" w:ascii="宋体" w:hAnsi="宋体"/>
                <w:sz w:val="24"/>
              </w:rPr>
              <w:t>年春节，某商品挂牌价格为600.00元，成交综合折扣率为90.00%，则某商品实际结算金额为：600.00×90.00%=540.00元。</w:t>
            </w:r>
          </w:p>
          <w:p w14:paraId="50A0C858">
            <w:pPr>
              <w:pStyle w:val="84"/>
              <w:numPr>
                <w:ilvl w:val="0"/>
                <w:numId w:val="0"/>
              </w:numPr>
              <w:snapToGrid w:val="0"/>
              <w:spacing w:line="360" w:lineRule="auto"/>
              <w:ind w:left="0" w:leftChars="0" w:firstLine="0" w:firstLineChars="0"/>
              <w:jc w:val="left"/>
              <w:textAlignment w:val="auto"/>
              <w:outlineLvl w:val="1"/>
              <w:rPr>
                <w:rFonts w:ascii="宋体" w:hAnsi="宋体"/>
                <w:b/>
                <w:bCs/>
                <w:sz w:val="24"/>
              </w:rPr>
            </w:pPr>
            <w:r>
              <w:rPr>
                <w:rFonts w:hint="eastAsia" w:ascii="宋体" w:hAnsi="宋体" w:eastAsia="宋体" w:cs="Times New Roman"/>
                <w:b/>
                <w:bCs/>
                <w:sz w:val="24"/>
                <w:szCs w:val="24"/>
                <w:lang w:val="en-US" w:eastAsia="zh-CN" w:bidi="ar-SA"/>
              </w:rPr>
              <w:t>（二）</w:t>
            </w:r>
            <w:r>
              <w:rPr>
                <w:rFonts w:hint="eastAsia" w:ascii="宋体" w:hAnsi="宋体"/>
                <w:b/>
                <w:bCs/>
                <w:sz w:val="24"/>
              </w:rPr>
              <w:t>付款方式</w:t>
            </w:r>
          </w:p>
          <w:p w14:paraId="25777D70">
            <w:pPr>
              <w:numPr>
                <w:ilvl w:val="0"/>
                <w:numId w:val="0"/>
              </w:numPr>
              <w:snapToGrid w:val="0"/>
              <w:spacing w:line="360" w:lineRule="auto"/>
              <w:ind w:left="0" w:leftChars="0" w:firstLine="0" w:firstLineChars="0"/>
              <w:jc w:val="left"/>
              <w:textAlignment w:val="auto"/>
              <w:rPr>
                <w:rFonts w:ascii="宋体" w:hAnsi="宋体"/>
                <w:sz w:val="24"/>
              </w:rPr>
            </w:pPr>
            <w:r>
              <w:rPr>
                <w:rFonts w:hint="default" w:ascii="Times New Roman" w:hAnsi="Times New Roman" w:eastAsia="宋体" w:cs="Times New Roman"/>
                <w:sz w:val="24"/>
                <w:szCs w:val="24"/>
                <w:lang w:val="en-US" w:eastAsia="zh-CN" w:bidi="ar-SA"/>
              </w:rPr>
              <w:t>1．</w:t>
            </w:r>
            <w:r>
              <w:rPr>
                <w:rFonts w:hint="eastAsia" w:ascii="宋体" w:hAnsi="宋体"/>
                <w:sz w:val="24"/>
              </w:rPr>
              <w:t>本项目采用按实结算方式，中标人节前按采购人工会委员会的需求提供套餐选购服务，采购人工会委员会确认套餐后，全部职工完成套餐选择并签收后，中标人向采购人工会委员会提供系统生成的签领凭证，采购人工会委员会核对无误后，中标人开具全额正式税务发票交采购人工会委员会审核，采购人工会委员会在收到发票后10个工作日内支付该次节日采购总金额的100%款项。</w:t>
            </w:r>
          </w:p>
          <w:p w14:paraId="4284CCFD">
            <w:pPr>
              <w:numPr>
                <w:ilvl w:val="0"/>
                <w:numId w:val="0"/>
              </w:numPr>
              <w:snapToGrid w:val="0"/>
              <w:spacing w:line="360" w:lineRule="auto"/>
              <w:ind w:left="0" w:leftChars="0" w:firstLine="0" w:firstLineChars="0"/>
              <w:jc w:val="left"/>
              <w:textAlignment w:val="auto"/>
              <w:rPr>
                <w:rFonts w:ascii="宋体" w:hAnsi="宋体"/>
                <w:sz w:val="24"/>
              </w:rPr>
            </w:pPr>
            <w:r>
              <w:rPr>
                <w:rFonts w:hint="default" w:ascii="Times New Roman" w:hAnsi="Times New Roman" w:eastAsia="宋体" w:cs="Times New Roman"/>
                <w:sz w:val="24"/>
                <w:szCs w:val="24"/>
                <w:lang w:val="en-US" w:eastAsia="zh-CN" w:bidi="ar-SA"/>
              </w:rPr>
              <w:t>2．</w:t>
            </w:r>
            <w:r>
              <w:rPr>
                <w:rFonts w:hint="eastAsia" w:ascii="宋体" w:hAnsi="宋体"/>
                <w:sz w:val="24"/>
              </w:rPr>
              <w:t>结算价：结算价</w:t>
            </w:r>
            <w:r>
              <w:rPr>
                <w:rFonts w:ascii="宋体" w:hAnsi="宋体"/>
                <w:sz w:val="24"/>
              </w:rPr>
              <w:t>=</w:t>
            </w:r>
            <w:r>
              <w:rPr>
                <w:rFonts w:hint="eastAsia" w:ascii="宋体" w:hAnsi="宋体"/>
                <w:sz w:val="24"/>
              </w:rPr>
              <w:t>∑商品挂牌价单价</w:t>
            </w:r>
            <w:r>
              <w:rPr>
                <w:rFonts w:ascii="宋体" w:hAnsi="宋体"/>
                <w:sz w:val="24"/>
              </w:rPr>
              <w:t>*实际供货数量*</w:t>
            </w:r>
            <w:r>
              <w:rPr>
                <w:rFonts w:hint="eastAsia" w:ascii="宋体" w:hAnsi="宋体"/>
                <w:sz w:val="24"/>
              </w:rPr>
              <w:t>中标综合折扣率。</w:t>
            </w:r>
          </w:p>
          <w:p w14:paraId="12942673">
            <w:pPr>
              <w:numPr>
                <w:ilvl w:val="0"/>
                <w:numId w:val="0"/>
              </w:numPr>
              <w:snapToGrid w:val="0"/>
              <w:spacing w:line="360" w:lineRule="auto"/>
              <w:ind w:left="0" w:leftChars="0" w:firstLine="0" w:firstLineChars="0"/>
              <w:jc w:val="left"/>
              <w:textAlignment w:val="auto"/>
              <w:rPr>
                <w:rFonts w:ascii="宋体" w:hAnsi="宋体"/>
                <w:color w:val="auto"/>
                <w:sz w:val="24"/>
              </w:rPr>
            </w:pPr>
            <w:r>
              <w:rPr>
                <w:rFonts w:hint="default" w:ascii="Times New Roman" w:hAnsi="Times New Roman" w:eastAsia="宋体" w:cs="Times New Roman"/>
                <w:color w:val="auto"/>
                <w:sz w:val="24"/>
                <w:szCs w:val="24"/>
                <w:lang w:val="en-US" w:eastAsia="zh-CN" w:bidi="ar-SA"/>
              </w:rPr>
              <w:t>3．</w:t>
            </w:r>
            <w:r>
              <w:rPr>
                <w:rFonts w:hint="eastAsia" w:ascii="宋体" w:hAnsi="宋体"/>
                <w:sz w:val="24"/>
              </w:rPr>
              <w:t>中标人应提供与货物相应金额的</w:t>
            </w:r>
            <w:r>
              <w:rPr>
                <w:rFonts w:hint="eastAsia" w:ascii="宋体" w:hAnsi="宋体"/>
                <w:color w:val="auto"/>
                <w:sz w:val="24"/>
              </w:rPr>
              <w:t>正式发票。中标人未及时出具等额有效发票，导致付款延迟的，因此造成的损失由中标人自行承担责任。</w:t>
            </w:r>
          </w:p>
          <w:p w14:paraId="0771CC44">
            <w:pPr>
              <w:numPr>
                <w:ilvl w:val="0"/>
                <w:numId w:val="0"/>
              </w:numPr>
              <w:snapToGrid w:val="0"/>
              <w:spacing w:line="360" w:lineRule="auto"/>
              <w:ind w:left="0" w:leftChars="0" w:firstLine="0" w:firstLineChars="0"/>
              <w:jc w:val="left"/>
              <w:textAlignment w:val="auto"/>
              <w:rPr>
                <w:rFonts w:ascii="宋体" w:hAnsi="宋体"/>
                <w:color w:val="auto"/>
                <w:sz w:val="24"/>
              </w:rPr>
            </w:pPr>
            <w:r>
              <w:rPr>
                <w:rFonts w:hint="default" w:ascii="Times New Roman" w:hAnsi="Times New Roman" w:eastAsia="宋体" w:cs="Times New Roman"/>
                <w:color w:val="auto"/>
                <w:sz w:val="24"/>
                <w:szCs w:val="24"/>
                <w:lang w:val="en-US" w:eastAsia="zh-CN" w:bidi="ar-SA"/>
              </w:rPr>
              <w:t>4．</w:t>
            </w:r>
            <w:r>
              <w:rPr>
                <w:rFonts w:hint="eastAsia" w:ascii="宋体" w:hAnsi="宋体"/>
                <w:sz w:val="24"/>
              </w:rPr>
              <w:t>付款期间如因特殊情况需调整，由双</w:t>
            </w:r>
            <w:r>
              <w:rPr>
                <w:rFonts w:hint="eastAsia" w:ascii="宋体" w:hAnsi="宋体"/>
                <w:color w:val="auto"/>
                <w:sz w:val="24"/>
              </w:rPr>
              <w:t>方协商处理。</w:t>
            </w:r>
          </w:p>
          <w:p w14:paraId="3025ED6E">
            <w:pPr>
              <w:numPr>
                <w:ilvl w:val="0"/>
                <w:numId w:val="0"/>
              </w:numPr>
              <w:snapToGrid w:val="0"/>
              <w:spacing w:line="360" w:lineRule="auto"/>
              <w:ind w:left="0" w:leftChars="0" w:firstLine="0" w:firstLineChars="0"/>
              <w:jc w:val="left"/>
              <w:textAlignment w:val="auto"/>
              <w:rPr>
                <w:rFonts w:ascii="宋体" w:hAnsi="宋体"/>
                <w:color w:val="auto"/>
                <w:sz w:val="24"/>
              </w:rPr>
            </w:pPr>
            <w:r>
              <w:rPr>
                <w:rFonts w:hint="default" w:ascii="Times New Roman" w:hAnsi="Times New Roman" w:eastAsia="宋体" w:cs="Times New Roman"/>
                <w:color w:val="auto"/>
                <w:sz w:val="24"/>
                <w:szCs w:val="24"/>
                <w:lang w:val="en-US" w:eastAsia="zh-CN" w:bidi="ar-SA"/>
              </w:rPr>
              <w:t>5．</w:t>
            </w:r>
            <w:r>
              <w:rPr>
                <w:rFonts w:hint="eastAsia" w:cs="宋体" w:asciiTheme="minorEastAsia" w:hAnsiTheme="minorEastAsia" w:eastAsiaTheme="minorEastAsia"/>
                <w:color w:val="auto"/>
                <w:kern w:val="2"/>
                <w:sz w:val="24"/>
                <w:szCs w:val="22"/>
              </w:rPr>
              <w:t>违约责任：采购人逾期支付合同款项的，除应当支付合同款项外，还应当每日按“逾期金额×（合同订立时1年期贷款市场报价利率÷365天）”向中标人偿付违约金，因采购人使用的是财政资金，采购人在规定时间向支付部门提出支付申请，如因财政支付部门审核时间导致无法按期支付的，采购人不承担违约责任。</w:t>
            </w:r>
            <w:r>
              <w:rPr>
                <w:rFonts w:hint="eastAsia" w:cs="宋体" w:asciiTheme="minorEastAsia" w:hAnsiTheme="minorEastAsia" w:eastAsiaTheme="minorEastAsia"/>
                <w:color w:val="auto"/>
                <w:kern w:val="2"/>
                <w:sz w:val="24"/>
                <w:szCs w:val="22"/>
                <w:lang w:val="en-US" w:eastAsia="zh-CN"/>
              </w:rPr>
              <w:t>且如</w:t>
            </w:r>
            <w:r>
              <w:rPr>
                <w:rFonts w:hint="eastAsia" w:cs="宋体" w:asciiTheme="minorEastAsia" w:hAnsiTheme="minorEastAsia" w:eastAsiaTheme="minorEastAsia"/>
                <w:color w:val="auto"/>
                <w:kern w:val="2"/>
                <w:sz w:val="24"/>
                <w:szCs w:val="22"/>
              </w:rPr>
              <w:t>因中标人自身原因导致无法及时支付</w:t>
            </w:r>
            <w:r>
              <w:rPr>
                <w:rFonts w:hint="eastAsia" w:cs="宋体" w:asciiTheme="minorEastAsia" w:hAnsiTheme="minorEastAsia" w:eastAsiaTheme="minorEastAsia"/>
                <w:color w:val="auto"/>
                <w:kern w:val="2"/>
                <w:sz w:val="24"/>
                <w:szCs w:val="22"/>
                <w:lang w:eastAsia="zh-CN"/>
              </w:rPr>
              <w:t>，</w:t>
            </w:r>
            <w:r>
              <w:rPr>
                <w:rFonts w:hint="eastAsia" w:cs="宋体" w:asciiTheme="minorEastAsia" w:hAnsiTheme="minorEastAsia" w:eastAsiaTheme="minorEastAsia"/>
                <w:color w:val="auto"/>
                <w:kern w:val="2"/>
                <w:sz w:val="24"/>
                <w:szCs w:val="22"/>
                <w:lang w:val="en-US" w:eastAsia="zh-CN"/>
              </w:rPr>
              <w:t>亦非采购人违约情形</w:t>
            </w:r>
            <w:r>
              <w:rPr>
                <w:rFonts w:hint="eastAsia" w:cs="宋体" w:asciiTheme="minorEastAsia" w:hAnsiTheme="minorEastAsia" w:eastAsiaTheme="minorEastAsia"/>
                <w:color w:val="auto"/>
                <w:kern w:val="2"/>
                <w:sz w:val="24"/>
                <w:szCs w:val="22"/>
              </w:rPr>
              <w:t>。</w:t>
            </w:r>
          </w:p>
          <w:p w14:paraId="15EEDF7B">
            <w:pPr>
              <w:pStyle w:val="84"/>
              <w:numPr>
                <w:ilvl w:val="0"/>
                <w:numId w:val="0"/>
              </w:numPr>
              <w:snapToGrid w:val="0"/>
              <w:spacing w:line="360" w:lineRule="auto"/>
              <w:ind w:left="0" w:leftChars="0" w:firstLine="0" w:firstLineChars="0"/>
              <w:jc w:val="left"/>
              <w:textAlignment w:val="auto"/>
              <w:outlineLvl w:val="1"/>
              <w:rPr>
                <w:rFonts w:ascii="宋体" w:hAnsi="宋体"/>
                <w:b/>
                <w:bCs/>
                <w:color w:val="auto"/>
                <w:sz w:val="24"/>
              </w:rPr>
            </w:pPr>
            <w:r>
              <w:rPr>
                <w:rFonts w:hint="eastAsia" w:ascii="宋体" w:hAnsi="宋体" w:eastAsia="宋体" w:cs="Times New Roman"/>
                <w:b/>
                <w:bCs/>
                <w:color w:val="auto"/>
                <w:sz w:val="24"/>
                <w:szCs w:val="24"/>
                <w:lang w:val="en-US" w:eastAsia="zh-CN" w:bidi="ar-SA"/>
              </w:rPr>
              <w:t>（三）</w:t>
            </w:r>
            <w:r>
              <w:rPr>
                <w:rFonts w:hint="eastAsia" w:ascii="宋体" w:hAnsi="宋体"/>
                <w:b/>
                <w:bCs/>
                <w:color w:val="auto"/>
                <w:sz w:val="24"/>
              </w:rPr>
              <w:t>服务期限</w:t>
            </w:r>
          </w:p>
          <w:p w14:paraId="2127014A">
            <w:pPr>
              <w:snapToGrid w:val="0"/>
              <w:spacing w:line="360" w:lineRule="auto"/>
              <w:jc w:val="left"/>
              <w:rPr>
                <w:rFonts w:ascii="宋体" w:hAnsi="宋体"/>
                <w:color w:val="auto"/>
                <w:sz w:val="24"/>
              </w:rPr>
            </w:pPr>
            <w:r>
              <w:rPr>
                <w:rFonts w:hint="eastAsia" w:ascii="宋体" w:hAnsi="宋体"/>
                <w:color w:val="auto"/>
                <w:sz w:val="24"/>
              </w:rPr>
              <w:t>自签订合同之日起至202</w:t>
            </w:r>
            <w:r>
              <w:rPr>
                <w:rFonts w:hint="eastAsia" w:ascii="宋体" w:hAnsi="宋体"/>
                <w:color w:val="auto"/>
                <w:sz w:val="24"/>
                <w:lang w:val="en-US" w:eastAsia="zh-CN"/>
              </w:rPr>
              <w:t>6</w:t>
            </w:r>
            <w:r>
              <w:rPr>
                <w:rFonts w:hint="eastAsia" w:ascii="宋体" w:hAnsi="宋体"/>
                <w:color w:val="auto"/>
                <w:sz w:val="24"/>
              </w:rPr>
              <w:t>年12月31日或项目结算金额达到预算金额其中一项先到达为止。中标人应于该期限内向采购人提供货品。</w:t>
            </w:r>
          </w:p>
          <w:p w14:paraId="1B130C50">
            <w:pPr>
              <w:pStyle w:val="84"/>
              <w:numPr>
                <w:ilvl w:val="0"/>
                <w:numId w:val="0"/>
              </w:numPr>
              <w:snapToGrid w:val="0"/>
              <w:spacing w:line="360" w:lineRule="auto"/>
              <w:ind w:left="0" w:leftChars="0" w:firstLine="0" w:firstLineChars="0"/>
              <w:jc w:val="left"/>
              <w:textAlignment w:val="auto"/>
              <w:outlineLvl w:val="1"/>
              <w:rPr>
                <w:rFonts w:ascii="宋体" w:hAnsi="宋体"/>
                <w:b/>
                <w:bCs/>
                <w:color w:val="auto"/>
                <w:sz w:val="24"/>
              </w:rPr>
            </w:pPr>
            <w:r>
              <w:rPr>
                <w:rFonts w:hint="eastAsia" w:ascii="宋体" w:hAnsi="宋体" w:eastAsia="宋体" w:cs="Times New Roman"/>
                <w:b/>
                <w:bCs/>
                <w:color w:val="auto"/>
                <w:sz w:val="24"/>
                <w:szCs w:val="24"/>
                <w:lang w:val="en-US" w:eastAsia="zh-CN" w:bidi="ar-SA"/>
              </w:rPr>
              <w:t>（四）</w:t>
            </w:r>
            <w:r>
              <w:rPr>
                <w:rFonts w:hint="eastAsia" w:ascii="宋体" w:hAnsi="宋体"/>
                <w:b/>
                <w:bCs/>
                <w:color w:val="auto"/>
                <w:sz w:val="24"/>
              </w:rPr>
              <w:t>交货方式及地点</w:t>
            </w:r>
          </w:p>
          <w:p w14:paraId="4740E554">
            <w:pPr>
              <w:snapToGrid w:val="0"/>
              <w:spacing w:line="360" w:lineRule="auto"/>
              <w:jc w:val="left"/>
              <w:rPr>
                <w:rFonts w:ascii="宋体" w:hAnsi="宋体"/>
                <w:sz w:val="24"/>
              </w:rPr>
            </w:pPr>
            <w:r>
              <w:rPr>
                <w:rFonts w:hint="eastAsia" w:ascii="宋体" w:hAnsi="宋体"/>
                <w:sz w:val="24"/>
              </w:rPr>
              <w:t xml:space="preserve">由中标人直接邮寄、配送到采购人职工指定地点。 </w:t>
            </w:r>
          </w:p>
          <w:p w14:paraId="3A16DD9D">
            <w:pPr>
              <w:snapToGrid w:val="0"/>
              <w:spacing w:line="360" w:lineRule="auto"/>
              <w:jc w:val="left"/>
              <w:rPr>
                <w:rFonts w:ascii="宋体" w:hAnsi="宋体"/>
                <w:sz w:val="24"/>
              </w:rPr>
            </w:pPr>
            <w:r>
              <w:rPr>
                <w:rFonts w:hint="eastAsia" w:ascii="宋体" w:hAnsi="宋体"/>
                <w:sz w:val="24"/>
              </w:rPr>
              <w:t>（1）专属福利电子采购平台须于合同签订后5个工作日内完成并面向采购人单位工会开放并按采购人通知开放领取；</w:t>
            </w:r>
          </w:p>
          <w:p w14:paraId="517F34E1">
            <w:pPr>
              <w:snapToGrid w:val="0"/>
              <w:spacing w:line="360" w:lineRule="auto"/>
              <w:jc w:val="left"/>
              <w:rPr>
                <w:rFonts w:ascii="宋体" w:hAnsi="宋体"/>
                <w:sz w:val="24"/>
              </w:rPr>
            </w:pPr>
            <w:r>
              <w:rPr>
                <w:rFonts w:hint="eastAsia" w:ascii="宋体" w:hAnsi="宋体"/>
                <w:sz w:val="24"/>
              </w:rPr>
              <w:t xml:space="preserve">（2）中标人必须能实现5天内送达全国指定地址。 </w:t>
            </w:r>
          </w:p>
          <w:p w14:paraId="6D2F6C3D">
            <w:pPr>
              <w:snapToGrid w:val="0"/>
              <w:spacing w:line="360" w:lineRule="auto"/>
              <w:jc w:val="left"/>
              <w:rPr>
                <w:rFonts w:ascii="宋体" w:hAnsi="宋体"/>
                <w:bCs/>
                <w:sz w:val="24"/>
              </w:rPr>
            </w:pPr>
            <w:r>
              <w:rPr>
                <w:rFonts w:hint="eastAsia" w:ascii="宋体" w:hAnsi="宋体"/>
                <w:sz w:val="24"/>
              </w:rPr>
              <w:t>（3）在服务有效期内，中标人应保证专属福利电子采购平台的正常使用，每个节日自中标人开放慰问套餐领取之日起职工可下单时间应不少于3</w:t>
            </w:r>
            <w:r>
              <w:rPr>
                <w:rFonts w:ascii="宋体" w:hAnsi="宋体"/>
                <w:sz w:val="24"/>
              </w:rPr>
              <w:t>0</w:t>
            </w:r>
            <w:r>
              <w:rPr>
                <w:rFonts w:hint="eastAsia" w:ascii="宋体" w:hAnsi="宋体"/>
                <w:sz w:val="24"/>
              </w:rPr>
              <w:t>日历日。</w:t>
            </w:r>
          </w:p>
          <w:p w14:paraId="4C5EBF9F">
            <w:pPr>
              <w:pStyle w:val="84"/>
              <w:numPr>
                <w:ilvl w:val="0"/>
                <w:numId w:val="0"/>
              </w:numPr>
              <w:snapToGrid w:val="0"/>
              <w:spacing w:line="360" w:lineRule="auto"/>
              <w:ind w:left="0" w:leftChars="0" w:firstLine="0" w:firstLineChars="0"/>
              <w:jc w:val="left"/>
              <w:textAlignment w:val="auto"/>
              <w:outlineLvl w:val="1"/>
              <w:rPr>
                <w:rFonts w:ascii="宋体" w:hAnsi="宋体"/>
                <w:b/>
                <w:bCs/>
                <w:color w:val="auto"/>
                <w:sz w:val="24"/>
              </w:rPr>
            </w:pPr>
            <w:r>
              <w:rPr>
                <w:rFonts w:hint="eastAsia" w:ascii="宋体" w:hAnsi="宋体" w:eastAsia="宋体" w:cs="Times New Roman"/>
                <w:b/>
                <w:bCs/>
                <w:color w:val="auto"/>
                <w:sz w:val="24"/>
                <w:szCs w:val="24"/>
                <w:lang w:val="en-US" w:eastAsia="zh-CN" w:bidi="ar-SA"/>
              </w:rPr>
              <w:t>（五）</w:t>
            </w:r>
            <w:r>
              <w:rPr>
                <w:rFonts w:hint="eastAsia" w:ascii="宋体" w:hAnsi="宋体"/>
                <w:b/>
                <w:bCs/>
                <w:color w:val="auto"/>
                <w:sz w:val="24"/>
              </w:rPr>
              <w:t>履约保证金</w:t>
            </w:r>
          </w:p>
          <w:p w14:paraId="4D2E9CE4">
            <w:pPr>
              <w:snapToGrid w:val="0"/>
              <w:spacing w:line="360" w:lineRule="auto"/>
              <w:ind w:left="425" w:hanging="283"/>
              <w:rPr>
                <w:rFonts w:hint="eastAsia" w:ascii="宋体" w:hAnsi="宋体"/>
                <w:color w:val="auto"/>
                <w:sz w:val="24"/>
              </w:rPr>
            </w:pPr>
            <w:r>
              <w:rPr>
                <w:rFonts w:ascii="宋体" w:hAnsi="宋体"/>
                <w:color w:val="auto"/>
                <w:sz w:val="24"/>
              </w:rPr>
              <w:t>1.</w:t>
            </w:r>
            <w:r>
              <w:rPr>
                <w:rFonts w:hint="eastAsia" w:ascii="宋体" w:hAnsi="宋体"/>
                <w:color w:val="auto"/>
                <w:sz w:val="24"/>
              </w:rPr>
              <w:t>提交说明</w:t>
            </w:r>
          </w:p>
          <w:p w14:paraId="5B0469E5">
            <w:pPr>
              <w:snapToGrid w:val="0"/>
              <w:spacing w:line="360" w:lineRule="auto"/>
              <w:ind w:left="840" w:hanging="698"/>
              <w:rPr>
                <w:rFonts w:hint="eastAsia" w:ascii="宋体" w:hAnsi="宋体"/>
                <w:color w:val="auto"/>
                <w:sz w:val="24"/>
              </w:rPr>
            </w:pPr>
            <w:r>
              <w:rPr>
                <w:rFonts w:hint="eastAsia" w:ascii="宋体" w:hAnsi="宋体"/>
                <w:color w:val="auto"/>
                <w:sz w:val="24"/>
              </w:rPr>
              <w:t>（1）时间：合同签订前；</w:t>
            </w:r>
          </w:p>
          <w:p w14:paraId="2E6DB4C2">
            <w:pPr>
              <w:snapToGrid w:val="0"/>
              <w:spacing w:line="360" w:lineRule="auto"/>
              <w:ind w:left="840" w:hanging="698"/>
              <w:rPr>
                <w:rFonts w:hint="eastAsia" w:ascii="宋体" w:hAnsi="宋体"/>
                <w:color w:val="auto"/>
                <w:sz w:val="24"/>
              </w:rPr>
            </w:pPr>
            <w:r>
              <w:rPr>
                <w:rFonts w:hint="eastAsia" w:ascii="宋体" w:hAnsi="宋体"/>
                <w:color w:val="auto"/>
                <w:sz w:val="24"/>
              </w:rPr>
              <w:t>（2）金额：合同（成交）金额的</w:t>
            </w:r>
            <w:r>
              <w:rPr>
                <w:rFonts w:hint="eastAsia" w:ascii="宋体" w:hAnsi="宋体"/>
                <w:color w:val="auto"/>
                <w:sz w:val="24"/>
                <w:u w:val="single"/>
                <w:lang w:val="en-US" w:eastAsia="zh-CN"/>
              </w:rPr>
              <w:t>5</w:t>
            </w:r>
            <w:r>
              <w:rPr>
                <w:rFonts w:hint="eastAsia" w:ascii="宋体" w:hAnsi="宋体"/>
                <w:color w:val="auto"/>
                <w:sz w:val="24"/>
                <w:u w:val="single"/>
              </w:rPr>
              <w:t>%</w:t>
            </w:r>
            <w:r>
              <w:rPr>
                <w:rFonts w:hint="eastAsia" w:ascii="宋体" w:hAnsi="宋体"/>
                <w:color w:val="auto"/>
                <w:sz w:val="24"/>
              </w:rPr>
              <w:t>；</w:t>
            </w:r>
          </w:p>
          <w:p w14:paraId="5EB653CA">
            <w:pPr>
              <w:snapToGrid w:val="0"/>
              <w:spacing w:line="360" w:lineRule="auto"/>
              <w:ind w:left="840" w:hanging="698"/>
              <w:rPr>
                <w:rFonts w:hint="eastAsia" w:ascii="宋体" w:hAnsi="宋体"/>
                <w:color w:val="auto"/>
                <w:sz w:val="24"/>
              </w:rPr>
            </w:pPr>
            <w:r>
              <w:rPr>
                <w:rFonts w:hint="eastAsia" w:ascii="宋体" w:hAnsi="宋体"/>
                <w:color w:val="auto"/>
                <w:sz w:val="24"/>
              </w:rPr>
              <w:t>（3）方式：转账、支票、汇票、本票、保函；</w:t>
            </w:r>
          </w:p>
          <w:p w14:paraId="6A3CF39C">
            <w:pPr>
              <w:snapToGrid w:val="0"/>
              <w:spacing w:line="360" w:lineRule="auto"/>
              <w:ind w:left="425" w:hanging="283"/>
              <w:rPr>
                <w:rFonts w:hint="eastAsia" w:ascii="宋体" w:hAnsi="宋体"/>
                <w:color w:val="auto"/>
                <w:sz w:val="24"/>
              </w:rPr>
            </w:pPr>
            <w:r>
              <w:rPr>
                <w:rFonts w:ascii="宋体" w:hAnsi="宋体"/>
                <w:color w:val="auto"/>
                <w:sz w:val="24"/>
              </w:rPr>
              <w:t>2.</w:t>
            </w:r>
            <w:r>
              <w:rPr>
                <w:rFonts w:hint="eastAsia" w:ascii="宋体" w:hAnsi="宋体"/>
                <w:color w:val="auto"/>
                <w:sz w:val="24"/>
              </w:rPr>
              <w:t>退还说明：</w:t>
            </w:r>
          </w:p>
          <w:p w14:paraId="081CB150">
            <w:pPr>
              <w:numPr>
                <w:ilvl w:val="0"/>
                <w:numId w:val="0"/>
              </w:numPr>
              <w:snapToGrid w:val="0"/>
              <w:spacing w:line="360" w:lineRule="auto"/>
              <w:ind w:left="840" w:leftChars="0" w:hanging="698" w:firstLine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（1）</w:t>
            </w:r>
            <w:r>
              <w:rPr>
                <w:rFonts w:hint="eastAsia" w:cs="宋体" w:asciiTheme="minorEastAsia" w:hAnsiTheme="minorEastAsia" w:eastAsiaTheme="minorEastAsia"/>
                <w:color w:val="auto"/>
                <w:sz w:val="24"/>
              </w:rPr>
              <w:t>时间、方式和条件：</w:t>
            </w:r>
            <w:r>
              <w:rPr>
                <w:rFonts w:hint="eastAsia" w:cs="宋体" w:asciiTheme="minorEastAsia" w:hAnsiTheme="minorEastAsia" w:eastAsiaTheme="minorEastAsia"/>
                <w:color w:val="auto"/>
                <w:sz w:val="24"/>
                <w:lang w:eastAsia="zh-TW"/>
              </w:rPr>
              <w:t>中标人履行完成合同约定权利义务事项</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且无存在需要扣减保证金的情况下</w:t>
            </w:r>
            <w:r>
              <w:rPr>
                <w:rFonts w:hint="eastAsia" w:cs="宋体" w:asciiTheme="minorEastAsia" w:hAnsiTheme="minorEastAsia" w:eastAsiaTheme="minorEastAsia"/>
                <w:color w:val="auto"/>
                <w:sz w:val="24"/>
                <w:lang w:eastAsia="zh-TW"/>
              </w:rPr>
              <w:t>在合同期满之日起</w:t>
            </w:r>
            <w:r>
              <w:rPr>
                <w:rFonts w:hint="eastAsia" w:cs="宋体" w:asciiTheme="minorEastAsia" w:hAnsiTheme="minorEastAsia" w:eastAsiaTheme="minorEastAsia"/>
                <w:color w:val="auto"/>
                <w:sz w:val="24"/>
                <w:u w:val="single"/>
                <w:lang w:val="en-US" w:eastAsia="zh-CN"/>
              </w:rPr>
              <w:t>15个工作日</w:t>
            </w:r>
            <w:r>
              <w:rPr>
                <w:rFonts w:hint="eastAsia" w:cs="宋体" w:asciiTheme="minorEastAsia" w:hAnsiTheme="minorEastAsia" w:eastAsiaTheme="minorEastAsia"/>
                <w:color w:val="auto"/>
                <w:sz w:val="24"/>
                <w:lang w:eastAsia="zh-TW"/>
              </w:rPr>
              <w:t>内退还</w:t>
            </w:r>
            <w:r>
              <w:rPr>
                <w:rFonts w:hint="eastAsia" w:cs="宋体" w:asciiTheme="minorEastAsia" w:hAnsiTheme="minorEastAsia" w:eastAsiaTheme="minorEastAsia"/>
                <w:color w:val="auto"/>
                <w:sz w:val="24"/>
              </w:rPr>
              <w:t>或</w:t>
            </w:r>
            <w:r>
              <w:rPr>
                <w:rFonts w:hint="eastAsia" w:cs="宋体" w:asciiTheme="minorEastAsia" w:hAnsiTheme="minorEastAsia" w:eastAsiaTheme="minorEastAsia"/>
                <w:color w:val="auto"/>
                <w:sz w:val="24"/>
                <w:lang w:eastAsia="zh-TW"/>
              </w:rPr>
              <w:t>在合同期满之日起</w:t>
            </w:r>
            <w:r>
              <w:rPr>
                <w:rFonts w:hint="eastAsia" w:cs="宋体" w:asciiTheme="minorEastAsia" w:hAnsiTheme="minorEastAsia" w:eastAsiaTheme="minorEastAsia"/>
                <w:color w:val="auto"/>
                <w:sz w:val="24"/>
                <w:u w:val="single"/>
                <w:lang w:val="en-US" w:eastAsia="zh-CN"/>
              </w:rPr>
              <w:t>15个工作日</w:t>
            </w:r>
            <w:r>
              <w:rPr>
                <w:rFonts w:hint="eastAsia" w:cs="宋体" w:asciiTheme="minorEastAsia" w:hAnsiTheme="minorEastAsia" w:eastAsiaTheme="minorEastAsia"/>
                <w:color w:val="auto"/>
                <w:sz w:val="24"/>
                <w:lang w:eastAsia="zh-TW"/>
              </w:rPr>
              <w:t>内</w:t>
            </w:r>
            <w:r>
              <w:rPr>
                <w:rFonts w:hint="eastAsia" w:cs="宋体" w:asciiTheme="minorEastAsia" w:hAnsiTheme="minorEastAsia" w:eastAsiaTheme="minorEastAsia"/>
                <w:color w:val="auto"/>
                <w:sz w:val="24"/>
              </w:rPr>
              <w:t>失效。</w:t>
            </w:r>
            <w:r>
              <w:rPr>
                <w:rFonts w:hint="eastAsia" w:cs="宋体" w:asciiTheme="minorEastAsia" w:hAnsiTheme="minorEastAsia" w:eastAsiaTheme="minorEastAsia"/>
                <w:color w:val="auto"/>
                <w:sz w:val="24"/>
                <w:lang w:val="en-US" w:eastAsia="zh-CN"/>
              </w:rPr>
              <w:t>履约保证金为无息退还</w:t>
            </w:r>
            <w:r>
              <w:rPr>
                <w:rFonts w:hint="eastAsia" w:cs="宋体" w:asciiTheme="minorEastAsia" w:hAnsiTheme="minorEastAsia" w:eastAsiaTheme="minorEastAsia"/>
                <w:color w:val="auto"/>
                <w:sz w:val="24"/>
                <w:lang w:eastAsia="zh-TW"/>
              </w:rPr>
              <w:t>。</w:t>
            </w:r>
          </w:p>
          <w:p w14:paraId="18CC13A5">
            <w:pPr>
              <w:numPr>
                <w:ilvl w:val="0"/>
                <w:numId w:val="0"/>
              </w:numPr>
              <w:snapToGrid w:val="0"/>
              <w:spacing w:line="360" w:lineRule="auto"/>
              <w:ind w:left="840" w:leftChars="0" w:hanging="698" w:firstLine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（2）</w:t>
            </w:r>
            <w:r>
              <w:rPr>
                <w:rFonts w:hint="eastAsia" w:cs="宋体" w:asciiTheme="minorEastAsia" w:hAnsiTheme="minorEastAsia" w:eastAsiaTheme="minorEastAsia"/>
                <w:color w:val="auto"/>
                <w:sz w:val="24"/>
              </w:rPr>
              <w:t>违约责任：</w:t>
            </w:r>
            <w:r>
              <w:rPr>
                <w:rFonts w:hint="eastAsia" w:cs="宋体" w:asciiTheme="minorEastAsia" w:hAnsiTheme="minorEastAsia" w:eastAsiaTheme="minorEastAsia"/>
                <w:color w:val="auto"/>
                <w:sz w:val="24"/>
                <w:lang w:eastAsia="zh-TW"/>
              </w:rPr>
              <w:t>采购人逾期退还履约保证金的，除应当退还履约保证金本金外，</w:t>
            </w:r>
            <w:r>
              <w:rPr>
                <w:rFonts w:hint="eastAsia" w:ascii="宋体" w:hAnsi="宋体" w:cs="宋体"/>
                <w:color w:val="auto"/>
                <w:sz w:val="24"/>
                <w:lang w:eastAsia="zh-TW"/>
              </w:rPr>
              <w:t>还应当每日按“逾期金额×（合同订立时1年期贷款市场报价利率÷365天）”</w:t>
            </w:r>
            <w:r>
              <w:rPr>
                <w:rFonts w:hint="eastAsia" w:ascii="宋体" w:hAnsi="宋体" w:cs="宋体"/>
                <w:color w:val="auto"/>
                <w:sz w:val="24"/>
              </w:rPr>
              <w:t>向中标人</w:t>
            </w:r>
            <w:r>
              <w:rPr>
                <w:rFonts w:hint="eastAsia" w:ascii="宋体" w:hAnsi="宋体" w:cs="宋体"/>
                <w:color w:val="auto"/>
                <w:sz w:val="24"/>
                <w:lang w:eastAsia="zh-TW"/>
              </w:rPr>
              <w:t>偿付违约金</w:t>
            </w:r>
            <w:r>
              <w:rPr>
                <w:rFonts w:hint="eastAsia" w:cs="宋体" w:asciiTheme="minorEastAsia" w:hAnsiTheme="minorEastAsia" w:eastAsiaTheme="minorEastAsia"/>
                <w:color w:val="auto"/>
                <w:sz w:val="24"/>
                <w:lang w:eastAsia="zh-TW"/>
              </w:rPr>
              <w:t>，但因中标人自身原因导致无法及时退还的除外。</w:t>
            </w:r>
          </w:p>
          <w:p w14:paraId="409F2A7E">
            <w:pPr>
              <w:numPr>
                <w:ilvl w:val="0"/>
                <w:numId w:val="0"/>
              </w:numPr>
              <w:snapToGrid w:val="0"/>
              <w:spacing w:line="360" w:lineRule="auto"/>
              <w:ind w:left="840" w:leftChars="0" w:hanging="698" w:firstLine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（3）</w:t>
            </w:r>
            <w:r>
              <w:rPr>
                <w:rFonts w:hint="eastAsia" w:cs="宋体" w:asciiTheme="minorEastAsia" w:hAnsiTheme="minorEastAsia" w:eastAsiaTheme="minorEastAsia"/>
                <w:color w:val="auto"/>
                <w:sz w:val="24"/>
                <w:lang w:eastAsia="zh-TW"/>
              </w:rPr>
              <w:t>中标人违反合同及其附件约定的任何义务，采购人有权在履约保证金中直接扣除中标人应向采购人支付的违约金或损失赔偿额，如有不足的，中标人应对超过的部分予以赔偿。扣除后，如合同仍继续履行的，</w:t>
            </w:r>
            <w:r>
              <w:rPr>
                <w:rFonts w:hint="eastAsia" w:cs="宋体" w:asciiTheme="minorEastAsia" w:hAnsiTheme="minorEastAsia" w:eastAsiaTheme="minorEastAsia"/>
                <w:color w:val="auto"/>
                <w:sz w:val="24"/>
                <w:lang w:val="en-US" w:eastAsia="zh-CN"/>
              </w:rPr>
              <w:t>中标人</w:t>
            </w:r>
            <w:r>
              <w:rPr>
                <w:rFonts w:hint="eastAsia" w:cs="宋体" w:asciiTheme="minorEastAsia" w:hAnsiTheme="minorEastAsia" w:eastAsiaTheme="minorEastAsia"/>
                <w:color w:val="auto"/>
                <w:sz w:val="24"/>
                <w:lang w:eastAsia="zh-TW"/>
              </w:rPr>
              <w:t>应在扣除之日起3个工作日内向</w:t>
            </w:r>
            <w:r>
              <w:rPr>
                <w:rFonts w:hint="eastAsia" w:cs="宋体" w:asciiTheme="minorEastAsia" w:hAnsiTheme="minorEastAsia" w:eastAsiaTheme="minorEastAsia"/>
                <w:color w:val="auto"/>
                <w:sz w:val="24"/>
                <w:lang w:val="en-US" w:eastAsia="zh-CN"/>
              </w:rPr>
              <w:t>采购人</w:t>
            </w:r>
            <w:r>
              <w:rPr>
                <w:rFonts w:hint="eastAsia" w:cs="宋体" w:asciiTheme="minorEastAsia" w:hAnsiTheme="minorEastAsia" w:eastAsiaTheme="minorEastAsia"/>
                <w:color w:val="auto"/>
                <w:sz w:val="24"/>
                <w:lang w:eastAsia="zh-TW"/>
              </w:rPr>
              <w:t>补足履约保证金</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否则逾期补足的差额部分中标人须按日息千分之三的标准向采购人支付逾期费用，且采购人有权解除合同</w:t>
            </w:r>
            <w:r>
              <w:rPr>
                <w:rFonts w:hint="eastAsia" w:cs="宋体" w:asciiTheme="minorEastAsia" w:hAnsiTheme="minorEastAsia" w:eastAsiaTheme="minorEastAsia"/>
                <w:color w:val="auto"/>
                <w:sz w:val="24"/>
                <w:lang w:eastAsia="zh-TW"/>
              </w:rPr>
              <w:t>。</w:t>
            </w:r>
          </w:p>
          <w:p w14:paraId="55943D49">
            <w:pPr>
              <w:numPr>
                <w:ilvl w:val="0"/>
                <w:numId w:val="0"/>
              </w:numPr>
              <w:snapToGrid w:val="0"/>
              <w:spacing w:line="360" w:lineRule="auto"/>
              <w:ind w:left="142" w:left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TW"/>
              </w:rPr>
              <w:t>如</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有如下违约情况，</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将没收其履约保证金，并有权追究</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的损害赔偿责任,该损害包括但不限于给</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造成的财产损失与声誉损失、律师费、调查取证费、诉讼费等。</w:t>
            </w:r>
          </w:p>
          <w:p w14:paraId="2647CB34">
            <w:pPr>
              <w:numPr>
                <w:ilvl w:val="0"/>
                <w:numId w:val="0"/>
              </w:numPr>
              <w:snapToGrid w:val="0"/>
              <w:spacing w:line="360" w:lineRule="auto"/>
              <w:ind w:left="840" w:leftChars="0" w:hanging="698" w:firstLine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（1）</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 xml:space="preserve">单方面中断合同； </w:t>
            </w:r>
          </w:p>
          <w:p w14:paraId="5EB1E7CC">
            <w:pPr>
              <w:numPr>
                <w:ilvl w:val="0"/>
                <w:numId w:val="0"/>
              </w:numPr>
              <w:snapToGrid w:val="0"/>
              <w:spacing w:line="360" w:lineRule="auto"/>
              <w:ind w:left="840" w:leftChars="0" w:hanging="698" w:firstLine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（2）</w:t>
            </w:r>
            <w:r>
              <w:rPr>
                <w:rFonts w:hint="eastAsia" w:cs="宋体" w:asciiTheme="minorEastAsia" w:hAnsiTheme="minorEastAsia" w:eastAsiaTheme="minorEastAsia"/>
                <w:color w:val="auto"/>
                <w:sz w:val="24"/>
                <w:lang w:eastAsia="zh-TW"/>
              </w:rPr>
              <w:t>合同执行期间，</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没有履行合同条款的内容，且拒不按照</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的要求进行及时整改，导致</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 xml:space="preserve">终止合同； </w:t>
            </w:r>
          </w:p>
          <w:p w14:paraId="29324C37">
            <w:pPr>
              <w:numPr>
                <w:ilvl w:val="0"/>
                <w:numId w:val="0"/>
              </w:numPr>
              <w:snapToGrid w:val="0"/>
              <w:spacing w:line="360" w:lineRule="auto"/>
              <w:ind w:left="840" w:leftChars="0" w:hanging="698" w:firstLineChars="0"/>
              <w:rPr>
                <w:rFonts w:hint="eastAsia" w:cs="宋体" w:asciiTheme="minorEastAsia" w:hAnsiTheme="minorEastAsia" w:eastAsiaTheme="minorEastAsia"/>
                <w:color w:val="auto"/>
                <w:sz w:val="24"/>
                <w:lang w:eastAsia="zh-TW"/>
              </w:rPr>
            </w:pPr>
            <w:r>
              <w:rPr>
                <w:rFonts w:hint="eastAsia" w:cs="宋体" w:asciiTheme="minorEastAsia" w:hAnsiTheme="minorEastAsia" w:eastAsiaTheme="minorEastAsia"/>
                <w:color w:val="auto"/>
                <w:sz w:val="24"/>
                <w:szCs w:val="24"/>
                <w:lang w:val="en-US" w:eastAsia="zh-TW" w:bidi="ar-SA"/>
              </w:rPr>
              <w:t>（3）</w:t>
            </w:r>
            <w:r>
              <w:rPr>
                <w:rFonts w:hint="eastAsia" w:cs="宋体" w:asciiTheme="minorEastAsia" w:hAnsiTheme="minorEastAsia" w:eastAsiaTheme="minorEastAsia"/>
                <w:color w:val="auto"/>
                <w:sz w:val="24"/>
                <w:lang w:eastAsia="zh-CN"/>
              </w:rPr>
              <w:t>中标人</w:t>
            </w:r>
            <w:r>
              <w:rPr>
                <w:rFonts w:hint="eastAsia" w:cs="宋体" w:asciiTheme="minorEastAsia" w:hAnsiTheme="minorEastAsia" w:eastAsiaTheme="minorEastAsia"/>
                <w:color w:val="auto"/>
                <w:sz w:val="24"/>
                <w:lang w:eastAsia="zh-TW"/>
              </w:rPr>
              <w:t>未遵守保密约定，导致</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机密或</w:t>
            </w:r>
            <w:r>
              <w:rPr>
                <w:rFonts w:hint="eastAsia" w:cs="宋体" w:asciiTheme="minorEastAsia" w:hAnsiTheme="minorEastAsia" w:eastAsiaTheme="minorEastAsia"/>
                <w:color w:val="auto"/>
                <w:sz w:val="24"/>
                <w:lang w:eastAsia="zh-CN"/>
              </w:rPr>
              <w:t>采购人</w:t>
            </w:r>
            <w:r>
              <w:rPr>
                <w:rFonts w:hint="eastAsia" w:cs="宋体" w:asciiTheme="minorEastAsia" w:hAnsiTheme="minorEastAsia" w:eastAsiaTheme="minorEastAsia"/>
                <w:color w:val="auto"/>
                <w:sz w:val="24"/>
                <w:lang w:eastAsia="zh-TW"/>
              </w:rPr>
              <w:t>职工个人信息泄密的。</w:t>
            </w:r>
          </w:p>
          <w:p w14:paraId="79357887">
            <w:pPr>
              <w:pStyle w:val="84"/>
              <w:numPr>
                <w:ilvl w:val="0"/>
                <w:numId w:val="0"/>
              </w:numPr>
              <w:autoSpaceDE w:val="0"/>
              <w:autoSpaceDN w:val="0"/>
              <w:snapToGrid w:val="0"/>
              <w:spacing w:line="360" w:lineRule="auto"/>
              <w:ind w:left="0" w:leftChars="0" w:firstLine="0" w:firstLineChars="0"/>
              <w:jc w:val="left"/>
              <w:textAlignment w:val="auto"/>
              <w:outlineLvl w:val="1"/>
              <w:rPr>
                <w:rFonts w:ascii="宋体" w:hAnsi="宋体"/>
                <w:b/>
                <w:bCs/>
                <w:color w:val="auto"/>
                <w:sz w:val="24"/>
              </w:rPr>
            </w:pPr>
            <w:r>
              <w:rPr>
                <w:rFonts w:hint="eastAsia" w:ascii="宋体" w:hAnsi="宋体" w:eastAsia="宋体" w:cs="Times New Roman"/>
                <w:b/>
                <w:bCs/>
                <w:color w:val="auto"/>
                <w:sz w:val="24"/>
                <w:szCs w:val="24"/>
                <w:lang w:val="en-US" w:eastAsia="zh-CN" w:bidi="ar-SA"/>
              </w:rPr>
              <w:t>（六）</w:t>
            </w:r>
            <w:r>
              <w:rPr>
                <w:rFonts w:hint="eastAsia" w:ascii="宋体" w:hAnsi="宋体"/>
                <w:b/>
                <w:bCs/>
                <w:color w:val="auto"/>
                <w:sz w:val="24"/>
              </w:rPr>
              <w:t>其他要求</w:t>
            </w:r>
          </w:p>
          <w:p w14:paraId="7D7F8BC3">
            <w:pPr>
              <w:numPr>
                <w:ilvl w:val="0"/>
                <w:numId w:val="0"/>
              </w:numPr>
              <w:snapToGrid w:val="0"/>
              <w:spacing w:line="360" w:lineRule="auto"/>
              <w:ind w:left="0" w:leftChars="0" w:firstLine="0" w:firstLineChars="0"/>
              <w:textAlignment w:val="auto"/>
              <w:rPr>
                <w:rFonts w:ascii="宋体" w:hAnsi="宋体"/>
                <w:color w:val="auto"/>
                <w:sz w:val="24"/>
              </w:rPr>
            </w:pPr>
            <w:r>
              <w:rPr>
                <w:rFonts w:hint="default" w:ascii="Times New Roman" w:hAnsi="Times New Roman" w:eastAsia="宋体" w:cs="Times New Roman"/>
                <w:color w:val="auto"/>
                <w:sz w:val="24"/>
                <w:szCs w:val="24"/>
                <w:lang w:val="en-US" w:eastAsia="zh-CN" w:bidi="ar-SA"/>
              </w:rPr>
              <w:t>1．</w:t>
            </w:r>
            <w:r>
              <w:rPr>
                <w:rFonts w:hint="eastAsia" w:ascii="宋体" w:hAnsi="宋体"/>
                <w:color w:val="auto"/>
                <w:sz w:val="24"/>
              </w:rPr>
              <w:t>中标人不得将项目转让或分包给他人，否则采购人有权单方终止合同,由此产生的一切经济损失由中标人自行承担。</w:t>
            </w:r>
          </w:p>
          <w:p w14:paraId="28795D7D">
            <w:pPr>
              <w:numPr>
                <w:ilvl w:val="0"/>
                <w:numId w:val="0"/>
              </w:numPr>
              <w:snapToGrid w:val="0"/>
              <w:spacing w:line="360" w:lineRule="auto"/>
              <w:ind w:left="0" w:leftChars="0" w:firstLine="0" w:firstLineChars="0"/>
              <w:textAlignment w:val="auto"/>
              <w:rPr>
                <w:rFonts w:asciiTheme="minorEastAsia" w:hAnsiTheme="minorEastAsia"/>
                <w:bCs/>
                <w:sz w:val="24"/>
                <w:szCs w:val="24"/>
              </w:rPr>
            </w:pPr>
            <w:r>
              <w:rPr>
                <w:rFonts w:hint="default" w:ascii="Times New Roman" w:hAnsi="Times New Roman" w:eastAsia="宋体" w:cs="Times New Roman"/>
                <w:sz w:val="24"/>
                <w:szCs w:val="24"/>
                <w:lang w:val="en-US" w:eastAsia="zh-CN" w:bidi="ar-SA"/>
              </w:rPr>
              <w:t>2．</w:t>
            </w:r>
            <w:r>
              <w:rPr>
                <w:rFonts w:hint="eastAsia" w:ascii="宋体" w:hAnsi="宋体"/>
                <w:sz w:val="24"/>
              </w:rPr>
              <w:t>中标人在合同履行期间，未按要求履行合同服务要求，采购人均有权单方终止合同,由此产生的一切经济损失由中标人自行承担。</w:t>
            </w:r>
          </w:p>
        </w:tc>
        <w:tc>
          <w:tcPr>
            <w:tcW w:w="2175" w:type="dxa"/>
            <w:vAlign w:val="center"/>
          </w:tcPr>
          <w:p w14:paraId="4D0CEA5B">
            <w:pPr>
              <w:spacing w:line="400" w:lineRule="exact"/>
              <w:jc w:val="center"/>
              <w:rPr>
                <w:rFonts w:ascii="宋体" w:hAnsi="宋体"/>
                <w:sz w:val="24"/>
              </w:rPr>
            </w:pPr>
          </w:p>
        </w:tc>
        <w:tc>
          <w:tcPr>
            <w:tcW w:w="2029" w:type="dxa"/>
            <w:vAlign w:val="center"/>
          </w:tcPr>
          <w:p w14:paraId="5F4389C8">
            <w:pPr>
              <w:spacing w:line="400" w:lineRule="exact"/>
              <w:jc w:val="center"/>
              <w:rPr>
                <w:rFonts w:ascii="宋体" w:hAnsi="宋体"/>
                <w:sz w:val="24"/>
              </w:rPr>
            </w:pPr>
          </w:p>
        </w:tc>
        <w:tc>
          <w:tcPr>
            <w:tcW w:w="1344" w:type="dxa"/>
            <w:vAlign w:val="center"/>
          </w:tcPr>
          <w:p w14:paraId="0B90788B">
            <w:pPr>
              <w:spacing w:line="400" w:lineRule="exact"/>
              <w:jc w:val="center"/>
              <w:rPr>
                <w:rFonts w:ascii="宋体" w:hAnsi="宋体"/>
                <w:sz w:val="24"/>
              </w:rPr>
            </w:pPr>
          </w:p>
        </w:tc>
      </w:tr>
      <w:tr w14:paraId="1D59B6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9026" w:type="dxa"/>
            <w:gridSpan w:val="5"/>
            <w:vAlign w:val="center"/>
          </w:tcPr>
          <w:p w14:paraId="4BB2D97F">
            <w:pPr>
              <w:spacing w:line="400" w:lineRule="exact"/>
              <w:jc w:val="left"/>
              <w:rPr>
                <w:rFonts w:ascii="宋体" w:hAnsi="宋体"/>
                <w:b/>
                <w:sz w:val="24"/>
              </w:rPr>
            </w:pPr>
            <w:r>
              <w:rPr>
                <w:rFonts w:hint="eastAsia" w:ascii="宋体" w:hAnsi="宋体"/>
                <w:b/>
                <w:sz w:val="24"/>
              </w:rPr>
              <w:t>（二）其他条款（技术</w:t>
            </w:r>
            <w:r>
              <w:rPr>
                <w:rFonts w:hint="eastAsia"/>
                <w:b/>
                <w:sz w:val="24"/>
              </w:rPr>
              <w:t>条款</w:t>
            </w:r>
            <w:r>
              <w:rPr>
                <w:rFonts w:hint="eastAsia" w:ascii="宋体" w:hAnsi="宋体"/>
                <w:b/>
                <w:sz w:val="24"/>
              </w:rPr>
              <w:t>）</w:t>
            </w:r>
          </w:p>
        </w:tc>
      </w:tr>
      <w:tr w14:paraId="1DFAD2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692" w:type="dxa"/>
            <w:vAlign w:val="center"/>
          </w:tcPr>
          <w:p w14:paraId="47F9F7E6">
            <w:pPr>
              <w:numPr>
                <w:ilvl w:val="0"/>
                <w:numId w:val="92"/>
              </w:numPr>
              <w:jc w:val="center"/>
              <w:rPr>
                <w:rFonts w:ascii="宋体" w:hAnsi="宋体"/>
                <w:sz w:val="24"/>
              </w:rPr>
            </w:pPr>
          </w:p>
        </w:tc>
        <w:tc>
          <w:tcPr>
            <w:tcW w:w="2786" w:type="dxa"/>
            <w:vAlign w:val="center"/>
          </w:tcPr>
          <w:p w14:paraId="1A0C0733">
            <w:pPr>
              <w:spacing w:line="400" w:lineRule="exact"/>
              <w:jc w:val="center"/>
              <w:rPr>
                <w:rFonts w:ascii="宋体" w:hAnsi="宋体"/>
                <w:sz w:val="24"/>
              </w:rPr>
            </w:pPr>
          </w:p>
        </w:tc>
        <w:tc>
          <w:tcPr>
            <w:tcW w:w="2175" w:type="dxa"/>
            <w:vAlign w:val="center"/>
          </w:tcPr>
          <w:p w14:paraId="5C4F3F19">
            <w:pPr>
              <w:spacing w:line="400" w:lineRule="exact"/>
              <w:jc w:val="center"/>
              <w:rPr>
                <w:rFonts w:ascii="宋体" w:hAnsi="宋体"/>
                <w:sz w:val="24"/>
              </w:rPr>
            </w:pPr>
          </w:p>
        </w:tc>
        <w:tc>
          <w:tcPr>
            <w:tcW w:w="2029" w:type="dxa"/>
            <w:vAlign w:val="center"/>
          </w:tcPr>
          <w:p w14:paraId="4406723E">
            <w:pPr>
              <w:spacing w:line="400" w:lineRule="exact"/>
              <w:jc w:val="center"/>
              <w:rPr>
                <w:rFonts w:ascii="宋体" w:hAnsi="宋体"/>
                <w:sz w:val="24"/>
              </w:rPr>
            </w:pPr>
          </w:p>
        </w:tc>
        <w:tc>
          <w:tcPr>
            <w:tcW w:w="1344" w:type="dxa"/>
            <w:vAlign w:val="center"/>
          </w:tcPr>
          <w:p w14:paraId="70192B16">
            <w:pPr>
              <w:spacing w:line="400" w:lineRule="exact"/>
              <w:jc w:val="center"/>
              <w:rPr>
                <w:rFonts w:ascii="宋体" w:hAnsi="宋体"/>
                <w:sz w:val="24"/>
              </w:rPr>
            </w:pPr>
          </w:p>
        </w:tc>
      </w:tr>
      <w:tr w14:paraId="628D2E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692" w:type="dxa"/>
            <w:vAlign w:val="center"/>
          </w:tcPr>
          <w:p w14:paraId="74D6626F">
            <w:pPr>
              <w:numPr>
                <w:ilvl w:val="0"/>
                <w:numId w:val="92"/>
              </w:numPr>
              <w:jc w:val="center"/>
              <w:rPr>
                <w:rFonts w:ascii="宋体" w:hAnsi="宋体"/>
                <w:sz w:val="24"/>
              </w:rPr>
            </w:pPr>
          </w:p>
        </w:tc>
        <w:tc>
          <w:tcPr>
            <w:tcW w:w="2786" w:type="dxa"/>
            <w:vAlign w:val="center"/>
          </w:tcPr>
          <w:p w14:paraId="1853F546">
            <w:pPr>
              <w:spacing w:line="400" w:lineRule="exact"/>
              <w:jc w:val="center"/>
              <w:rPr>
                <w:rFonts w:ascii="宋体" w:hAnsi="宋体"/>
                <w:sz w:val="24"/>
              </w:rPr>
            </w:pPr>
          </w:p>
        </w:tc>
        <w:tc>
          <w:tcPr>
            <w:tcW w:w="2175" w:type="dxa"/>
            <w:vAlign w:val="center"/>
          </w:tcPr>
          <w:p w14:paraId="7748B699">
            <w:pPr>
              <w:spacing w:line="400" w:lineRule="exact"/>
              <w:jc w:val="center"/>
              <w:rPr>
                <w:rFonts w:ascii="宋体" w:hAnsi="宋体"/>
                <w:sz w:val="24"/>
              </w:rPr>
            </w:pPr>
          </w:p>
        </w:tc>
        <w:tc>
          <w:tcPr>
            <w:tcW w:w="2029" w:type="dxa"/>
            <w:vAlign w:val="center"/>
          </w:tcPr>
          <w:p w14:paraId="0BB8511C">
            <w:pPr>
              <w:spacing w:line="400" w:lineRule="exact"/>
              <w:jc w:val="center"/>
              <w:rPr>
                <w:rFonts w:ascii="宋体" w:hAnsi="宋体"/>
                <w:sz w:val="24"/>
              </w:rPr>
            </w:pPr>
          </w:p>
        </w:tc>
        <w:tc>
          <w:tcPr>
            <w:tcW w:w="1344" w:type="dxa"/>
            <w:vAlign w:val="center"/>
          </w:tcPr>
          <w:p w14:paraId="305653F5">
            <w:pPr>
              <w:spacing w:line="400" w:lineRule="exact"/>
              <w:jc w:val="center"/>
              <w:rPr>
                <w:rFonts w:ascii="宋体" w:hAnsi="宋体"/>
                <w:sz w:val="24"/>
              </w:rPr>
            </w:pPr>
          </w:p>
        </w:tc>
      </w:tr>
      <w:tr w14:paraId="2ACD69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692" w:type="dxa"/>
            <w:vAlign w:val="center"/>
          </w:tcPr>
          <w:p w14:paraId="032E45A0">
            <w:pPr>
              <w:ind w:left="180"/>
              <w:rPr>
                <w:rFonts w:ascii="宋体" w:hAnsi="宋体"/>
                <w:sz w:val="24"/>
              </w:rPr>
            </w:pPr>
            <w:r>
              <w:rPr>
                <w:rFonts w:ascii="宋体" w:hAnsi="宋体"/>
                <w:sz w:val="24"/>
              </w:rPr>
              <w:t>…</w:t>
            </w:r>
          </w:p>
        </w:tc>
        <w:tc>
          <w:tcPr>
            <w:tcW w:w="2786" w:type="dxa"/>
            <w:vAlign w:val="center"/>
          </w:tcPr>
          <w:p w14:paraId="4983D942">
            <w:pPr>
              <w:spacing w:line="400" w:lineRule="exact"/>
              <w:jc w:val="center"/>
              <w:rPr>
                <w:rFonts w:ascii="宋体" w:hAnsi="宋体"/>
                <w:sz w:val="24"/>
              </w:rPr>
            </w:pPr>
          </w:p>
        </w:tc>
        <w:tc>
          <w:tcPr>
            <w:tcW w:w="2175" w:type="dxa"/>
            <w:vAlign w:val="center"/>
          </w:tcPr>
          <w:p w14:paraId="26ED8441">
            <w:pPr>
              <w:spacing w:line="400" w:lineRule="exact"/>
              <w:jc w:val="center"/>
              <w:rPr>
                <w:rFonts w:ascii="宋体" w:hAnsi="宋体"/>
                <w:sz w:val="24"/>
              </w:rPr>
            </w:pPr>
          </w:p>
        </w:tc>
        <w:tc>
          <w:tcPr>
            <w:tcW w:w="2029" w:type="dxa"/>
            <w:vAlign w:val="center"/>
          </w:tcPr>
          <w:p w14:paraId="59C95849">
            <w:pPr>
              <w:spacing w:line="400" w:lineRule="exact"/>
              <w:jc w:val="center"/>
              <w:rPr>
                <w:rFonts w:ascii="宋体" w:hAnsi="宋体"/>
                <w:sz w:val="24"/>
              </w:rPr>
            </w:pPr>
          </w:p>
        </w:tc>
        <w:tc>
          <w:tcPr>
            <w:tcW w:w="1344" w:type="dxa"/>
            <w:vAlign w:val="center"/>
          </w:tcPr>
          <w:p w14:paraId="179632F9">
            <w:pPr>
              <w:spacing w:line="400" w:lineRule="exact"/>
              <w:jc w:val="center"/>
              <w:rPr>
                <w:rFonts w:ascii="宋体" w:hAnsi="宋体" w:cs="宋体"/>
                <w:sz w:val="24"/>
              </w:rPr>
            </w:pPr>
          </w:p>
        </w:tc>
      </w:tr>
    </w:tbl>
    <w:p w14:paraId="05F9D76C">
      <w:pPr>
        <w:spacing w:line="500" w:lineRule="exact"/>
        <w:ind w:firstLine="124" w:firstLineChars="50"/>
        <w:rPr>
          <w:rFonts w:ascii="宋体" w:hAnsi="宋体"/>
          <w:sz w:val="24"/>
          <w:u w:val="single"/>
        </w:rPr>
      </w:pPr>
      <w:bookmarkStart w:id="131" w:name="_Toc435514868"/>
      <w:bookmarkStart w:id="132" w:name="_Toc435515308"/>
      <w:r>
        <w:rPr>
          <w:rFonts w:hint="eastAsia"/>
          <w:spacing w:val="4"/>
          <w:sz w:val="24"/>
        </w:rPr>
        <w:t>投标人名称（</w:t>
      </w:r>
      <w:r>
        <w:rPr>
          <w:rFonts w:hint="eastAsia" w:ascii="宋体" w:hAnsi="宋体"/>
          <w:sz w:val="24"/>
        </w:rPr>
        <w:t>单位盖</w:t>
      </w:r>
      <w:r>
        <w:rPr>
          <w:rFonts w:hint="eastAsia"/>
          <w:spacing w:val="4"/>
          <w:sz w:val="24"/>
        </w:rPr>
        <w:t>公章）：</w:t>
      </w:r>
    </w:p>
    <w:p w14:paraId="74DE0852">
      <w:pPr>
        <w:spacing w:line="440" w:lineRule="exact"/>
        <w:ind w:firstLine="124" w:firstLineChars="50"/>
        <w:rPr>
          <w:spacing w:val="4"/>
          <w:sz w:val="24"/>
        </w:rPr>
      </w:pPr>
      <w:r>
        <w:rPr>
          <w:rFonts w:hint="eastAsia"/>
          <w:spacing w:val="4"/>
          <w:sz w:val="24"/>
        </w:rPr>
        <w:t>日期：</w:t>
      </w:r>
    </w:p>
    <w:p w14:paraId="1479E908">
      <w:pPr>
        <w:spacing w:line="440" w:lineRule="exact"/>
        <w:ind w:firstLine="124" w:firstLineChars="50"/>
        <w:rPr>
          <w:spacing w:val="4"/>
          <w:sz w:val="24"/>
        </w:rPr>
      </w:pPr>
    </w:p>
    <w:p w14:paraId="2E95E672">
      <w:pPr>
        <w:spacing w:line="440" w:lineRule="exact"/>
        <w:ind w:firstLine="124" w:firstLineChars="50"/>
        <w:rPr>
          <w:spacing w:val="4"/>
          <w:sz w:val="24"/>
        </w:rPr>
      </w:pPr>
      <w:r>
        <w:rPr>
          <w:rFonts w:hint="eastAsia"/>
          <w:spacing w:val="4"/>
          <w:sz w:val="24"/>
        </w:rPr>
        <w:t>附件：</w:t>
      </w:r>
    </w:p>
    <w:p w14:paraId="5323909F">
      <w:pPr>
        <w:spacing w:line="440" w:lineRule="exact"/>
        <w:ind w:firstLine="124" w:firstLineChars="50"/>
        <w:rPr>
          <w:spacing w:val="4"/>
          <w:sz w:val="24"/>
        </w:rPr>
      </w:pPr>
    </w:p>
    <w:p w14:paraId="12767817">
      <w:pPr>
        <w:snapToGrid w:val="0"/>
        <w:spacing w:line="360" w:lineRule="auto"/>
        <w:jc w:val="left"/>
        <w:rPr>
          <w:rFonts w:ascii="宋体" w:hAnsi="宋体"/>
          <w:b/>
          <w:bCs/>
          <w:sz w:val="24"/>
        </w:rPr>
      </w:pPr>
      <w:r>
        <w:rPr>
          <w:rFonts w:hint="eastAsia" w:ascii="宋体" w:hAnsi="宋体"/>
          <w:sz w:val="24"/>
        </w:rPr>
        <w:t>1、投标人须在投标时提供本项目专属福利电子采购平台产品清单列表，并承诺所提供的产品价格不高于该产品在京东自营旗舰店、淘宝天猫超市网上平台及中标人社会公开电商平台在售的价格，供货期内货品价格无法按上述实施，中标人应提供市场参考价或其他报价作为价格参考依据，最终由采购人与中标人协商确定。</w:t>
      </w:r>
      <w:r>
        <w:rPr>
          <w:rFonts w:hint="eastAsia" w:ascii="宋体" w:hAnsi="宋体"/>
          <w:b/>
          <w:bCs/>
          <w:sz w:val="24"/>
        </w:rPr>
        <w:t xml:space="preserve">（提供承诺函）。 </w:t>
      </w:r>
    </w:p>
    <w:p w14:paraId="59EADF33">
      <w:pPr>
        <w:snapToGrid w:val="0"/>
        <w:spacing w:line="360" w:lineRule="auto"/>
        <w:jc w:val="left"/>
        <w:rPr>
          <w:rFonts w:ascii="宋体" w:hAnsi="宋体"/>
          <w:sz w:val="24"/>
        </w:rPr>
      </w:pPr>
      <w:r>
        <w:rPr>
          <w:rFonts w:hint="eastAsia" w:ascii="宋体" w:hAnsi="宋体"/>
          <w:sz w:val="24"/>
        </w:rPr>
        <w:t>2、中标人须承诺提供的货物来源可追查，货物具有良好的周转渠道和充足的货物资源。</w:t>
      </w:r>
      <w:r>
        <w:rPr>
          <w:rFonts w:hint="eastAsia" w:ascii="宋体" w:hAnsi="宋体"/>
          <w:b/>
          <w:bCs/>
          <w:sz w:val="24"/>
        </w:rPr>
        <w:t>（提供承诺函）。</w:t>
      </w:r>
      <w:r>
        <w:rPr>
          <w:rFonts w:hint="eastAsia" w:ascii="宋体" w:hAnsi="宋体"/>
          <w:sz w:val="24"/>
        </w:rPr>
        <w:t xml:space="preserve"> </w:t>
      </w:r>
    </w:p>
    <w:p w14:paraId="19C5F46C">
      <w:pPr>
        <w:snapToGrid w:val="0"/>
        <w:spacing w:line="360" w:lineRule="auto"/>
        <w:jc w:val="left"/>
        <w:rPr>
          <w:rFonts w:ascii="宋体" w:hAnsi="宋体"/>
          <w:sz w:val="24"/>
        </w:rPr>
      </w:pPr>
    </w:p>
    <w:p w14:paraId="1DD6CC3E">
      <w:pPr>
        <w:snapToGrid w:val="0"/>
        <w:spacing w:line="360" w:lineRule="auto"/>
        <w:jc w:val="left"/>
        <w:rPr>
          <w:rFonts w:ascii="宋体" w:hAnsi="宋体"/>
          <w:b/>
          <w:bCs/>
          <w:sz w:val="24"/>
        </w:rPr>
      </w:pPr>
      <w:r>
        <w:rPr>
          <w:rFonts w:hint="eastAsia" w:ascii="宋体" w:hAnsi="宋体"/>
          <w:sz w:val="24"/>
        </w:rPr>
        <w:t>3、中标人需要有自有仓库，仓储条件完善，能够很好的保证生鲜类、冻品、常温品等不同温区商品的存储及冷链配送需求</w:t>
      </w:r>
      <w:r>
        <w:rPr>
          <w:rFonts w:hint="eastAsia" w:ascii="宋体" w:hAnsi="宋体"/>
          <w:b/>
          <w:bCs/>
          <w:sz w:val="24"/>
        </w:rPr>
        <w:t xml:space="preserve">（投标时须提供相关介绍文件/图片，租赁合同等证明材料） </w:t>
      </w:r>
    </w:p>
    <w:p w14:paraId="410C9C08">
      <w:pPr>
        <w:snapToGrid w:val="0"/>
        <w:spacing w:line="360" w:lineRule="auto"/>
        <w:jc w:val="left"/>
        <w:rPr>
          <w:rFonts w:ascii="宋体" w:hAnsi="宋体"/>
          <w:sz w:val="24"/>
        </w:rPr>
      </w:pPr>
    </w:p>
    <w:p w14:paraId="244CAB20">
      <w:pPr>
        <w:snapToGrid w:val="0"/>
        <w:spacing w:line="360" w:lineRule="auto"/>
        <w:jc w:val="left"/>
        <w:rPr>
          <w:rFonts w:ascii="宋体" w:hAnsi="宋体"/>
          <w:b/>
          <w:bCs/>
          <w:sz w:val="24"/>
        </w:rPr>
      </w:pPr>
      <w:r>
        <w:rPr>
          <w:rFonts w:hint="eastAsia" w:ascii="宋体" w:hAnsi="宋体"/>
          <w:sz w:val="24"/>
        </w:rPr>
        <w:t>4、须做到可以在平台上实时跟踪查询物流信息。</w:t>
      </w:r>
      <w:r>
        <w:rPr>
          <w:rFonts w:hint="eastAsia" w:ascii="宋体" w:hAnsi="宋体"/>
          <w:b/>
          <w:bCs/>
          <w:sz w:val="24"/>
        </w:rPr>
        <w:t>（投标时须提供相关介绍文件、证明材料）</w:t>
      </w:r>
    </w:p>
    <w:p w14:paraId="0C9E2AB5">
      <w:pPr>
        <w:spacing w:line="440" w:lineRule="exact"/>
        <w:ind w:firstLine="100" w:firstLineChars="50"/>
        <w:rPr>
          <w:b/>
        </w:rPr>
      </w:pPr>
      <w:r>
        <w:rPr>
          <w:b/>
        </w:rPr>
        <w:br w:type="page"/>
      </w:r>
    </w:p>
    <w:p w14:paraId="3E7DDB80">
      <w:pPr>
        <w:spacing w:line="440" w:lineRule="exact"/>
        <w:ind w:firstLine="160" w:firstLineChars="50"/>
        <w:rPr>
          <w:rFonts w:ascii="Arial" w:hAnsi="Arial" w:eastAsia="黑体"/>
          <w:bCs/>
          <w:sz w:val="32"/>
          <w:szCs w:val="32"/>
        </w:rPr>
      </w:pPr>
    </w:p>
    <w:bookmarkEnd w:id="131"/>
    <w:bookmarkEnd w:id="132"/>
    <w:p w14:paraId="78913BB2">
      <w:pPr>
        <w:tabs>
          <w:tab w:val="left" w:pos="142"/>
        </w:tabs>
        <w:autoSpaceDE w:val="0"/>
        <w:autoSpaceDN w:val="0"/>
        <w:spacing w:line="360" w:lineRule="auto"/>
        <w:ind w:left="-2" w:leftChars="-1" w:firstLine="2"/>
        <w:jc w:val="center"/>
        <w:outlineLvl w:val="3"/>
        <w:rPr>
          <w:rFonts w:ascii="黑体" w:hAnsi="黑体" w:eastAsia="黑体"/>
          <w:sz w:val="32"/>
          <w:szCs w:val="32"/>
        </w:rPr>
      </w:pPr>
      <w:bookmarkStart w:id="133" w:name="_Toc52165085"/>
      <w:bookmarkStart w:id="134" w:name="_Toc435515310"/>
      <w:bookmarkStart w:id="135" w:name="_Toc435514870"/>
      <w:bookmarkStart w:id="136" w:name="_Toc275865617"/>
      <w:bookmarkStart w:id="137" w:name="_Toc50736481"/>
      <w:bookmarkStart w:id="138" w:name="_Toc50737333"/>
      <w:bookmarkStart w:id="139" w:name="_Toc50691044"/>
      <w:bookmarkStart w:id="140" w:name="_Toc50737301"/>
      <w:bookmarkStart w:id="141" w:name="_Toc43264525"/>
      <w:bookmarkStart w:id="142" w:name="_Toc50691037"/>
      <w:bookmarkStart w:id="143" w:name="_Toc50703730"/>
      <w:bookmarkStart w:id="144" w:name="_Toc43264518"/>
      <w:r>
        <w:rPr>
          <w:rFonts w:hint="eastAsia" w:ascii="黑体" w:hAnsi="黑体" w:eastAsia="黑体"/>
          <w:sz w:val="32"/>
          <w:szCs w:val="32"/>
        </w:rPr>
        <w:t>同类项目情况一览表</w:t>
      </w:r>
      <w:bookmarkEnd w:id="133"/>
      <w:bookmarkEnd w:id="134"/>
      <w:bookmarkEnd w:id="135"/>
      <w:bookmarkEnd w:id="136"/>
      <w:bookmarkEnd w:id="137"/>
      <w:bookmarkEnd w:id="138"/>
      <w:bookmarkEnd w:id="139"/>
      <w:bookmarkEnd w:id="140"/>
      <w:bookmarkEnd w:id="141"/>
    </w:p>
    <w:p w14:paraId="2C985784">
      <w:pPr>
        <w:widowControl/>
        <w:snapToGrid w:val="0"/>
        <w:spacing w:line="360" w:lineRule="auto"/>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8"/>
        <w:tblW w:w="90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28"/>
        <w:gridCol w:w="854"/>
        <w:gridCol w:w="966"/>
        <w:gridCol w:w="1682"/>
        <w:gridCol w:w="954"/>
        <w:gridCol w:w="1077"/>
        <w:gridCol w:w="953"/>
        <w:gridCol w:w="992"/>
        <w:gridCol w:w="1082"/>
      </w:tblGrid>
      <w:tr w14:paraId="6F92FE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528" w:type="dxa"/>
            <w:tcBorders>
              <w:top w:val="single" w:color="auto" w:sz="12" w:space="0"/>
            </w:tcBorders>
            <w:shd w:val="clear" w:color="auto" w:fill="EEECE1"/>
            <w:vAlign w:val="center"/>
          </w:tcPr>
          <w:p w14:paraId="1005F9A6">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序号</w:t>
            </w:r>
          </w:p>
        </w:tc>
        <w:tc>
          <w:tcPr>
            <w:tcW w:w="854" w:type="dxa"/>
            <w:tcBorders>
              <w:top w:val="single" w:color="auto" w:sz="12" w:space="0"/>
            </w:tcBorders>
            <w:shd w:val="clear" w:color="auto" w:fill="EEECE1"/>
            <w:vAlign w:val="center"/>
          </w:tcPr>
          <w:p w14:paraId="61F6097A">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用户/业主名称</w:t>
            </w:r>
          </w:p>
        </w:tc>
        <w:tc>
          <w:tcPr>
            <w:tcW w:w="966" w:type="dxa"/>
            <w:tcBorders>
              <w:top w:val="single" w:color="auto" w:sz="12" w:space="0"/>
            </w:tcBorders>
            <w:shd w:val="clear" w:color="auto" w:fill="EEECE1"/>
            <w:vAlign w:val="center"/>
          </w:tcPr>
          <w:p w14:paraId="0FA9EE25">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项目名称</w:t>
            </w:r>
          </w:p>
        </w:tc>
        <w:tc>
          <w:tcPr>
            <w:tcW w:w="1682" w:type="dxa"/>
            <w:tcBorders>
              <w:top w:val="single" w:color="auto" w:sz="12" w:space="0"/>
            </w:tcBorders>
            <w:shd w:val="clear" w:color="auto" w:fill="EEECE1"/>
            <w:vAlign w:val="center"/>
          </w:tcPr>
          <w:p w14:paraId="7F097F35">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项目内容</w:t>
            </w:r>
          </w:p>
        </w:tc>
        <w:tc>
          <w:tcPr>
            <w:tcW w:w="954" w:type="dxa"/>
            <w:tcBorders>
              <w:top w:val="single" w:color="auto" w:sz="12" w:space="0"/>
              <w:right w:val="single" w:color="auto" w:sz="6" w:space="0"/>
            </w:tcBorders>
            <w:shd w:val="clear" w:color="auto" w:fill="EEECE1"/>
            <w:vAlign w:val="center"/>
          </w:tcPr>
          <w:p w14:paraId="12DB777B">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合同总价</w:t>
            </w:r>
          </w:p>
        </w:tc>
        <w:tc>
          <w:tcPr>
            <w:tcW w:w="1077" w:type="dxa"/>
            <w:tcBorders>
              <w:top w:val="single" w:color="auto" w:sz="12" w:space="0"/>
              <w:left w:val="single" w:color="auto" w:sz="6" w:space="0"/>
            </w:tcBorders>
            <w:shd w:val="clear" w:color="auto" w:fill="EEECE1"/>
            <w:vAlign w:val="center"/>
          </w:tcPr>
          <w:p w14:paraId="37C5C968">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签订时间</w:t>
            </w:r>
          </w:p>
        </w:tc>
        <w:tc>
          <w:tcPr>
            <w:tcW w:w="953" w:type="dxa"/>
            <w:tcBorders>
              <w:top w:val="single" w:color="auto" w:sz="12" w:space="0"/>
              <w:left w:val="single" w:color="auto" w:sz="6" w:space="0"/>
            </w:tcBorders>
            <w:shd w:val="clear" w:color="auto" w:fill="EEECE1"/>
            <w:vAlign w:val="center"/>
          </w:tcPr>
          <w:p w14:paraId="3940CE35">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完成时间</w:t>
            </w:r>
          </w:p>
        </w:tc>
        <w:tc>
          <w:tcPr>
            <w:tcW w:w="992" w:type="dxa"/>
            <w:tcBorders>
              <w:top w:val="single" w:color="auto" w:sz="12" w:space="0"/>
              <w:right w:val="single" w:color="auto" w:sz="6" w:space="0"/>
            </w:tcBorders>
            <w:shd w:val="clear" w:color="auto" w:fill="EEECE1"/>
            <w:vAlign w:val="center"/>
          </w:tcPr>
          <w:p w14:paraId="3987E880">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用户/业主联系人及电话</w:t>
            </w:r>
          </w:p>
        </w:tc>
        <w:tc>
          <w:tcPr>
            <w:tcW w:w="1082" w:type="dxa"/>
            <w:tcBorders>
              <w:top w:val="single" w:color="auto" w:sz="12" w:space="0"/>
              <w:left w:val="single" w:color="auto" w:sz="6" w:space="0"/>
            </w:tcBorders>
            <w:shd w:val="clear" w:color="auto" w:fill="EEECE1"/>
            <w:vAlign w:val="center"/>
          </w:tcPr>
          <w:p w14:paraId="2EABB8E4">
            <w:pPr>
              <w:snapToGrid w:val="0"/>
              <w:ind w:left="-80" w:leftChars="-40" w:right="-102" w:rightChars="-51"/>
              <w:jc w:val="center"/>
              <w:rPr>
                <w:rFonts w:asciiTheme="majorEastAsia" w:hAnsiTheme="majorEastAsia" w:eastAsiaTheme="majorEastAsia"/>
                <w:sz w:val="24"/>
              </w:rPr>
            </w:pPr>
            <w:r>
              <w:rPr>
                <w:rFonts w:hint="eastAsia" w:asciiTheme="majorEastAsia" w:hAnsiTheme="majorEastAsia" w:eastAsiaTheme="majorEastAsia"/>
                <w:sz w:val="24"/>
              </w:rPr>
              <w:t>查阅/证明文件指引</w:t>
            </w:r>
          </w:p>
        </w:tc>
      </w:tr>
      <w:tr w14:paraId="354C8C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28" w:type="dxa"/>
            <w:tcBorders>
              <w:top w:val="double" w:color="auto" w:sz="4" w:space="0"/>
            </w:tcBorders>
            <w:vAlign w:val="center"/>
          </w:tcPr>
          <w:p w14:paraId="62575CA7">
            <w:pPr>
              <w:pStyle w:val="84"/>
              <w:numPr>
                <w:ilvl w:val="0"/>
                <w:numId w:val="93"/>
              </w:numPr>
              <w:spacing w:line="400" w:lineRule="exact"/>
              <w:ind w:firstLineChars="0"/>
              <w:jc w:val="center"/>
              <w:rPr>
                <w:rFonts w:asciiTheme="majorEastAsia" w:hAnsiTheme="majorEastAsia" w:eastAsiaTheme="majorEastAsia"/>
                <w:sz w:val="24"/>
              </w:rPr>
            </w:pPr>
          </w:p>
        </w:tc>
        <w:tc>
          <w:tcPr>
            <w:tcW w:w="854" w:type="dxa"/>
            <w:tcBorders>
              <w:top w:val="double" w:color="auto" w:sz="4" w:space="0"/>
            </w:tcBorders>
            <w:vAlign w:val="center"/>
          </w:tcPr>
          <w:p w14:paraId="492BDEE0">
            <w:pPr>
              <w:spacing w:line="400" w:lineRule="exact"/>
              <w:jc w:val="center"/>
              <w:rPr>
                <w:rFonts w:asciiTheme="majorEastAsia" w:hAnsiTheme="majorEastAsia" w:eastAsiaTheme="majorEastAsia"/>
                <w:sz w:val="24"/>
              </w:rPr>
            </w:pPr>
          </w:p>
        </w:tc>
        <w:tc>
          <w:tcPr>
            <w:tcW w:w="966" w:type="dxa"/>
            <w:tcBorders>
              <w:top w:val="double" w:color="auto" w:sz="4" w:space="0"/>
            </w:tcBorders>
            <w:vAlign w:val="center"/>
          </w:tcPr>
          <w:p w14:paraId="225EA34A">
            <w:pPr>
              <w:spacing w:line="400" w:lineRule="exact"/>
              <w:jc w:val="center"/>
              <w:rPr>
                <w:rFonts w:asciiTheme="majorEastAsia" w:hAnsiTheme="majorEastAsia" w:eastAsiaTheme="majorEastAsia"/>
                <w:sz w:val="24"/>
              </w:rPr>
            </w:pPr>
          </w:p>
        </w:tc>
        <w:tc>
          <w:tcPr>
            <w:tcW w:w="1682" w:type="dxa"/>
            <w:tcBorders>
              <w:top w:val="double" w:color="auto" w:sz="4" w:space="0"/>
            </w:tcBorders>
            <w:vAlign w:val="center"/>
          </w:tcPr>
          <w:p w14:paraId="336222E3">
            <w:pPr>
              <w:spacing w:line="400" w:lineRule="exact"/>
              <w:jc w:val="center"/>
              <w:rPr>
                <w:rFonts w:asciiTheme="majorEastAsia" w:hAnsiTheme="majorEastAsia" w:eastAsiaTheme="majorEastAsia"/>
                <w:sz w:val="24"/>
              </w:rPr>
            </w:pPr>
          </w:p>
        </w:tc>
        <w:tc>
          <w:tcPr>
            <w:tcW w:w="954" w:type="dxa"/>
            <w:tcBorders>
              <w:top w:val="double" w:color="auto" w:sz="4" w:space="0"/>
              <w:right w:val="single" w:color="auto" w:sz="6" w:space="0"/>
            </w:tcBorders>
            <w:vAlign w:val="center"/>
          </w:tcPr>
          <w:p w14:paraId="70F5715F">
            <w:pPr>
              <w:spacing w:line="400" w:lineRule="exact"/>
              <w:jc w:val="center"/>
              <w:rPr>
                <w:rFonts w:asciiTheme="majorEastAsia" w:hAnsiTheme="majorEastAsia" w:eastAsiaTheme="majorEastAsia"/>
                <w:sz w:val="24"/>
              </w:rPr>
            </w:pPr>
          </w:p>
        </w:tc>
        <w:tc>
          <w:tcPr>
            <w:tcW w:w="1077" w:type="dxa"/>
            <w:tcBorders>
              <w:top w:val="double" w:color="auto" w:sz="4" w:space="0"/>
              <w:left w:val="single" w:color="auto" w:sz="6" w:space="0"/>
            </w:tcBorders>
            <w:vAlign w:val="center"/>
          </w:tcPr>
          <w:p w14:paraId="7E232F3C">
            <w:pPr>
              <w:spacing w:line="400" w:lineRule="exact"/>
              <w:jc w:val="center"/>
              <w:rPr>
                <w:rFonts w:asciiTheme="majorEastAsia" w:hAnsiTheme="majorEastAsia" w:eastAsiaTheme="majorEastAsia"/>
                <w:sz w:val="24"/>
              </w:rPr>
            </w:pPr>
          </w:p>
        </w:tc>
        <w:tc>
          <w:tcPr>
            <w:tcW w:w="953" w:type="dxa"/>
            <w:tcBorders>
              <w:top w:val="double" w:color="auto" w:sz="4" w:space="0"/>
              <w:left w:val="single" w:color="auto" w:sz="6" w:space="0"/>
            </w:tcBorders>
            <w:vAlign w:val="center"/>
          </w:tcPr>
          <w:p w14:paraId="6BC8ECE3">
            <w:pPr>
              <w:spacing w:line="400" w:lineRule="exact"/>
              <w:jc w:val="center"/>
              <w:rPr>
                <w:rFonts w:asciiTheme="majorEastAsia" w:hAnsiTheme="majorEastAsia" w:eastAsiaTheme="majorEastAsia"/>
                <w:sz w:val="24"/>
              </w:rPr>
            </w:pPr>
          </w:p>
        </w:tc>
        <w:tc>
          <w:tcPr>
            <w:tcW w:w="992" w:type="dxa"/>
            <w:tcBorders>
              <w:top w:val="double" w:color="auto" w:sz="4" w:space="0"/>
              <w:right w:val="single" w:color="auto" w:sz="6" w:space="0"/>
            </w:tcBorders>
            <w:vAlign w:val="center"/>
          </w:tcPr>
          <w:p w14:paraId="734711DB">
            <w:pPr>
              <w:spacing w:line="400" w:lineRule="exact"/>
              <w:jc w:val="center"/>
              <w:rPr>
                <w:rFonts w:asciiTheme="majorEastAsia" w:hAnsiTheme="majorEastAsia" w:eastAsiaTheme="majorEastAsia"/>
                <w:sz w:val="24"/>
              </w:rPr>
            </w:pPr>
          </w:p>
        </w:tc>
        <w:tc>
          <w:tcPr>
            <w:tcW w:w="1082" w:type="dxa"/>
            <w:tcBorders>
              <w:top w:val="double" w:color="auto" w:sz="4" w:space="0"/>
              <w:left w:val="single" w:color="auto" w:sz="6" w:space="0"/>
            </w:tcBorders>
            <w:vAlign w:val="center"/>
          </w:tcPr>
          <w:p w14:paraId="1E063435">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054168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28" w:type="dxa"/>
            <w:vAlign w:val="center"/>
          </w:tcPr>
          <w:p w14:paraId="40BC97C1">
            <w:pPr>
              <w:pStyle w:val="84"/>
              <w:numPr>
                <w:ilvl w:val="0"/>
                <w:numId w:val="93"/>
              </w:numPr>
              <w:spacing w:line="400" w:lineRule="exact"/>
              <w:ind w:firstLineChars="0"/>
              <w:jc w:val="center"/>
              <w:rPr>
                <w:rFonts w:asciiTheme="majorEastAsia" w:hAnsiTheme="majorEastAsia" w:eastAsiaTheme="majorEastAsia"/>
                <w:sz w:val="24"/>
              </w:rPr>
            </w:pPr>
          </w:p>
        </w:tc>
        <w:tc>
          <w:tcPr>
            <w:tcW w:w="854" w:type="dxa"/>
            <w:vAlign w:val="center"/>
          </w:tcPr>
          <w:p w14:paraId="37CEA2A7">
            <w:pPr>
              <w:spacing w:line="400" w:lineRule="exact"/>
              <w:jc w:val="center"/>
              <w:rPr>
                <w:rFonts w:asciiTheme="majorEastAsia" w:hAnsiTheme="majorEastAsia" w:eastAsiaTheme="majorEastAsia"/>
                <w:sz w:val="24"/>
              </w:rPr>
            </w:pPr>
          </w:p>
        </w:tc>
        <w:tc>
          <w:tcPr>
            <w:tcW w:w="966" w:type="dxa"/>
            <w:vAlign w:val="center"/>
          </w:tcPr>
          <w:p w14:paraId="6980BBBD">
            <w:pPr>
              <w:spacing w:line="400" w:lineRule="exact"/>
              <w:jc w:val="center"/>
              <w:rPr>
                <w:rFonts w:asciiTheme="majorEastAsia" w:hAnsiTheme="majorEastAsia" w:eastAsiaTheme="majorEastAsia"/>
                <w:sz w:val="24"/>
              </w:rPr>
            </w:pPr>
          </w:p>
        </w:tc>
        <w:tc>
          <w:tcPr>
            <w:tcW w:w="1682" w:type="dxa"/>
            <w:vAlign w:val="center"/>
          </w:tcPr>
          <w:p w14:paraId="62424001">
            <w:pPr>
              <w:spacing w:line="400" w:lineRule="exact"/>
              <w:jc w:val="center"/>
              <w:rPr>
                <w:rFonts w:asciiTheme="majorEastAsia" w:hAnsiTheme="majorEastAsia" w:eastAsiaTheme="majorEastAsia"/>
                <w:sz w:val="24"/>
              </w:rPr>
            </w:pPr>
          </w:p>
        </w:tc>
        <w:tc>
          <w:tcPr>
            <w:tcW w:w="954" w:type="dxa"/>
            <w:tcBorders>
              <w:right w:val="single" w:color="auto" w:sz="6" w:space="0"/>
            </w:tcBorders>
            <w:vAlign w:val="center"/>
          </w:tcPr>
          <w:p w14:paraId="6601F4C2">
            <w:pPr>
              <w:spacing w:line="400" w:lineRule="exact"/>
              <w:jc w:val="center"/>
              <w:rPr>
                <w:rFonts w:asciiTheme="majorEastAsia" w:hAnsiTheme="majorEastAsia" w:eastAsiaTheme="majorEastAsia"/>
                <w:sz w:val="24"/>
              </w:rPr>
            </w:pPr>
          </w:p>
        </w:tc>
        <w:tc>
          <w:tcPr>
            <w:tcW w:w="1077" w:type="dxa"/>
            <w:tcBorders>
              <w:left w:val="single" w:color="auto" w:sz="6" w:space="0"/>
            </w:tcBorders>
            <w:vAlign w:val="center"/>
          </w:tcPr>
          <w:p w14:paraId="00FC4AE8">
            <w:pPr>
              <w:spacing w:line="400" w:lineRule="exact"/>
              <w:jc w:val="center"/>
              <w:rPr>
                <w:rFonts w:asciiTheme="majorEastAsia" w:hAnsiTheme="majorEastAsia" w:eastAsiaTheme="majorEastAsia"/>
                <w:sz w:val="24"/>
              </w:rPr>
            </w:pPr>
          </w:p>
        </w:tc>
        <w:tc>
          <w:tcPr>
            <w:tcW w:w="953" w:type="dxa"/>
            <w:tcBorders>
              <w:left w:val="single" w:color="auto" w:sz="6" w:space="0"/>
            </w:tcBorders>
            <w:vAlign w:val="center"/>
          </w:tcPr>
          <w:p w14:paraId="7EDB7903">
            <w:pPr>
              <w:spacing w:line="400" w:lineRule="exact"/>
              <w:jc w:val="center"/>
              <w:rPr>
                <w:rFonts w:asciiTheme="majorEastAsia" w:hAnsiTheme="majorEastAsia" w:eastAsiaTheme="majorEastAsia"/>
                <w:sz w:val="24"/>
              </w:rPr>
            </w:pPr>
          </w:p>
        </w:tc>
        <w:tc>
          <w:tcPr>
            <w:tcW w:w="992" w:type="dxa"/>
            <w:tcBorders>
              <w:right w:val="single" w:color="auto" w:sz="6" w:space="0"/>
            </w:tcBorders>
            <w:vAlign w:val="center"/>
          </w:tcPr>
          <w:p w14:paraId="578F75CE">
            <w:pPr>
              <w:spacing w:line="400" w:lineRule="exact"/>
              <w:jc w:val="center"/>
              <w:rPr>
                <w:rFonts w:asciiTheme="majorEastAsia" w:hAnsiTheme="majorEastAsia" w:eastAsiaTheme="majorEastAsia"/>
                <w:sz w:val="24"/>
              </w:rPr>
            </w:pPr>
          </w:p>
        </w:tc>
        <w:tc>
          <w:tcPr>
            <w:tcW w:w="1082" w:type="dxa"/>
            <w:tcBorders>
              <w:left w:val="single" w:color="auto" w:sz="6" w:space="0"/>
            </w:tcBorders>
            <w:vAlign w:val="center"/>
          </w:tcPr>
          <w:p w14:paraId="28ADB6A3">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13530D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28" w:type="dxa"/>
            <w:vAlign w:val="center"/>
          </w:tcPr>
          <w:p w14:paraId="07AECE1E">
            <w:pPr>
              <w:pStyle w:val="84"/>
              <w:numPr>
                <w:ilvl w:val="0"/>
                <w:numId w:val="93"/>
              </w:numPr>
              <w:spacing w:line="400" w:lineRule="exact"/>
              <w:ind w:firstLineChars="0"/>
              <w:jc w:val="center"/>
              <w:rPr>
                <w:rFonts w:asciiTheme="majorEastAsia" w:hAnsiTheme="majorEastAsia" w:eastAsiaTheme="majorEastAsia"/>
                <w:sz w:val="24"/>
              </w:rPr>
            </w:pPr>
          </w:p>
        </w:tc>
        <w:tc>
          <w:tcPr>
            <w:tcW w:w="854" w:type="dxa"/>
            <w:vAlign w:val="center"/>
          </w:tcPr>
          <w:p w14:paraId="5CFFCFED">
            <w:pPr>
              <w:spacing w:line="400" w:lineRule="exact"/>
              <w:jc w:val="center"/>
              <w:rPr>
                <w:rFonts w:asciiTheme="majorEastAsia" w:hAnsiTheme="majorEastAsia" w:eastAsiaTheme="majorEastAsia"/>
                <w:sz w:val="24"/>
              </w:rPr>
            </w:pPr>
          </w:p>
        </w:tc>
        <w:tc>
          <w:tcPr>
            <w:tcW w:w="966" w:type="dxa"/>
            <w:vAlign w:val="center"/>
          </w:tcPr>
          <w:p w14:paraId="12A95721">
            <w:pPr>
              <w:spacing w:line="400" w:lineRule="exact"/>
              <w:jc w:val="center"/>
              <w:rPr>
                <w:rFonts w:asciiTheme="majorEastAsia" w:hAnsiTheme="majorEastAsia" w:eastAsiaTheme="majorEastAsia"/>
                <w:sz w:val="24"/>
              </w:rPr>
            </w:pPr>
          </w:p>
        </w:tc>
        <w:tc>
          <w:tcPr>
            <w:tcW w:w="1682" w:type="dxa"/>
            <w:vAlign w:val="center"/>
          </w:tcPr>
          <w:p w14:paraId="06C75638">
            <w:pPr>
              <w:spacing w:line="400" w:lineRule="exact"/>
              <w:jc w:val="center"/>
              <w:rPr>
                <w:rFonts w:asciiTheme="majorEastAsia" w:hAnsiTheme="majorEastAsia" w:eastAsiaTheme="majorEastAsia"/>
                <w:sz w:val="24"/>
              </w:rPr>
            </w:pPr>
          </w:p>
        </w:tc>
        <w:tc>
          <w:tcPr>
            <w:tcW w:w="954" w:type="dxa"/>
            <w:tcBorders>
              <w:right w:val="single" w:color="auto" w:sz="6" w:space="0"/>
            </w:tcBorders>
            <w:vAlign w:val="center"/>
          </w:tcPr>
          <w:p w14:paraId="4BD62562">
            <w:pPr>
              <w:spacing w:line="400" w:lineRule="exact"/>
              <w:jc w:val="center"/>
              <w:rPr>
                <w:rFonts w:asciiTheme="majorEastAsia" w:hAnsiTheme="majorEastAsia" w:eastAsiaTheme="majorEastAsia"/>
                <w:sz w:val="24"/>
              </w:rPr>
            </w:pPr>
          </w:p>
        </w:tc>
        <w:tc>
          <w:tcPr>
            <w:tcW w:w="1077" w:type="dxa"/>
            <w:tcBorders>
              <w:left w:val="single" w:color="auto" w:sz="6" w:space="0"/>
            </w:tcBorders>
            <w:vAlign w:val="center"/>
          </w:tcPr>
          <w:p w14:paraId="67ACC163">
            <w:pPr>
              <w:spacing w:line="400" w:lineRule="exact"/>
              <w:jc w:val="center"/>
              <w:rPr>
                <w:rFonts w:asciiTheme="majorEastAsia" w:hAnsiTheme="majorEastAsia" w:eastAsiaTheme="majorEastAsia"/>
                <w:sz w:val="24"/>
              </w:rPr>
            </w:pPr>
          </w:p>
        </w:tc>
        <w:tc>
          <w:tcPr>
            <w:tcW w:w="953" w:type="dxa"/>
            <w:tcBorders>
              <w:left w:val="single" w:color="auto" w:sz="6" w:space="0"/>
            </w:tcBorders>
            <w:vAlign w:val="center"/>
          </w:tcPr>
          <w:p w14:paraId="345984B9">
            <w:pPr>
              <w:spacing w:line="400" w:lineRule="exact"/>
              <w:jc w:val="center"/>
              <w:rPr>
                <w:rFonts w:asciiTheme="majorEastAsia" w:hAnsiTheme="majorEastAsia" w:eastAsiaTheme="majorEastAsia"/>
                <w:sz w:val="24"/>
              </w:rPr>
            </w:pPr>
          </w:p>
        </w:tc>
        <w:tc>
          <w:tcPr>
            <w:tcW w:w="992" w:type="dxa"/>
            <w:tcBorders>
              <w:right w:val="single" w:color="auto" w:sz="6" w:space="0"/>
            </w:tcBorders>
            <w:vAlign w:val="center"/>
          </w:tcPr>
          <w:p w14:paraId="3A1EDDC5">
            <w:pPr>
              <w:spacing w:line="400" w:lineRule="exact"/>
              <w:jc w:val="center"/>
              <w:rPr>
                <w:rFonts w:asciiTheme="majorEastAsia" w:hAnsiTheme="majorEastAsia" w:eastAsiaTheme="majorEastAsia"/>
                <w:sz w:val="24"/>
              </w:rPr>
            </w:pPr>
          </w:p>
        </w:tc>
        <w:tc>
          <w:tcPr>
            <w:tcW w:w="1082" w:type="dxa"/>
            <w:tcBorders>
              <w:left w:val="single" w:color="auto" w:sz="6" w:space="0"/>
            </w:tcBorders>
            <w:vAlign w:val="center"/>
          </w:tcPr>
          <w:p w14:paraId="408333F4">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5C9342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28" w:type="dxa"/>
            <w:vAlign w:val="center"/>
          </w:tcPr>
          <w:p w14:paraId="05CFE860">
            <w:pPr>
              <w:pStyle w:val="84"/>
              <w:numPr>
                <w:ilvl w:val="0"/>
                <w:numId w:val="93"/>
              </w:numPr>
              <w:spacing w:line="400" w:lineRule="exact"/>
              <w:ind w:firstLineChars="0"/>
              <w:jc w:val="center"/>
              <w:rPr>
                <w:rFonts w:asciiTheme="majorEastAsia" w:hAnsiTheme="majorEastAsia" w:eastAsiaTheme="majorEastAsia"/>
                <w:sz w:val="24"/>
              </w:rPr>
            </w:pPr>
          </w:p>
        </w:tc>
        <w:tc>
          <w:tcPr>
            <w:tcW w:w="854" w:type="dxa"/>
            <w:vAlign w:val="center"/>
          </w:tcPr>
          <w:p w14:paraId="4B79F30D">
            <w:pPr>
              <w:spacing w:line="400" w:lineRule="exact"/>
              <w:jc w:val="center"/>
              <w:rPr>
                <w:rFonts w:asciiTheme="majorEastAsia" w:hAnsiTheme="majorEastAsia" w:eastAsiaTheme="majorEastAsia"/>
                <w:sz w:val="24"/>
              </w:rPr>
            </w:pPr>
          </w:p>
        </w:tc>
        <w:tc>
          <w:tcPr>
            <w:tcW w:w="966" w:type="dxa"/>
            <w:vAlign w:val="center"/>
          </w:tcPr>
          <w:p w14:paraId="64B1544F">
            <w:pPr>
              <w:spacing w:line="400" w:lineRule="exact"/>
              <w:jc w:val="center"/>
              <w:rPr>
                <w:rFonts w:asciiTheme="majorEastAsia" w:hAnsiTheme="majorEastAsia" w:eastAsiaTheme="majorEastAsia"/>
                <w:sz w:val="24"/>
              </w:rPr>
            </w:pPr>
          </w:p>
        </w:tc>
        <w:tc>
          <w:tcPr>
            <w:tcW w:w="1682" w:type="dxa"/>
            <w:vAlign w:val="center"/>
          </w:tcPr>
          <w:p w14:paraId="45ACE756">
            <w:pPr>
              <w:spacing w:line="400" w:lineRule="exact"/>
              <w:jc w:val="center"/>
              <w:rPr>
                <w:rFonts w:asciiTheme="majorEastAsia" w:hAnsiTheme="majorEastAsia" w:eastAsiaTheme="majorEastAsia"/>
                <w:sz w:val="24"/>
              </w:rPr>
            </w:pPr>
          </w:p>
        </w:tc>
        <w:tc>
          <w:tcPr>
            <w:tcW w:w="954" w:type="dxa"/>
            <w:tcBorders>
              <w:right w:val="single" w:color="auto" w:sz="6" w:space="0"/>
            </w:tcBorders>
            <w:vAlign w:val="center"/>
          </w:tcPr>
          <w:p w14:paraId="1F4D70A2">
            <w:pPr>
              <w:spacing w:line="400" w:lineRule="exact"/>
              <w:jc w:val="center"/>
              <w:rPr>
                <w:rFonts w:asciiTheme="majorEastAsia" w:hAnsiTheme="majorEastAsia" w:eastAsiaTheme="majorEastAsia"/>
                <w:sz w:val="24"/>
              </w:rPr>
            </w:pPr>
          </w:p>
        </w:tc>
        <w:tc>
          <w:tcPr>
            <w:tcW w:w="1077" w:type="dxa"/>
            <w:tcBorders>
              <w:left w:val="single" w:color="auto" w:sz="6" w:space="0"/>
            </w:tcBorders>
            <w:vAlign w:val="center"/>
          </w:tcPr>
          <w:p w14:paraId="723AA02B">
            <w:pPr>
              <w:spacing w:line="400" w:lineRule="exact"/>
              <w:jc w:val="center"/>
              <w:rPr>
                <w:rFonts w:asciiTheme="majorEastAsia" w:hAnsiTheme="majorEastAsia" w:eastAsiaTheme="majorEastAsia"/>
                <w:sz w:val="24"/>
              </w:rPr>
            </w:pPr>
          </w:p>
        </w:tc>
        <w:tc>
          <w:tcPr>
            <w:tcW w:w="953" w:type="dxa"/>
            <w:tcBorders>
              <w:left w:val="single" w:color="auto" w:sz="6" w:space="0"/>
            </w:tcBorders>
            <w:vAlign w:val="center"/>
          </w:tcPr>
          <w:p w14:paraId="272D12E9">
            <w:pPr>
              <w:spacing w:line="400" w:lineRule="exact"/>
              <w:jc w:val="center"/>
              <w:rPr>
                <w:rFonts w:asciiTheme="majorEastAsia" w:hAnsiTheme="majorEastAsia" w:eastAsiaTheme="majorEastAsia"/>
                <w:sz w:val="24"/>
              </w:rPr>
            </w:pPr>
          </w:p>
        </w:tc>
        <w:tc>
          <w:tcPr>
            <w:tcW w:w="992" w:type="dxa"/>
            <w:tcBorders>
              <w:right w:val="single" w:color="auto" w:sz="6" w:space="0"/>
            </w:tcBorders>
            <w:vAlign w:val="center"/>
          </w:tcPr>
          <w:p w14:paraId="6B2700C0">
            <w:pPr>
              <w:spacing w:line="400" w:lineRule="exact"/>
              <w:jc w:val="center"/>
              <w:rPr>
                <w:rFonts w:asciiTheme="majorEastAsia" w:hAnsiTheme="majorEastAsia" w:eastAsiaTheme="majorEastAsia"/>
                <w:sz w:val="24"/>
              </w:rPr>
            </w:pPr>
          </w:p>
        </w:tc>
        <w:tc>
          <w:tcPr>
            <w:tcW w:w="1082" w:type="dxa"/>
            <w:tcBorders>
              <w:left w:val="single" w:color="auto" w:sz="6" w:space="0"/>
            </w:tcBorders>
            <w:vAlign w:val="center"/>
          </w:tcPr>
          <w:p w14:paraId="4B555B24">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3A2398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088" w:type="dxa"/>
            <w:gridSpan w:val="9"/>
            <w:vAlign w:val="center"/>
          </w:tcPr>
          <w:p w14:paraId="26B003D7">
            <w:pPr>
              <w:spacing w:line="400" w:lineRule="exact"/>
              <w:jc w:val="center"/>
              <w:rPr>
                <w:rFonts w:cs="宋体" w:asciiTheme="majorEastAsia" w:hAnsiTheme="majorEastAsia" w:eastAsiaTheme="majorEastAsia"/>
                <w:b/>
                <w:sz w:val="24"/>
              </w:rPr>
            </w:pPr>
            <w:r>
              <w:rPr>
                <w:rFonts w:hint="eastAsia" w:cs="宋体" w:asciiTheme="majorEastAsia" w:hAnsiTheme="majorEastAsia" w:eastAsiaTheme="majorEastAsia"/>
                <w:b/>
                <w:sz w:val="24"/>
              </w:rPr>
              <w:t>合计：</w:t>
            </w:r>
            <w:r>
              <w:rPr>
                <w:rFonts w:hint="eastAsia" w:cs="宋体" w:asciiTheme="majorEastAsia" w:hAnsiTheme="majorEastAsia" w:eastAsiaTheme="majorEastAsia"/>
                <w:b/>
                <w:sz w:val="24"/>
                <w:u w:val="single"/>
              </w:rPr>
              <w:t xml:space="preserve">     </w:t>
            </w:r>
            <w:r>
              <w:rPr>
                <w:rFonts w:hint="eastAsia" w:cs="宋体" w:asciiTheme="majorEastAsia" w:hAnsiTheme="majorEastAsia" w:eastAsiaTheme="majorEastAsia"/>
                <w:b/>
                <w:sz w:val="24"/>
              </w:rPr>
              <w:t>个业绩</w:t>
            </w:r>
          </w:p>
        </w:tc>
      </w:tr>
    </w:tbl>
    <w:p w14:paraId="11AFB56F">
      <w:pPr>
        <w:spacing w:line="440" w:lineRule="exact"/>
        <w:rPr>
          <w:rFonts w:ascii="宋体" w:hAnsi="宋体"/>
          <w:sz w:val="24"/>
        </w:rPr>
      </w:pPr>
      <w:r>
        <w:rPr>
          <w:rFonts w:hint="eastAsia"/>
          <w:bCs/>
          <w:sz w:val="24"/>
        </w:rPr>
        <w:t>备注：</w:t>
      </w:r>
      <w:r>
        <w:rPr>
          <w:rFonts w:hint="eastAsia" w:ascii="宋体" w:hAnsi="宋体"/>
          <w:sz w:val="24"/>
        </w:rPr>
        <w:t>根据评分表的要求提交相应资料。</w:t>
      </w:r>
    </w:p>
    <w:bookmarkEnd w:id="142"/>
    <w:bookmarkEnd w:id="143"/>
    <w:p w14:paraId="6EE4285D">
      <w:pPr>
        <w:spacing w:line="500" w:lineRule="exact"/>
        <w:ind w:firstLine="124" w:firstLineChars="50"/>
        <w:rPr>
          <w:rFonts w:ascii="宋体" w:hAnsi="宋体"/>
          <w:sz w:val="24"/>
          <w:u w:val="single"/>
        </w:rPr>
      </w:pPr>
      <w:r>
        <w:rPr>
          <w:rFonts w:hint="eastAsia"/>
          <w:spacing w:val="4"/>
          <w:sz w:val="24"/>
        </w:rPr>
        <w:t>投标人名称（</w:t>
      </w:r>
      <w:r>
        <w:rPr>
          <w:rFonts w:hint="eastAsia" w:ascii="宋体" w:hAnsi="宋体"/>
          <w:sz w:val="24"/>
        </w:rPr>
        <w:t>单位盖</w:t>
      </w:r>
      <w:r>
        <w:rPr>
          <w:rFonts w:hint="eastAsia"/>
          <w:spacing w:val="4"/>
          <w:sz w:val="24"/>
        </w:rPr>
        <w:t>公章）：</w:t>
      </w:r>
    </w:p>
    <w:p w14:paraId="67929CC7">
      <w:pPr>
        <w:spacing w:line="440" w:lineRule="exact"/>
        <w:ind w:firstLine="124" w:firstLineChars="50"/>
        <w:rPr>
          <w:spacing w:val="4"/>
          <w:sz w:val="24"/>
          <w:u w:val="single"/>
        </w:rPr>
      </w:pPr>
      <w:r>
        <w:rPr>
          <w:rFonts w:hint="eastAsia"/>
          <w:spacing w:val="4"/>
          <w:sz w:val="24"/>
        </w:rPr>
        <w:t>日期：</w:t>
      </w:r>
    </w:p>
    <w:p w14:paraId="3A0A22C7">
      <w:pPr>
        <w:tabs>
          <w:tab w:val="left" w:pos="142"/>
        </w:tabs>
        <w:autoSpaceDE w:val="0"/>
        <w:autoSpaceDN w:val="0"/>
        <w:spacing w:line="360" w:lineRule="auto"/>
        <w:ind w:left="-2" w:leftChars="-1" w:firstLine="2"/>
        <w:jc w:val="center"/>
        <w:outlineLvl w:val="3"/>
        <w:rPr>
          <w:rFonts w:ascii="黑体" w:hAnsi="黑体" w:eastAsia="黑体"/>
          <w:sz w:val="32"/>
          <w:szCs w:val="32"/>
        </w:rPr>
      </w:pPr>
      <w:bookmarkStart w:id="145" w:name="_Toc52165084"/>
      <w:bookmarkStart w:id="146" w:name="_Toc50691042"/>
      <w:bookmarkStart w:id="147" w:name="_Toc50737332"/>
      <w:bookmarkStart w:id="148" w:name="_Toc50737300"/>
      <w:bookmarkStart w:id="149" w:name="_Toc435514871"/>
      <w:bookmarkStart w:id="150" w:name="_Toc275865618"/>
      <w:bookmarkStart w:id="151" w:name="_Toc435515311"/>
      <w:bookmarkStart w:id="152" w:name="_Toc50736480"/>
      <w:r>
        <w:rPr>
          <w:rFonts w:hint="eastAsia" w:ascii="黑体" w:hAnsi="黑体" w:eastAsia="黑体"/>
          <w:sz w:val="32"/>
          <w:szCs w:val="32"/>
        </w:rPr>
        <w:t>项目经理及管理技术人员一览表</w:t>
      </w:r>
      <w:bookmarkEnd w:id="145"/>
      <w:bookmarkEnd w:id="146"/>
      <w:bookmarkEnd w:id="147"/>
      <w:bookmarkEnd w:id="148"/>
      <w:bookmarkEnd w:id="149"/>
      <w:bookmarkEnd w:id="150"/>
      <w:bookmarkEnd w:id="151"/>
      <w:bookmarkEnd w:id="152"/>
    </w:p>
    <w:p w14:paraId="0A4ED261">
      <w:pPr>
        <w:widowControl/>
        <w:snapToGrid w:val="0"/>
        <w:spacing w:line="360" w:lineRule="auto"/>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8"/>
        <w:tblW w:w="90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2"/>
        <w:gridCol w:w="1034"/>
        <w:gridCol w:w="662"/>
        <w:gridCol w:w="658"/>
        <w:gridCol w:w="822"/>
        <w:gridCol w:w="1051"/>
        <w:gridCol w:w="731"/>
        <w:gridCol w:w="579"/>
        <w:gridCol w:w="924"/>
        <w:gridCol w:w="709"/>
        <w:gridCol w:w="1283"/>
      </w:tblGrid>
      <w:tr w14:paraId="010660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72" w:type="dxa"/>
            <w:tcBorders>
              <w:top w:val="single" w:color="auto" w:sz="12" w:space="0"/>
              <w:bottom w:val="double" w:color="auto" w:sz="4" w:space="0"/>
            </w:tcBorders>
            <w:shd w:val="clear" w:color="auto" w:fill="EEECE1"/>
            <w:vAlign w:val="center"/>
          </w:tcPr>
          <w:p w14:paraId="1D2B8752">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序号</w:t>
            </w:r>
          </w:p>
        </w:tc>
        <w:tc>
          <w:tcPr>
            <w:tcW w:w="1034" w:type="dxa"/>
            <w:tcBorders>
              <w:top w:val="single" w:color="auto" w:sz="12" w:space="0"/>
              <w:bottom w:val="double" w:color="auto" w:sz="4" w:space="0"/>
            </w:tcBorders>
            <w:shd w:val="clear" w:color="auto" w:fill="EEECE1"/>
            <w:vAlign w:val="center"/>
          </w:tcPr>
          <w:p w14:paraId="6B264362">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姓名</w:t>
            </w:r>
          </w:p>
        </w:tc>
        <w:tc>
          <w:tcPr>
            <w:tcW w:w="662" w:type="dxa"/>
            <w:tcBorders>
              <w:top w:val="single" w:color="auto" w:sz="12" w:space="0"/>
              <w:bottom w:val="double" w:color="auto" w:sz="4" w:space="0"/>
            </w:tcBorders>
            <w:shd w:val="clear" w:color="auto" w:fill="EEECE1"/>
            <w:vAlign w:val="center"/>
          </w:tcPr>
          <w:p w14:paraId="70419FE2">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性别</w:t>
            </w:r>
          </w:p>
        </w:tc>
        <w:tc>
          <w:tcPr>
            <w:tcW w:w="658" w:type="dxa"/>
            <w:tcBorders>
              <w:top w:val="single" w:color="auto" w:sz="12" w:space="0"/>
              <w:bottom w:val="double" w:color="auto" w:sz="4" w:space="0"/>
            </w:tcBorders>
            <w:shd w:val="clear" w:color="auto" w:fill="EEECE1"/>
            <w:vAlign w:val="center"/>
          </w:tcPr>
          <w:p w14:paraId="125B9BEA">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年龄</w:t>
            </w:r>
          </w:p>
        </w:tc>
        <w:tc>
          <w:tcPr>
            <w:tcW w:w="822" w:type="dxa"/>
            <w:tcBorders>
              <w:top w:val="single" w:color="auto" w:sz="12" w:space="0"/>
              <w:bottom w:val="double" w:color="auto" w:sz="4" w:space="0"/>
            </w:tcBorders>
            <w:shd w:val="clear" w:color="auto" w:fill="EEECE1"/>
            <w:vAlign w:val="center"/>
          </w:tcPr>
          <w:p w14:paraId="6C2B719B">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学历</w:t>
            </w:r>
          </w:p>
        </w:tc>
        <w:tc>
          <w:tcPr>
            <w:tcW w:w="1051" w:type="dxa"/>
            <w:tcBorders>
              <w:top w:val="single" w:color="auto" w:sz="12" w:space="0"/>
              <w:bottom w:val="double" w:color="auto" w:sz="4" w:space="0"/>
            </w:tcBorders>
            <w:shd w:val="clear" w:color="auto" w:fill="EEECE1"/>
            <w:vAlign w:val="center"/>
          </w:tcPr>
          <w:p w14:paraId="3ECA0A5A">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职称</w:t>
            </w:r>
          </w:p>
        </w:tc>
        <w:tc>
          <w:tcPr>
            <w:tcW w:w="731" w:type="dxa"/>
            <w:tcBorders>
              <w:top w:val="single" w:color="auto" w:sz="12" w:space="0"/>
              <w:bottom w:val="double" w:color="auto" w:sz="4" w:space="0"/>
            </w:tcBorders>
            <w:shd w:val="clear" w:color="auto" w:fill="EEECE1"/>
            <w:vAlign w:val="center"/>
          </w:tcPr>
          <w:p w14:paraId="1A0C687C">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专业</w:t>
            </w:r>
          </w:p>
        </w:tc>
        <w:tc>
          <w:tcPr>
            <w:tcW w:w="579" w:type="dxa"/>
            <w:tcBorders>
              <w:top w:val="single" w:color="auto" w:sz="12" w:space="0"/>
              <w:bottom w:val="double" w:color="auto" w:sz="4" w:space="0"/>
            </w:tcBorders>
            <w:shd w:val="clear" w:color="auto" w:fill="EEECE1"/>
            <w:vAlign w:val="center"/>
          </w:tcPr>
          <w:p w14:paraId="6F0935FF">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经验年限</w:t>
            </w:r>
          </w:p>
        </w:tc>
        <w:tc>
          <w:tcPr>
            <w:tcW w:w="924" w:type="dxa"/>
            <w:tcBorders>
              <w:top w:val="single" w:color="auto" w:sz="12" w:space="0"/>
              <w:bottom w:val="double" w:color="auto" w:sz="4" w:space="0"/>
              <w:right w:val="single" w:color="auto" w:sz="4" w:space="0"/>
            </w:tcBorders>
            <w:shd w:val="clear" w:color="auto" w:fill="EEECE1"/>
            <w:vAlign w:val="center"/>
          </w:tcPr>
          <w:p w14:paraId="5BAAEEA4">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担任职务</w:t>
            </w:r>
          </w:p>
        </w:tc>
        <w:tc>
          <w:tcPr>
            <w:tcW w:w="709" w:type="dxa"/>
            <w:tcBorders>
              <w:top w:val="single" w:color="auto" w:sz="12" w:space="0"/>
              <w:left w:val="single" w:color="auto" w:sz="4" w:space="0"/>
              <w:bottom w:val="double" w:color="auto" w:sz="4" w:space="0"/>
              <w:right w:val="single" w:color="auto" w:sz="6" w:space="0"/>
            </w:tcBorders>
            <w:shd w:val="clear" w:color="auto" w:fill="EEECE1"/>
            <w:vAlign w:val="center"/>
          </w:tcPr>
          <w:p w14:paraId="62BC1297">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承担工作内容</w:t>
            </w:r>
          </w:p>
        </w:tc>
        <w:tc>
          <w:tcPr>
            <w:tcW w:w="1283" w:type="dxa"/>
            <w:tcBorders>
              <w:top w:val="single" w:color="auto" w:sz="12" w:space="0"/>
              <w:left w:val="single" w:color="auto" w:sz="6" w:space="0"/>
              <w:bottom w:val="double" w:color="auto" w:sz="4" w:space="0"/>
            </w:tcBorders>
            <w:shd w:val="clear" w:color="auto" w:fill="EEECE1"/>
            <w:vAlign w:val="center"/>
          </w:tcPr>
          <w:p w14:paraId="09ECCB9A">
            <w:pPr>
              <w:snapToGrid w:val="0"/>
              <w:ind w:left="-88" w:leftChars="-44" w:right="-76" w:rightChars="-38"/>
              <w:jc w:val="center"/>
              <w:rPr>
                <w:rFonts w:asciiTheme="majorEastAsia" w:hAnsiTheme="majorEastAsia" w:eastAsiaTheme="majorEastAsia"/>
                <w:b/>
                <w:sz w:val="24"/>
              </w:rPr>
            </w:pPr>
            <w:r>
              <w:rPr>
                <w:rFonts w:hint="eastAsia" w:asciiTheme="majorEastAsia" w:hAnsiTheme="majorEastAsia" w:eastAsiaTheme="majorEastAsia"/>
                <w:b/>
                <w:sz w:val="24"/>
              </w:rPr>
              <w:t>查阅/证明文件指引</w:t>
            </w:r>
          </w:p>
        </w:tc>
      </w:tr>
      <w:tr w14:paraId="191483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72" w:type="dxa"/>
            <w:tcBorders>
              <w:top w:val="double" w:color="auto" w:sz="4" w:space="0"/>
            </w:tcBorders>
            <w:vAlign w:val="center"/>
          </w:tcPr>
          <w:p w14:paraId="13B15692">
            <w:pPr>
              <w:pStyle w:val="84"/>
              <w:numPr>
                <w:ilvl w:val="0"/>
                <w:numId w:val="94"/>
              </w:numPr>
              <w:spacing w:line="400" w:lineRule="exact"/>
              <w:ind w:firstLineChars="0"/>
              <w:jc w:val="center"/>
              <w:rPr>
                <w:rFonts w:asciiTheme="majorEastAsia" w:hAnsiTheme="majorEastAsia" w:eastAsiaTheme="majorEastAsia"/>
                <w:sz w:val="24"/>
              </w:rPr>
            </w:pPr>
          </w:p>
        </w:tc>
        <w:tc>
          <w:tcPr>
            <w:tcW w:w="1034" w:type="dxa"/>
            <w:tcBorders>
              <w:top w:val="double" w:color="auto" w:sz="4" w:space="0"/>
            </w:tcBorders>
            <w:vAlign w:val="center"/>
          </w:tcPr>
          <w:p w14:paraId="6FAA0FC5">
            <w:pPr>
              <w:spacing w:line="400" w:lineRule="exact"/>
              <w:jc w:val="center"/>
              <w:rPr>
                <w:rFonts w:asciiTheme="majorEastAsia" w:hAnsiTheme="majorEastAsia" w:eastAsiaTheme="majorEastAsia"/>
                <w:sz w:val="24"/>
              </w:rPr>
            </w:pPr>
          </w:p>
        </w:tc>
        <w:tc>
          <w:tcPr>
            <w:tcW w:w="662" w:type="dxa"/>
            <w:tcBorders>
              <w:top w:val="double" w:color="auto" w:sz="4" w:space="0"/>
            </w:tcBorders>
            <w:vAlign w:val="center"/>
          </w:tcPr>
          <w:p w14:paraId="0EBBBE91">
            <w:pPr>
              <w:spacing w:line="400" w:lineRule="exact"/>
              <w:jc w:val="center"/>
              <w:rPr>
                <w:rFonts w:asciiTheme="majorEastAsia" w:hAnsiTheme="majorEastAsia" w:eastAsiaTheme="majorEastAsia"/>
                <w:sz w:val="24"/>
              </w:rPr>
            </w:pPr>
          </w:p>
        </w:tc>
        <w:tc>
          <w:tcPr>
            <w:tcW w:w="658" w:type="dxa"/>
            <w:tcBorders>
              <w:top w:val="double" w:color="auto" w:sz="4" w:space="0"/>
            </w:tcBorders>
            <w:vAlign w:val="center"/>
          </w:tcPr>
          <w:p w14:paraId="2D596FA7">
            <w:pPr>
              <w:spacing w:line="400" w:lineRule="exact"/>
              <w:jc w:val="center"/>
              <w:rPr>
                <w:rFonts w:asciiTheme="majorEastAsia" w:hAnsiTheme="majorEastAsia" w:eastAsiaTheme="majorEastAsia"/>
                <w:sz w:val="24"/>
              </w:rPr>
            </w:pPr>
          </w:p>
        </w:tc>
        <w:tc>
          <w:tcPr>
            <w:tcW w:w="822" w:type="dxa"/>
            <w:tcBorders>
              <w:top w:val="double" w:color="auto" w:sz="4" w:space="0"/>
            </w:tcBorders>
            <w:vAlign w:val="center"/>
          </w:tcPr>
          <w:p w14:paraId="1EA44FB6">
            <w:pPr>
              <w:spacing w:line="400" w:lineRule="exact"/>
              <w:jc w:val="center"/>
              <w:rPr>
                <w:rFonts w:asciiTheme="majorEastAsia" w:hAnsiTheme="majorEastAsia" w:eastAsiaTheme="majorEastAsia"/>
                <w:sz w:val="24"/>
              </w:rPr>
            </w:pPr>
          </w:p>
        </w:tc>
        <w:tc>
          <w:tcPr>
            <w:tcW w:w="1051" w:type="dxa"/>
            <w:tcBorders>
              <w:top w:val="double" w:color="auto" w:sz="4" w:space="0"/>
            </w:tcBorders>
            <w:vAlign w:val="center"/>
          </w:tcPr>
          <w:p w14:paraId="46B76F79">
            <w:pPr>
              <w:spacing w:line="400" w:lineRule="exact"/>
              <w:jc w:val="center"/>
              <w:rPr>
                <w:rFonts w:asciiTheme="majorEastAsia" w:hAnsiTheme="majorEastAsia" w:eastAsiaTheme="majorEastAsia"/>
                <w:sz w:val="24"/>
              </w:rPr>
            </w:pPr>
          </w:p>
        </w:tc>
        <w:tc>
          <w:tcPr>
            <w:tcW w:w="731" w:type="dxa"/>
            <w:tcBorders>
              <w:top w:val="double" w:color="auto" w:sz="4" w:space="0"/>
            </w:tcBorders>
            <w:vAlign w:val="center"/>
          </w:tcPr>
          <w:p w14:paraId="1C52B541">
            <w:pPr>
              <w:spacing w:line="400" w:lineRule="exact"/>
              <w:jc w:val="center"/>
              <w:rPr>
                <w:rFonts w:asciiTheme="majorEastAsia" w:hAnsiTheme="majorEastAsia" w:eastAsiaTheme="majorEastAsia"/>
                <w:sz w:val="24"/>
              </w:rPr>
            </w:pPr>
          </w:p>
        </w:tc>
        <w:tc>
          <w:tcPr>
            <w:tcW w:w="579" w:type="dxa"/>
            <w:tcBorders>
              <w:top w:val="double" w:color="auto" w:sz="4" w:space="0"/>
            </w:tcBorders>
            <w:vAlign w:val="center"/>
          </w:tcPr>
          <w:p w14:paraId="44136A59">
            <w:pPr>
              <w:spacing w:line="400" w:lineRule="exact"/>
              <w:jc w:val="center"/>
              <w:rPr>
                <w:rFonts w:asciiTheme="majorEastAsia" w:hAnsiTheme="majorEastAsia" w:eastAsiaTheme="majorEastAsia"/>
                <w:sz w:val="24"/>
              </w:rPr>
            </w:pPr>
          </w:p>
        </w:tc>
        <w:tc>
          <w:tcPr>
            <w:tcW w:w="924" w:type="dxa"/>
            <w:tcBorders>
              <w:top w:val="double" w:color="auto" w:sz="4" w:space="0"/>
              <w:right w:val="single" w:color="auto" w:sz="4" w:space="0"/>
            </w:tcBorders>
            <w:vAlign w:val="center"/>
          </w:tcPr>
          <w:p w14:paraId="0DDC50A5">
            <w:pPr>
              <w:spacing w:line="400" w:lineRule="exact"/>
              <w:jc w:val="center"/>
              <w:rPr>
                <w:rFonts w:asciiTheme="majorEastAsia" w:hAnsiTheme="majorEastAsia" w:eastAsiaTheme="majorEastAsia"/>
                <w:sz w:val="24"/>
              </w:rPr>
            </w:pPr>
          </w:p>
        </w:tc>
        <w:tc>
          <w:tcPr>
            <w:tcW w:w="709" w:type="dxa"/>
            <w:tcBorders>
              <w:top w:val="double" w:color="auto" w:sz="4" w:space="0"/>
              <w:left w:val="single" w:color="auto" w:sz="4" w:space="0"/>
              <w:right w:val="single" w:color="auto" w:sz="6" w:space="0"/>
            </w:tcBorders>
            <w:vAlign w:val="center"/>
          </w:tcPr>
          <w:p w14:paraId="22F2FBCD">
            <w:pPr>
              <w:spacing w:line="400" w:lineRule="exact"/>
              <w:jc w:val="center"/>
              <w:rPr>
                <w:rFonts w:asciiTheme="majorEastAsia" w:hAnsiTheme="majorEastAsia" w:eastAsiaTheme="majorEastAsia"/>
                <w:sz w:val="24"/>
              </w:rPr>
            </w:pPr>
          </w:p>
        </w:tc>
        <w:tc>
          <w:tcPr>
            <w:tcW w:w="1283" w:type="dxa"/>
            <w:tcBorders>
              <w:top w:val="double" w:color="auto" w:sz="4" w:space="0"/>
              <w:left w:val="single" w:color="auto" w:sz="6" w:space="0"/>
            </w:tcBorders>
            <w:vAlign w:val="center"/>
          </w:tcPr>
          <w:p w14:paraId="166FB3BF">
            <w:pPr>
              <w:snapToGrid w:val="0"/>
              <w:jc w:val="center"/>
              <w:rPr>
                <w:rFonts w:asciiTheme="majorEastAsia" w:hAnsiTheme="majorEastAsia" w:eastAsiaTheme="majorEastAsia"/>
                <w:b/>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76C364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72" w:type="dxa"/>
            <w:vAlign w:val="center"/>
          </w:tcPr>
          <w:p w14:paraId="7B625C0E">
            <w:pPr>
              <w:pStyle w:val="84"/>
              <w:numPr>
                <w:ilvl w:val="0"/>
                <w:numId w:val="94"/>
              </w:numPr>
              <w:spacing w:line="400" w:lineRule="exact"/>
              <w:ind w:firstLineChars="0"/>
              <w:jc w:val="center"/>
              <w:rPr>
                <w:rFonts w:asciiTheme="majorEastAsia" w:hAnsiTheme="majorEastAsia" w:eastAsiaTheme="majorEastAsia"/>
                <w:sz w:val="24"/>
              </w:rPr>
            </w:pPr>
          </w:p>
        </w:tc>
        <w:tc>
          <w:tcPr>
            <w:tcW w:w="1034" w:type="dxa"/>
            <w:vAlign w:val="center"/>
          </w:tcPr>
          <w:p w14:paraId="5262256E">
            <w:pPr>
              <w:spacing w:line="400" w:lineRule="exact"/>
              <w:jc w:val="center"/>
              <w:rPr>
                <w:rFonts w:asciiTheme="majorEastAsia" w:hAnsiTheme="majorEastAsia" w:eastAsiaTheme="majorEastAsia"/>
                <w:sz w:val="24"/>
              </w:rPr>
            </w:pPr>
          </w:p>
        </w:tc>
        <w:tc>
          <w:tcPr>
            <w:tcW w:w="662" w:type="dxa"/>
            <w:vAlign w:val="center"/>
          </w:tcPr>
          <w:p w14:paraId="4506A0D1">
            <w:pPr>
              <w:spacing w:line="400" w:lineRule="exact"/>
              <w:jc w:val="center"/>
              <w:rPr>
                <w:rFonts w:asciiTheme="majorEastAsia" w:hAnsiTheme="majorEastAsia" w:eastAsiaTheme="majorEastAsia"/>
                <w:sz w:val="24"/>
              </w:rPr>
            </w:pPr>
          </w:p>
        </w:tc>
        <w:tc>
          <w:tcPr>
            <w:tcW w:w="658" w:type="dxa"/>
            <w:vAlign w:val="center"/>
          </w:tcPr>
          <w:p w14:paraId="3037C831">
            <w:pPr>
              <w:spacing w:line="400" w:lineRule="exact"/>
              <w:jc w:val="center"/>
              <w:rPr>
                <w:rFonts w:asciiTheme="majorEastAsia" w:hAnsiTheme="majorEastAsia" w:eastAsiaTheme="majorEastAsia"/>
                <w:sz w:val="24"/>
              </w:rPr>
            </w:pPr>
          </w:p>
        </w:tc>
        <w:tc>
          <w:tcPr>
            <w:tcW w:w="822" w:type="dxa"/>
            <w:vAlign w:val="center"/>
          </w:tcPr>
          <w:p w14:paraId="2A6476CE">
            <w:pPr>
              <w:spacing w:line="400" w:lineRule="exact"/>
              <w:jc w:val="center"/>
              <w:rPr>
                <w:rFonts w:asciiTheme="majorEastAsia" w:hAnsiTheme="majorEastAsia" w:eastAsiaTheme="majorEastAsia"/>
                <w:sz w:val="24"/>
              </w:rPr>
            </w:pPr>
          </w:p>
        </w:tc>
        <w:tc>
          <w:tcPr>
            <w:tcW w:w="1051" w:type="dxa"/>
            <w:vAlign w:val="center"/>
          </w:tcPr>
          <w:p w14:paraId="18C1B767">
            <w:pPr>
              <w:spacing w:line="400" w:lineRule="exact"/>
              <w:jc w:val="center"/>
              <w:rPr>
                <w:rFonts w:asciiTheme="majorEastAsia" w:hAnsiTheme="majorEastAsia" w:eastAsiaTheme="majorEastAsia"/>
                <w:sz w:val="24"/>
              </w:rPr>
            </w:pPr>
          </w:p>
        </w:tc>
        <w:tc>
          <w:tcPr>
            <w:tcW w:w="731" w:type="dxa"/>
            <w:vAlign w:val="center"/>
          </w:tcPr>
          <w:p w14:paraId="6A86E894">
            <w:pPr>
              <w:spacing w:line="400" w:lineRule="exact"/>
              <w:jc w:val="center"/>
              <w:rPr>
                <w:rFonts w:asciiTheme="majorEastAsia" w:hAnsiTheme="majorEastAsia" w:eastAsiaTheme="majorEastAsia"/>
                <w:sz w:val="24"/>
              </w:rPr>
            </w:pPr>
          </w:p>
        </w:tc>
        <w:tc>
          <w:tcPr>
            <w:tcW w:w="579" w:type="dxa"/>
            <w:vAlign w:val="center"/>
          </w:tcPr>
          <w:p w14:paraId="0BDE5EE4">
            <w:pPr>
              <w:spacing w:line="400" w:lineRule="exact"/>
              <w:jc w:val="center"/>
              <w:rPr>
                <w:rFonts w:asciiTheme="majorEastAsia" w:hAnsiTheme="majorEastAsia" w:eastAsiaTheme="majorEastAsia"/>
                <w:sz w:val="24"/>
              </w:rPr>
            </w:pPr>
          </w:p>
        </w:tc>
        <w:tc>
          <w:tcPr>
            <w:tcW w:w="924" w:type="dxa"/>
            <w:tcBorders>
              <w:right w:val="single" w:color="auto" w:sz="4" w:space="0"/>
            </w:tcBorders>
            <w:vAlign w:val="center"/>
          </w:tcPr>
          <w:p w14:paraId="11B536BE">
            <w:pPr>
              <w:spacing w:line="400" w:lineRule="exact"/>
              <w:jc w:val="center"/>
              <w:rPr>
                <w:rFonts w:asciiTheme="majorEastAsia" w:hAnsiTheme="majorEastAsia" w:eastAsiaTheme="majorEastAsia"/>
                <w:sz w:val="24"/>
              </w:rPr>
            </w:pPr>
          </w:p>
        </w:tc>
        <w:tc>
          <w:tcPr>
            <w:tcW w:w="709" w:type="dxa"/>
            <w:tcBorders>
              <w:left w:val="single" w:color="auto" w:sz="4" w:space="0"/>
              <w:right w:val="single" w:color="auto" w:sz="6" w:space="0"/>
            </w:tcBorders>
            <w:vAlign w:val="center"/>
          </w:tcPr>
          <w:p w14:paraId="373C69E1">
            <w:pPr>
              <w:spacing w:line="400" w:lineRule="exact"/>
              <w:jc w:val="center"/>
              <w:rPr>
                <w:rFonts w:asciiTheme="majorEastAsia" w:hAnsiTheme="majorEastAsia" w:eastAsiaTheme="majorEastAsia"/>
                <w:sz w:val="24"/>
              </w:rPr>
            </w:pPr>
          </w:p>
        </w:tc>
        <w:tc>
          <w:tcPr>
            <w:tcW w:w="1283" w:type="dxa"/>
            <w:tcBorders>
              <w:left w:val="single" w:color="auto" w:sz="6" w:space="0"/>
            </w:tcBorders>
            <w:vAlign w:val="center"/>
          </w:tcPr>
          <w:p w14:paraId="4D2DF012">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7FDEFB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72" w:type="dxa"/>
            <w:vAlign w:val="center"/>
          </w:tcPr>
          <w:p w14:paraId="1A041D81">
            <w:pPr>
              <w:pStyle w:val="84"/>
              <w:numPr>
                <w:ilvl w:val="0"/>
                <w:numId w:val="94"/>
              </w:numPr>
              <w:spacing w:line="400" w:lineRule="exact"/>
              <w:ind w:firstLineChars="0"/>
              <w:jc w:val="center"/>
              <w:rPr>
                <w:rFonts w:asciiTheme="majorEastAsia" w:hAnsiTheme="majorEastAsia" w:eastAsiaTheme="majorEastAsia"/>
                <w:sz w:val="24"/>
              </w:rPr>
            </w:pPr>
          </w:p>
        </w:tc>
        <w:tc>
          <w:tcPr>
            <w:tcW w:w="1034" w:type="dxa"/>
            <w:vAlign w:val="center"/>
          </w:tcPr>
          <w:p w14:paraId="0344EDED">
            <w:pPr>
              <w:spacing w:line="400" w:lineRule="exact"/>
              <w:jc w:val="center"/>
              <w:rPr>
                <w:rFonts w:asciiTheme="majorEastAsia" w:hAnsiTheme="majorEastAsia" w:eastAsiaTheme="majorEastAsia"/>
                <w:sz w:val="24"/>
              </w:rPr>
            </w:pPr>
          </w:p>
        </w:tc>
        <w:tc>
          <w:tcPr>
            <w:tcW w:w="662" w:type="dxa"/>
            <w:vAlign w:val="center"/>
          </w:tcPr>
          <w:p w14:paraId="46DE350B">
            <w:pPr>
              <w:spacing w:line="400" w:lineRule="exact"/>
              <w:jc w:val="center"/>
              <w:rPr>
                <w:rFonts w:asciiTheme="majorEastAsia" w:hAnsiTheme="majorEastAsia" w:eastAsiaTheme="majorEastAsia"/>
                <w:sz w:val="24"/>
              </w:rPr>
            </w:pPr>
          </w:p>
        </w:tc>
        <w:tc>
          <w:tcPr>
            <w:tcW w:w="658" w:type="dxa"/>
            <w:vAlign w:val="center"/>
          </w:tcPr>
          <w:p w14:paraId="35B90F11">
            <w:pPr>
              <w:spacing w:line="400" w:lineRule="exact"/>
              <w:jc w:val="center"/>
              <w:rPr>
                <w:rFonts w:asciiTheme="majorEastAsia" w:hAnsiTheme="majorEastAsia" w:eastAsiaTheme="majorEastAsia"/>
                <w:sz w:val="24"/>
              </w:rPr>
            </w:pPr>
          </w:p>
        </w:tc>
        <w:tc>
          <w:tcPr>
            <w:tcW w:w="822" w:type="dxa"/>
            <w:vAlign w:val="center"/>
          </w:tcPr>
          <w:p w14:paraId="65C3A586">
            <w:pPr>
              <w:spacing w:line="400" w:lineRule="exact"/>
              <w:jc w:val="center"/>
              <w:rPr>
                <w:rFonts w:asciiTheme="majorEastAsia" w:hAnsiTheme="majorEastAsia" w:eastAsiaTheme="majorEastAsia"/>
                <w:sz w:val="24"/>
              </w:rPr>
            </w:pPr>
          </w:p>
        </w:tc>
        <w:tc>
          <w:tcPr>
            <w:tcW w:w="1051" w:type="dxa"/>
            <w:vAlign w:val="center"/>
          </w:tcPr>
          <w:p w14:paraId="5A5FF986">
            <w:pPr>
              <w:spacing w:line="400" w:lineRule="exact"/>
              <w:jc w:val="center"/>
              <w:rPr>
                <w:rFonts w:asciiTheme="majorEastAsia" w:hAnsiTheme="majorEastAsia" w:eastAsiaTheme="majorEastAsia"/>
                <w:sz w:val="24"/>
              </w:rPr>
            </w:pPr>
          </w:p>
        </w:tc>
        <w:tc>
          <w:tcPr>
            <w:tcW w:w="731" w:type="dxa"/>
            <w:vAlign w:val="center"/>
          </w:tcPr>
          <w:p w14:paraId="27202A01">
            <w:pPr>
              <w:spacing w:line="400" w:lineRule="exact"/>
              <w:jc w:val="center"/>
              <w:rPr>
                <w:rFonts w:asciiTheme="majorEastAsia" w:hAnsiTheme="majorEastAsia" w:eastAsiaTheme="majorEastAsia"/>
                <w:sz w:val="24"/>
              </w:rPr>
            </w:pPr>
          </w:p>
        </w:tc>
        <w:tc>
          <w:tcPr>
            <w:tcW w:w="579" w:type="dxa"/>
            <w:vAlign w:val="center"/>
          </w:tcPr>
          <w:p w14:paraId="35D6BE00">
            <w:pPr>
              <w:spacing w:line="400" w:lineRule="exact"/>
              <w:jc w:val="center"/>
              <w:rPr>
                <w:rFonts w:asciiTheme="majorEastAsia" w:hAnsiTheme="majorEastAsia" w:eastAsiaTheme="majorEastAsia"/>
                <w:sz w:val="24"/>
              </w:rPr>
            </w:pPr>
          </w:p>
        </w:tc>
        <w:tc>
          <w:tcPr>
            <w:tcW w:w="924" w:type="dxa"/>
            <w:tcBorders>
              <w:right w:val="single" w:color="auto" w:sz="4" w:space="0"/>
            </w:tcBorders>
            <w:vAlign w:val="center"/>
          </w:tcPr>
          <w:p w14:paraId="7F43629F">
            <w:pPr>
              <w:spacing w:line="400" w:lineRule="exact"/>
              <w:jc w:val="center"/>
              <w:rPr>
                <w:rFonts w:asciiTheme="majorEastAsia" w:hAnsiTheme="majorEastAsia" w:eastAsiaTheme="majorEastAsia"/>
                <w:sz w:val="24"/>
              </w:rPr>
            </w:pPr>
          </w:p>
        </w:tc>
        <w:tc>
          <w:tcPr>
            <w:tcW w:w="709" w:type="dxa"/>
            <w:tcBorders>
              <w:left w:val="single" w:color="auto" w:sz="4" w:space="0"/>
              <w:right w:val="single" w:color="auto" w:sz="6" w:space="0"/>
            </w:tcBorders>
            <w:vAlign w:val="center"/>
          </w:tcPr>
          <w:p w14:paraId="6961B2ED">
            <w:pPr>
              <w:spacing w:line="400" w:lineRule="exact"/>
              <w:jc w:val="center"/>
              <w:rPr>
                <w:rFonts w:asciiTheme="majorEastAsia" w:hAnsiTheme="majorEastAsia" w:eastAsiaTheme="majorEastAsia"/>
                <w:sz w:val="24"/>
              </w:rPr>
            </w:pPr>
          </w:p>
        </w:tc>
        <w:tc>
          <w:tcPr>
            <w:tcW w:w="1283" w:type="dxa"/>
            <w:tcBorders>
              <w:left w:val="single" w:color="auto" w:sz="6" w:space="0"/>
            </w:tcBorders>
            <w:vAlign w:val="center"/>
          </w:tcPr>
          <w:p w14:paraId="6FD4A795">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39BBCD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72" w:type="dxa"/>
            <w:vAlign w:val="center"/>
          </w:tcPr>
          <w:p w14:paraId="156D7113">
            <w:pPr>
              <w:pStyle w:val="84"/>
              <w:numPr>
                <w:ilvl w:val="0"/>
                <w:numId w:val="94"/>
              </w:numPr>
              <w:spacing w:line="400" w:lineRule="exact"/>
              <w:ind w:firstLineChars="0"/>
              <w:jc w:val="center"/>
              <w:rPr>
                <w:rFonts w:asciiTheme="majorEastAsia" w:hAnsiTheme="majorEastAsia" w:eastAsiaTheme="majorEastAsia"/>
                <w:sz w:val="24"/>
              </w:rPr>
            </w:pPr>
          </w:p>
        </w:tc>
        <w:tc>
          <w:tcPr>
            <w:tcW w:w="1034" w:type="dxa"/>
            <w:vAlign w:val="center"/>
          </w:tcPr>
          <w:p w14:paraId="452F73B2">
            <w:pPr>
              <w:spacing w:line="400" w:lineRule="exact"/>
              <w:jc w:val="center"/>
              <w:rPr>
                <w:rFonts w:asciiTheme="majorEastAsia" w:hAnsiTheme="majorEastAsia" w:eastAsiaTheme="majorEastAsia"/>
                <w:sz w:val="24"/>
              </w:rPr>
            </w:pPr>
          </w:p>
        </w:tc>
        <w:tc>
          <w:tcPr>
            <w:tcW w:w="662" w:type="dxa"/>
            <w:vAlign w:val="center"/>
          </w:tcPr>
          <w:p w14:paraId="7933136D">
            <w:pPr>
              <w:spacing w:line="400" w:lineRule="exact"/>
              <w:jc w:val="center"/>
              <w:rPr>
                <w:rFonts w:asciiTheme="majorEastAsia" w:hAnsiTheme="majorEastAsia" w:eastAsiaTheme="majorEastAsia"/>
                <w:sz w:val="24"/>
              </w:rPr>
            </w:pPr>
          </w:p>
        </w:tc>
        <w:tc>
          <w:tcPr>
            <w:tcW w:w="658" w:type="dxa"/>
            <w:vAlign w:val="center"/>
          </w:tcPr>
          <w:p w14:paraId="7271308B">
            <w:pPr>
              <w:spacing w:line="400" w:lineRule="exact"/>
              <w:jc w:val="center"/>
              <w:rPr>
                <w:rFonts w:asciiTheme="majorEastAsia" w:hAnsiTheme="majorEastAsia" w:eastAsiaTheme="majorEastAsia"/>
                <w:sz w:val="24"/>
              </w:rPr>
            </w:pPr>
          </w:p>
        </w:tc>
        <w:tc>
          <w:tcPr>
            <w:tcW w:w="822" w:type="dxa"/>
            <w:vAlign w:val="center"/>
          </w:tcPr>
          <w:p w14:paraId="53CABF1F">
            <w:pPr>
              <w:spacing w:line="400" w:lineRule="exact"/>
              <w:jc w:val="center"/>
              <w:rPr>
                <w:rFonts w:asciiTheme="majorEastAsia" w:hAnsiTheme="majorEastAsia" w:eastAsiaTheme="majorEastAsia"/>
                <w:sz w:val="24"/>
              </w:rPr>
            </w:pPr>
          </w:p>
        </w:tc>
        <w:tc>
          <w:tcPr>
            <w:tcW w:w="1051" w:type="dxa"/>
            <w:vAlign w:val="center"/>
          </w:tcPr>
          <w:p w14:paraId="53CDDE5C">
            <w:pPr>
              <w:spacing w:line="400" w:lineRule="exact"/>
              <w:jc w:val="center"/>
              <w:rPr>
                <w:rFonts w:asciiTheme="majorEastAsia" w:hAnsiTheme="majorEastAsia" w:eastAsiaTheme="majorEastAsia"/>
                <w:sz w:val="24"/>
              </w:rPr>
            </w:pPr>
          </w:p>
        </w:tc>
        <w:tc>
          <w:tcPr>
            <w:tcW w:w="731" w:type="dxa"/>
            <w:vAlign w:val="center"/>
          </w:tcPr>
          <w:p w14:paraId="778667A5">
            <w:pPr>
              <w:spacing w:line="400" w:lineRule="exact"/>
              <w:jc w:val="center"/>
              <w:rPr>
                <w:rFonts w:asciiTheme="majorEastAsia" w:hAnsiTheme="majorEastAsia" w:eastAsiaTheme="majorEastAsia"/>
                <w:sz w:val="24"/>
              </w:rPr>
            </w:pPr>
          </w:p>
        </w:tc>
        <w:tc>
          <w:tcPr>
            <w:tcW w:w="579" w:type="dxa"/>
            <w:vAlign w:val="center"/>
          </w:tcPr>
          <w:p w14:paraId="71615B6F">
            <w:pPr>
              <w:spacing w:line="400" w:lineRule="exact"/>
              <w:jc w:val="center"/>
              <w:rPr>
                <w:rFonts w:asciiTheme="majorEastAsia" w:hAnsiTheme="majorEastAsia" w:eastAsiaTheme="majorEastAsia"/>
                <w:sz w:val="24"/>
              </w:rPr>
            </w:pPr>
          </w:p>
        </w:tc>
        <w:tc>
          <w:tcPr>
            <w:tcW w:w="924" w:type="dxa"/>
            <w:tcBorders>
              <w:right w:val="single" w:color="auto" w:sz="4" w:space="0"/>
            </w:tcBorders>
            <w:vAlign w:val="center"/>
          </w:tcPr>
          <w:p w14:paraId="206BE8A2">
            <w:pPr>
              <w:spacing w:line="400" w:lineRule="exact"/>
              <w:jc w:val="center"/>
              <w:rPr>
                <w:rFonts w:asciiTheme="majorEastAsia" w:hAnsiTheme="majorEastAsia" w:eastAsiaTheme="majorEastAsia"/>
                <w:sz w:val="24"/>
              </w:rPr>
            </w:pPr>
          </w:p>
        </w:tc>
        <w:tc>
          <w:tcPr>
            <w:tcW w:w="709" w:type="dxa"/>
            <w:tcBorders>
              <w:left w:val="single" w:color="auto" w:sz="4" w:space="0"/>
              <w:right w:val="single" w:color="auto" w:sz="6" w:space="0"/>
            </w:tcBorders>
            <w:vAlign w:val="center"/>
          </w:tcPr>
          <w:p w14:paraId="1EF03383">
            <w:pPr>
              <w:spacing w:line="400" w:lineRule="exact"/>
              <w:jc w:val="center"/>
              <w:rPr>
                <w:rFonts w:asciiTheme="majorEastAsia" w:hAnsiTheme="majorEastAsia" w:eastAsiaTheme="majorEastAsia"/>
                <w:sz w:val="24"/>
              </w:rPr>
            </w:pPr>
          </w:p>
        </w:tc>
        <w:tc>
          <w:tcPr>
            <w:tcW w:w="1283" w:type="dxa"/>
            <w:tcBorders>
              <w:left w:val="single" w:color="auto" w:sz="6" w:space="0"/>
            </w:tcBorders>
            <w:vAlign w:val="center"/>
          </w:tcPr>
          <w:p w14:paraId="381A30C3">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r w14:paraId="414EF3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72" w:type="dxa"/>
            <w:vAlign w:val="center"/>
          </w:tcPr>
          <w:p w14:paraId="457AFBE9">
            <w:pPr>
              <w:pStyle w:val="84"/>
              <w:numPr>
                <w:ilvl w:val="0"/>
                <w:numId w:val="94"/>
              </w:numPr>
              <w:spacing w:line="400" w:lineRule="exact"/>
              <w:ind w:firstLineChars="0"/>
              <w:jc w:val="center"/>
              <w:rPr>
                <w:rFonts w:asciiTheme="majorEastAsia" w:hAnsiTheme="majorEastAsia" w:eastAsiaTheme="majorEastAsia"/>
                <w:sz w:val="24"/>
              </w:rPr>
            </w:pPr>
          </w:p>
        </w:tc>
        <w:tc>
          <w:tcPr>
            <w:tcW w:w="1034" w:type="dxa"/>
            <w:vAlign w:val="center"/>
          </w:tcPr>
          <w:p w14:paraId="6B8179E8">
            <w:pPr>
              <w:spacing w:line="400" w:lineRule="exact"/>
              <w:jc w:val="center"/>
              <w:rPr>
                <w:rFonts w:asciiTheme="majorEastAsia" w:hAnsiTheme="majorEastAsia" w:eastAsiaTheme="majorEastAsia"/>
                <w:sz w:val="24"/>
              </w:rPr>
            </w:pPr>
          </w:p>
        </w:tc>
        <w:tc>
          <w:tcPr>
            <w:tcW w:w="662" w:type="dxa"/>
            <w:vAlign w:val="center"/>
          </w:tcPr>
          <w:p w14:paraId="0116F006">
            <w:pPr>
              <w:spacing w:line="400" w:lineRule="exact"/>
              <w:jc w:val="center"/>
              <w:rPr>
                <w:rFonts w:asciiTheme="majorEastAsia" w:hAnsiTheme="majorEastAsia" w:eastAsiaTheme="majorEastAsia"/>
                <w:sz w:val="24"/>
              </w:rPr>
            </w:pPr>
          </w:p>
        </w:tc>
        <w:tc>
          <w:tcPr>
            <w:tcW w:w="658" w:type="dxa"/>
            <w:vAlign w:val="center"/>
          </w:tcPr>
          <w:p w14:paraId="7669893C">
            <w:pPr>
              <w:spacing w:line="400" w:lineRule="exact"/>
              <w:jc w:val="center"/>
              <w:rPr>
                <w:rFonts w:asciiTheme="majorEastAsia" w:hAnsiTheme="majorEastAsia" w:eastAsiaTheme="majorEastAsia"/>
                <w:sz w:val="24"/>
              </w:rPr>
            </w:pPr>
          </w:p>
        </w:tc>
        <w:tc>
          <w:tcPr>
            <w:tcW w:w="822" w:type="dxa"/>
            <w:vAlign w:val="center"/>
          </w:tcPr>
          <w:p w14:paraId="7C512922">
            <w:pPr>
              <w:spacing w:line="400" w:lineRule="exact"/>
              <w:jc w:val="center"/>
              <w:rPr>
                <w:rFonts w:asciiTheme="majorEastAsia" w:hAnsiTheme="majorEastAsia" w:eastAsiaTheme="majorEastAsia"/>
                <w:sz w:val="24"/>
              </w:rPr>
            </w:pPr>
          </w:p>
        </w:tc>
        <w:tc>
          <w:tcPr>
            <w:tcW w:w="1051" w:type="dxa"/>
            <w:vAlign w:val="center"/>
          </w:tcPr>
          <w:p w14:paraId="43CAE2F6">
            <w:pPr>
              <w:spacing w:line="400" w:lineRule="exact"/>
              <w:jc w:val="center"/>
              <w:rPr>
                <w:rFonts w:asciiTheme="majorEastAsia" w:hAnsiTheme="majorEastAsia" w:eastAsiaTheme="majorEastAsia"/>
                <w:sz w:val="24"/>
              </w:rPr>
            </w:pPr>
          </w:p>
        </w:tc>
        <w:tc>
          <w:tcPr>
            <w:tcW w:w="731" w:type="dxa"/>
            <w:vAlign w:val="center"/>
          </w:tcPr>
          <w:p w14:paraId="47E1FDE6">
            <w:pPr>
              <w:spacing w:line="400" w:lineRule="exact"/>
              <w:jc w:val="center"/>
              <w:rPr>
                <w:rFonts w:asciiTheme="majorEastAsia" w:hAnsiTheme="majorEastAsia" w:eastAsiaTheme="majorEastAsia"/>
                <w:sz w:val="24"/>
              </w:rPr>
            </w:pPr>
          </w:p>
        </w:tc>
        <w:tc>
          <w:tcPr>
            <w:tcW w:w="579" w:type="dxa"/>
            <w:vAlign w:val="center"/>
          </w:tcPr>
          <w:p w14:paraId="50421271">
            <w:pPr>
              <w:spacing w:line="400" w:lineRule="exact"/>
              <w:jc w:val="center"/>
              <w:rPr>
                <w:rFonts w:asciiTheme="majorEastAsia" w:hAnsiTheme="majorEastAsia" w:eastAsiaTheme="majorEastAsia"/>
                <w:sz w:val="24"/>
              </w:rPr>
            </w:pPr>
          </w:p>
        </w:tc>
        <w:tc>
          <w:tcPr>
            <w:tcW w:w="924" w:type="dxa"/>
            <w:tcBorders>
              <w:right w:val="single" w:color="auto" w:sz="4" w:space="0"/>
            </w:tcBorders>
            <w:vAlign w:val="center"/>
          </w:tcPr>
          <w:p w14:paraId="69E287EE">
            <w:pPr>
              <w:spacing w:line="400" w:lineRule="exact"/>
              <w:jc w:val="center"/>
              <w:rPr>
                <w:rFonts w:asciiTheme="majorEastAsia" w:hAnsiTheme="majorEastAsia" w:eastAsiaTheme="majorEastAsia"/>
                <w:sz w:val="24"/>
              </w:rPr>
            </w:pPr>
          </w:p>
        </w:tc>
        <w:tc>
          <w:tcPr>
            <w:tcW w:w="709" w:type="dxa"/>
            <w:tcBorders>
              <w:left w:val="single" w:color="auto" w:sz="4" w:space="0"/>
              <w:right w:val="single" w:color="auto" w:sz="6" w:space="0"/>
            </w:tcBorders>
            <w:vAlign w:val="center"/>
          </w:tcPr>
          <w:p w14:paraId="7FF819A8">
            <w:pPr>
              <w:spacing w:line="400" w:lineRule="exact"/>
              <w:jc w:val="center"/>
              <w:rPr>
                <w:rFonts w:asciiTheme="majorEastAsia" w:hAnsiTheme="majorEastAsia" w:eastAsiaTheme="majorEastAsia"/>
                <w:sz w:val="24"/>
              </w:rPr>
            </w:pPr>
          </w:p>
        </w:tc>
        <w:tc>
          <w:tcPr>
            <w:tcW w:w="1283" w:type="dxa"/>
            <w:tcBorders>
              <w:left w:val="single" w:color="auto" w:sz="6" w:space="0"/>
            </w:tcBorders>
            <w:vAlign w:val="center"/>
          </w:tcPr>
          <w:p w14:paraId="72FA4E53">
            <w:pPr>
              <w:spacing w:line="400" w:lineRule="exact"/>
              <w:jc w:val="center"/>
              <w:rPr>
                <w:rFonts w:asciiTheme="majorEastAsia" w:hAnsiTheme="majorEastAsia" w:eastAsiaTheme="majorEastAsia"/>
                <w:sz w:val="24"/>
              </w:rPr>
            </w:pPr>
            <w:r>
              <w:rPr>
                <w:rFonts w:hint="eastAsia" w:cs="宋体" w:asciiTheme="majorEastAsia" w:hAnsiTheme="majorEastAsia" w:eastAsiaTheme="majorEastAsia"/>
                <w:sz w:val="24"/>
              </w:rPr>
              <w:t>第</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页</w:t>
            </w:r>
          </w:p>
        </w:tc>
      </w:tr>
    </w:tbl>
    <w:p w14:paraId="04F59757">
      <w:pPr>
        <w:spacing w:line="500" w:lineRule="exact"/>
        <w:rPr>
          <w:rFonts w:ascii="宋体" w:hAnsi="宋体"/>
          <w:bCs/>
          <w:sz w:val="24"/>
        </w:rPr>
      </w:pPr>
      <w:r>
        <w:rPr>
          <w:rFonts w:hint="eastAsia" w:ascii="宋体" w:hAnsi="宋体"/>
          <w:bCs/>
          <w:sz w:val="24"/>
        </w:rPr>
        <w:t>备注</w:t>
      </w:r>
      <w:r>
        <w:rPr>
          <w:rFonts w:hint="eastAsia"/>
          <w:bCs/>
          <w:sz w:val="24"/>
        </w:rPr>
        <w:t>：</w:t>
      </w:r>
      <w:r>
        <w:rPr>
          <w:rFonts w:hint="eastAsia" w:ascii="宋体" w:hAnsi="宋体"/>
          <w:sz w:val="24"/>
        </w:rPr>
        <w:t>根据评分表的要求提交相应资料</w:t>
      </w:r>
      <w:r>
        <w:rPr>
          <w:rFonts w:hint="eastAsia" w:ascii="宋体" w:hAnsi="宋体"/>
          <w:bCs/>
          <w:sz w:val="24"/>
        </w:rPr>
        <w:t>。</w:t>
      </w:r>
    </w:p>
    <w:p w14:paraId="5149FF0B">
      <w:pPr>
        <w:spacing w:line="500" w:lineRule="exact"/>
        <w:rPr>
          <w:spacing w:val="4"/>
          <w:sz w:val="24"/>
          <w:u w:val="single"/>
        </w:rPr>
      </w:pPr>
      <w:bookmarkStart w:id="153" w:name="_Toc435515313"/>
      <w:bookmarkStart w:id="154" w:name="_Toc435514873"/>
      <w:r>
        <w:rPr>
          <w:rFonts w:hint="eastAsia"/>
          <w:spacing w:val="4"/>
          <w:sz w:val="24"/>
        </w:rPr>
        <w:t>投标人名称（</w:t>
      </w:r>
      <w:r>
        <w:rPr>
          <w:rFonts w:hint="eastAsia" w:ascii="宋体" w:hAnsi="宋体"/>
          <w:sz w:val="24"/>
        </w:rPr>
        <w:t>单位盖</w:t>
      </w:r>
      <w:r>
        <w:rPr>
          <w:rFonts w:hint="eastAsia"/>
          <w:spacing w:val="4"/>
          <w:sz w:val="24"/>
        </w:rPr>
        <w:t>公章）：                 日期：</w:t>
      </w:r>
    </w:p>
    <w:p w14:paraId="6D3C9818">
      <w:pPr>
        <w:tabs>
          <w:tab w:val="left" w:pos="142"/>
        </w:tabs>
        <w:autoSpaceDE w:val="0"/>
        <w:autoSpaceDN w:val="0"/>
        <w:spacing w:line="360" w:lineRule="auto"/>
        <w:ind w:left="-2" w:leftChars="-1" w:firstLine="2"/>
        <w:jc w:val="center"/>
        <w:outlineLvl w:val="3"/>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合同条款响应一览表</w:t>
      </w:r>
      <w:bookmarkEnd w:id="153"/>
      <w:bookmarkEnd w:id="154"/>
    </w:p>
    <w:p w14:paraId="4EBDF630">
      <w:pPr>
        <w:snapToGrid w:val="0"/>
        <w:spacing w:line="360" w:lineRule="auto"/>
        <w:ind w:left="1080" w:hanging="1080" w:hangingChars="450"/>
        <w:rPr>
          <w:rFonts w:ascii="宋体" w:hAnsi="宋体"/>
          <w:sz w:val="24"/>
        </w:rPr>
      </w:pPr>
      <w:r>
        <w:rPr>
          <w:rFonts w:hint="eastAsia" w:ascii="宋体" w:hAnsi="宋体"/>
          <w:sz w:val="24"/>
        </w:rPr>
        <w:t>说明：投标人应对招标文件的</w:t>
      </w:r>
      <w:r>
        <w:rPr>
          <w:rFonts w:hint="eastAsia"/>
          <w:sz w:val="24"/>
        </w:rPr>
        <w:t>合同</w:t>
      </w:r>
      <w:r>
        <w:rPr>
          <w:rFonts w:hint="eastAsia" w:ascii="宋体" w:hAnsi="宋体"/>
          <w:sz w:val="24"/>
        </w:rPr>
        <w:t>条款逐条应答并按要求填写下表。</w:t>
      </w:r>
    </w:p>
    <w:p w14:paraId="44AEBA57">
      <w:pPr>
        <w:widowControl/>
        <w:snapToGrid w:val="0"/>
        <w:spacing w:line="360" w:lineRule="auto"/>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83"/>
        <w:gridCol w:w="3422"/>
        <w:gridCol w:w="3191"/>
        <w:gridCol w:w="1891"/>
      </w:tblGrid>
      <w:tr w14:paraId="544248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9" w:hRule="atLeast"/>
          <w:jc w:val="center"/>
        </w:trPr>
        <w:tc>
          <w:tcPr>
            <w:tcW w:w="583" w:type="dxa"/>
            <w:shd w:val="clear" w:color="auto" w:fill="EEECE1"/>
            <w:vAlign w:val="center"/>
          </w:tcPr>
          <w:p w14:paraId="1D1BB2AE">
            <w:pPr>
              <w:spacing w:line="400" w:lineRule="exact"/>
              <w:ind w:left="-54" w:leftChars="-27" w:right="-64" w:rightChars="-32"/>
              <w:jc w:val="center"/>
              <w:rPr>
                <w:rFonts w:ascii="宋体" w:hAnsi="宋体"/>
                <w:sz w:val="24"/>
              </w:rPr>
            </w:pPr>
            <w:r>
              <w:rPr>
                <w:rFonts w:hint="eastAsia" w:ascii="宋体" w:hAnsi="宋体"/>
                <w:sz w:val="24"/>
              </w:rPr>
              <w:t>序号</w:t>
            </w:r>
          </w:p>
        </w:tc>
        <w:tc>
          <w:tcPr>
            <w:tcW w:w="3422" w:type="dxa"/>
            <w:shd w:val="clear" w:color="auto" w:fill="EEECE1"/>
            <w:vAlign w:val="center"/>
          </w:tcPr>
          <w:p w14:paraId="13981E75">
            <w:pPr>
              <w:jc w:val="center"/>
              <w:rPr>
                <w:rFonts w:ascii="宋体" w:hAnsi="宋体"/>
                <w:sz w:val="24"/>
              </w:rPr>
            </w:pPr>
            <w:r>
              <w:rPr>
                <w:rFonts w:hint="eastAsia" w:ascii="宋体" w:hAnsi="宋体"/>
                <w:sz w:val="24"/>
              </w:rPr>
              <w:t>招标文件中合同条款描述</w:t>
            </w:r>
          </w:p>
        </w:tc>
        <w:tc>
          <w:tcPr>
            <w:tcW w:w="3191" w:type="dxa"/>
            <w:shd w:val="clear" w:color="auto" w:fill="EEECE1"/>
            <w:vAlign w:val="center"/>
          </w:tcPr>
          <w:p w14:paraId="627DFFE2">
            <w:pPr>
              <w:jc w:val="center"/>
              <w:rPr>
                <w:rFonts w:ascii="宋体" w:hAnsi="宋体"/>
                <w:sz w:val="24"/>
              </w:rPr>
            </w:pPr>
            <w:r>
              <w:rPr>
                <w:rFonts w:hint="eastAsia" w:ascii="宋体" w:hAnsi="宋体"/>
                <w:sz w:val="24"/>
              </w:rPr>
              <w:t>投标人响应描述</w:t>
            </w:r>
          </w:p>
        </w:tc>
        <w:tc>
          <w:tcPr>
            <w:tcW w:w="1891" w:type="dxa"/>
            <w:shd w:val="clear" w:color="auto" w:fill="EEECE1"/>
            <w:vAlign w:val="center"/>
          </w:tcPr>
          <w:p w14:paraId="4D7C2F3F">
            <w:pPr>
              <w:jc w:val="center"/>
              <w:rPr>
                <w:rFonts w:ascii="宋体" w:hAnsi="宋体"/>
                <w:sz w:val="24"/>
              </w:rPr>
            </w:pPr>
            <w:r>
              <w:rPr>
                <w:rFonts w:hint="eastAsia" w:ascii="宋体" w:hAnsi="宋体"/>
                <w:sz w:val="24"/>
              </w:rPr>
              <w:t>偏离情况说明</w:t>
            </w:r>
          </w:p>
          <w:p w14:paraId="55CEAEBF">
            <w:pPr>
              <w:jc w:val="center"/>
              <w:rPr>
                <w:rFonts w:ascii="宋体" w:hAnsi="宋体"/>
                <w:sz w:val="24"/>
              </w:rPr>
            </w:pPr>
            <w:r>
              <w:rPr>
                <w:rFonts w:hint="eastAsia" w:ascii="宋体" w:hAnsi="宋体"/>
                <w:sz w:val="24"/>
              </w:rPr>
              <w:t>（正偏离/完全响应/负偏离）</w:t>
            </w:r>
          </w:p>
        </w:tc>
      </w:tr>
      <w:tr w14:paraId="3D90F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583" w:type="dxa"/>
            <w:vAlign w:val="center"/>
          </w:tcPr>
          <w:p w14:paraId="6CEECDAA">
            <w:pPr>
              <w:numPr>
                <w:ilvl w:val="0"/>
                <w:numId w:val="95"/>
              </w:numPr>
              <w:spacing w:line="400" w:lineRule="exact"/>
              <w:jc w:val="center"/>
              <w:rPr>
                <w:rFonts w:ascii="宋体" w:hAnsi="宋体"/>
                <w:sz w:val="24"/>
              </w:rPr>
            </w:pPr>
          </w:p>
        </w:tc>
        <w:tc>
          <w:tcPr>
            <w:tcW w:w="3422" w:type="dxa"/>
            <w:vAlign w:val="center"/>
          </w:tcPr>
          <w:p w14:paraId="56E44D25">
            <w:pPr>
              <w:pStyle w:val="20"/>
              <w:tabs>
                <w:tab w:val="left" w:pos="2340"/>
              </w:tabs>
              <w:rPr>
                <w:rFonts w:hAnsi="宋体"/>
                <w:sz w:val="24"/>
                <w:szCs w:val="24"/>
              </w:rPr>
            </w:pPr>
          </w:p>
        </w:tc>
        <w:tc>
          <w:tcPr>
            <w:tcW w:w="3191" w:type="dxa"/>
            <w:vAlign w:val="center"/>
          </w:tcPr>
          <w:p w14:paraId="48B25391">
            <w:pPr>
              <w:spacing w:line="400" w:lineRule="exact"/>
              <w:jc w:val="center"/>
              <w:rPr>
                <w:rFonts w:ascii="宋体" w:hAnsi="宋体"/>
                <w:sz w:val="24"/>
              </w:rPr>
            </w:pPr>
          </w:p>
        </w:tc>
        <w:tc>
          <w:tcPr>
            <w:tcW w:w="1891" w:type="dxa"/>
            <w:vAlign w:val="center"/>
          </w:tcPr>
          <w:p w14:paraId="66B86199">
            <w:pPr>
              <w:spacing w:line="400" w:lineRule="exact"/>
              <w:jc w:val="center"/>
              <w:rPr>
                <w:rFonts w:ascii="宋体" w:hAnsi="宋体"/>
                <w:sz w:val="24"/>
              </w:rPr>
            </w:pPr>
          </w:p>
        </w:tc>
      </w:tr>
      <w:tr w14:paraId="36CA2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583" w:type="dxa"/>
            <w:vAlign w:val="center"/>
          </w:tcPr>
          <w:p w14:paraId="681F1A48">
            <w:pPr>
              <w:numPr>
                <w:ilvl w:val="0"/>
                <w:numId w:val="95"/>
              </w:numPr>
              <w:spacing w:line="400" w:lineRule="exact"/>
              <w:jc w:val="center"/>
              <w:rPr>
                <w:rFonts w:ascii="宋体" w:hAnsi="宋体"/>
                <w:sz w:val="24"/>
              </w:rPr>
            </w:pPr>
          </w:p>
        </w:tc>
        <w:tc>
          <w:tcPr>
            <w:tcW w:w="3422" w:type="dxa"/>
            <w:vAlign w:val="center"/>
          </w:tcPr>
          <w:p w14:paraId="6D68FF64">
            <w:pPr>
              <w:rPr>
                <w:rFonts w:ascii="宋体" w:hAnsi="宋体"/>
                <w:snapToGrid w:val="0"/>
                <w:sz w:val="24"/>
              </w:rPr>
            </w:pPr>
          </w:p>
        </w:tc>
        <w:tc>
          <w:tcPr>
            <w:tcW w:w="3191" w:type="dxa"/>
            <w:vAlign w:val="center"/>
          </w:tcPr>
          <w:p w14:paraId="67C3CFC7">
            <w:pPr>
              <w:spacing w:line="400" w:lineRule="exact"/>
              <w:jc w:val="center"/>
              <w:rPr>
                <w:rFonts w:ascii="宋体" w:hAnsi="宋体"/>
                <w:sz w:val="24"/>
              </w:rPr>
            </w:pPr>
          </w:p>
        </w:tc>
        <w:tc>
          <w:tcPr>
            <w:tcW w:w="1891" w:type="dxa"/>
            <w:vAlign w:val="center"/>
          </w:tcPr>
          <w:p w14:paraId="1F60F503">
            <w:pPr>
              <w:spacing w:line="400" w:lineRule="exact"/>
              <w:jc w:val="center"/>
              <w:rPr>
                <w:rFonts w:ascii="宋体" w:hAnsi="宋体"/>
                <w:sz w:val="24"/>
              </w:rPr>
            </w:pPr>
          </w:p>
        </w:tc>
      </w:tr>
      <w:tr w14:paraId="6179B3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jc w:val="center"/>
        </w:trPr>
        <w:tc>
          <w:tcPr>
            <w:tcW w:w="583" w:type="dxa"/>
            <w:vAlign w:val="center"/>
          </w:tcPr>
          <w:p w14:paraId="7B25AA6E">
            <w:pPr>
              <w:numPr>
                <w:ilvl w:val="0"/>
                <w:numId w:val="95"/>
              </w:numPr>
              <w:spacing w:line="400" w:lineRule="exact"/>
              <w:jc w:val="center"/>
              <w:rPr>
                <w:rFonts w:ascii="宋体" w:hAnsi="宋体"/>
                <w:sz w:val="24"/>
              </w:rPr>
            </w:pPr>
          </w:p>
        </w:tc>
        <w:tc>
          <w:tcPr>
            <w:tcW w:w="3422" w:type="dxa"/>
            <w:vAlign w:val="center"/>
          </w:tcPr>
          <w:p w14:paraId="0315B1FF">
            <w:pPr>
              <w:rPr>
                <w:rFonts w:ascii="宋体" w:hAnsi="宋体"/>
                <w:snapToGrid w:val="0"/>
                <w:sz w:val="24"/>
              </w:rPr>
            </w:pPr>
          </w:p>
        </w:tc>
        <w:tc>
          <w:tcPr>
            <w:tcW w:w="3191" w:type="dxa"/>
            <w:vAlign w:val="center"/>
          </w:tcPr>
          <w:p w14:paraId="2CF2FCEA">
            <w:pPr>
              <w:spacing w:line="400" w:lineRule="exact"/>
              <w:jc w:val="center"/>
              <w:rPr>
                <w:rFonts w:ascii="宋体" w:hAnsi="宋体"/>
                <w:sz w:val="24"/>
              </w:rPr>
            </w:pPr>
          </w:p>
        </w:tc>
        <w:tc>
          <w:tcPr>
            <w:tcW w:w="1891" w:type="dxa"/>
            <w:vAlign w:val="center"/>
          </w:tcPr>
          <w:p w14:paraId="27D7F850">
            <w:pPr>
              <w:spacing w:line="400" w:lineRule="exact"/>
              <w:jc w:val="center"/>
              <w:rPr>
                <w:rFonts w:ascii="宋体" w:hAnsi="宋体"/>
                <w:sz w:val="24"/>
              </w:rPr>
            </w:pPr>
          </w:p>
        </w:tc>
      </w:tr>
      <w:tr w14:paraId="043F2E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583" w:type="dxa"/>
            <w:vAlign w:val="center"/>
          </w:tcPr>
          <w:p w14:paraId="38EBC3A6">
            <w:pPr>
              <w:numPr>
                <w:ilvl w:val="0"/>
                <w:numId w:val="95"/>
              </w:numPr>
              <w:spacing w:line="400" w:lineRule="exact"/>
              <w:jc w:val="center"/>
              <w:rPr>
                <w:rFonts w:ascii="宋体" w:hAnsi="宋体"/>
                <w:sz w:val="24"/>
              </w:rPr>
            </w:pPr>
          </w:p>
        </w:tc>
        <w:tc>
          <w:tcPr>
            <w:tcW w:w="3422" w:type="dxa"/>
            <w:vAlign w:val="center"/>
          </w:tcPr>
          <w:p w14:paraId="6F1AB5AE">
            <w:pPr>
              <w:rPr>
                <w:rFonts w:ascii="宋体" w:hAnsi="宋体"/>
                <w:snapToGrid w:val="0"/>
                <w:sz w:val="24"/>
              </w:rPr>
            </w:pPr>
          </w:p>
        </w:tc>
        <w:tc>
          <w:tcPr>
            <w:tcW w:w="3191" w:type="dxa"/>
            <w:vAlign w:val="center"/>
          </w:tcPr>
          <w:p w14:paraId="2A41B446">
            <w:pPr>
              <w:spacing w:line="400" w:lineRule="exact"/>
              <w:jc w:val="center"/>
              <w:rPr>
                <w:rFonts w:ascii="宋体" w:hAnsi="宋体"/>
                <w:sz w:val="24"/>
              </w:rPr>
            </w:pPr>
          </w:p>
        </w:tc>
        <w:tc>
          <w:tcPr>
            <w:tcW w:w="1891" w:type="dxa"/>
            <w:vAlign w:val="center"/>
          </w:tcPr>
          <w:p w14:paraId="3C90D5CF">
            <w:pPr>
              <w:spacing w:line="400" w:lineRule="exact"/>
              <w:jc w:val="center"/>
              <w:rPr>
                <w:rFonts w:ascii="宋体" w:hAnsi="宋体"/>
                <w:sz w:val="24"/>
              </w:rPr>
            </w:pPr>
          </w:p>
        </w:tc>
      </w:tr>
      <w:tr w14:paraId="63515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583" w:type="dxa"/>
            <w:vAlign w:val="center"/>
          </w:tcPr>
          <w:p w14:paraId="4D0B8AA6">
            <w:pPr>
              <w:numPr>
                <w:ilvl w:val="0"/>
                <w:numId w:val="95"/>
              </w:numPr>
              <w:spacing w:line="400" w:lineRule="exact"/>
              <w:jc w:val="center"/>
              <w:rPr>
                <w:rFonts w:ascii="宋体" w:hAnsi="宋体"/>
                <w:sz w:val="24"/>
              </w:rPr>
            </w:pPr>
          </w:p>
        </w:tc>
        <w:tc>
          <w:tcPr>
            <w:tcW w:w="3422" w:type="dxa"/>
            <w:vAlign w:val="center"/>
          </w:tcPr>
          <w:p w14:paraId="4DCDB695">
            <w:pPr>
              <w:rPr>
                <w:rFonts w:ascii="宋体" w:hAnsi="宋体"/>
                <w:snapToGrid w:val="0"/>
                <w:sz w:val="24"/>
              </w:rPr>
            </w:pPr>
          </w:p>
        </w:tc>
        <w:tc>
          <w:tcPr>
            <w:tcW w:w="3191" w:type="dxa"/>
            <w:vAlign w:val="center"/>
          </w:tcPr>
          <w:p w14:paraId="3F2EB499">
            <w:pPr>
              <w:spacing w:line="400" w:lineRule="exact"/>
              <w:jc w:val="center"/>
              <w:rPr>
                <w:rFonts w:ascii="宋体" w:hAnsi="宋体"/>
                <w:sz w:val="24"/>
              </w:rPr>
            </w:pPr>
          </w:p>
        </w:tc>
        <w:tc>
          <w:tcPr>
            <w:tcW w:w="1891" w:type="dxa"/>
            <w:vAlign w:val="center"/>
          </w:tcPr>
          <w:p w14:paraId="4E682475">
            <w:pPr>
              <w:spacing w:line="400" w:lineRule="exact"/>
              <w:jc w:val="center"/>
              <w:rPr>
                <w:rFonts w:ascii="宋体" w:hAnsi="宋体"/>
                <w:sz w:val="24"/>
              </w:rPr>
            </w:pPr>
          </w:p>
        </w:tc>
      </w:tr>
    </w:tbl>
    <w:p w14:paraId="5FCE3D41">
      <w:pPr>
        <w:spacing w:line="500" w:lineRule="exact"/>
        <w:rPr>
          <w:spacing w:val="4"/>
          <w:sz w:val="24"/>
        </w:rPr>
      </w:pPr>
    </w:p>
    <w:p w14:paraId="60FD3D04">
      <w:pPr>
        <w:spacing w:line="500" w:lineRule="exact"/>
        <w:ind w:firstLine="124" w:firstLineChars="50"/>
        <w:rPr>
          <w:rFonts w:ascii="宋体" w:hAnsi="宋体"/>
          <w:sz w:val="24"/>
          <w:u w:val="single"/>
        </w:rPr>
      </w:pPr>
      <w:r>
        <w:rPr>
          <w:rFonts w:hint="eastAsia"/>
          <w:spacing w:val="4"/>
          <w:sz w:val="24"/>
        </w:rPr>
        <w:t>投标人名称（</w:t>
      </w:r>
      <w:r>
        <w:rPr>
          <w:rFonts w:hint="eastAsia" w:ascii="宋体" w:hAnsi="宋体"/>
          <w:sz w:val="24"/>
        </w:rPr>
        <w:t>单位盖</w:t>
      </w:r>
      <w:r>
        <w:rPr>
          <w:rFonts w:hint="eastAsia"/>
          <w:spacing w:val="4"/>
          <w:sz w:val="24"/>
        </w:rPr>
        <w:t>公章）：</w:t>
      </w:r>
    </w:p>
    <w:p w14:paraId="472F93E8">
      <w:pPr>
        <w:spacing w:line="440" w:lineRule="exact"/>
        <w:ind w:firstLine="124" w:firstLineChars="50"/>
        <w:rPr>
          <w:spacing w:val="4"/>
          <w:sz w:val="24"/>
        </w:rPr>
      </w:pPr>
      <w:r>
        <w:rPr>
          <w:rFonts w:hint="eastAsia"/>
          <w:spacing w:val="4"/>
          <w:sz w:val="24"/>
        </w:rPr>
        <w:t>日期：</w:t>
      </w:r>
    </w:p>
    <w:p w14:paraId="0870528D">
      <w:pPr>
        <w:widowControl/>
        <w:jc w:val="left"/>
        <w:rPr>
          <w:spacing w:val="4"/>
          <w:sz w:val="24"/>
        </w:rPr>
      </w:pPr>
      <w:r>
        <w:rPr>
          <w:spacing w:val="4"/>
          <w:sz w:val="24"/>
        </w:rPr>
        <w:br w:type="page"/>
      </w:r>
    </w:p>
    <w:bookmarkEnd w:id="144"/>
    <w:p w14:paraId="51C42E2D">
      <w:pPr>
        <w:tabs>
          <w:tab w:val="left" w:pos="142"/>
        </w:tabs>
        <w:autoSpaceDE w:val="0"/>
        <w:autoSpaceDN w:val="0"/>
        <w:spacing w:line="360" w:lineRule="auto"/>
        <w:ind w:left="-2" w:leftChars="-1" w:firstLine="2"/>
        <w:jc w:val="center"/>
        <w:outlineLvl w:val="3"/>
        <w:rPr>
          <w:rFonts w:ascii="黑体" w:hAnsi="黑体" w:eastAsia="黑体"/>
          <w:sz w:val="32"/>
          <w:szCs w:val="32"/>
        </w:rPr>
      </w:pPr>
      <w:bookmarkStart w:id="155" w:name="_Toc394307583"/>
      <w:r>
        <w:rPr>
          <w:rFonts w:hint="eastAsia" w:ascii="黑体" w:hAnsi="黑体" w:eastAsia="黑体"/>
          <w:sz w:val="32"/>
          <w:szCs w:val="32"/>
        </w:rPr>
        <w:t>售后服务情况表</w:t>
      </w:r>
      <w:bookmarkEnd w:id="155"/>
    </w:p>
    <w:p w14:paraId="690B20AF">
      <w:pPr>
        <w:widowControl/>
        <w:snapToGrid w:val="0"/>
        <w:spacing w:line="360" w:lineRule="auto"/>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中华人民共和国佛山出入境边防检查站2026年度节日慰问品采购项目</w:t>
      </w:r>
    </w:p>
    <w:tbl>
      <w:tblPr>
        <w:tblStyle w:val="3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03"/>
        <w:gridCol w:w="2562"/>
        <w:gridCol w:w="4417"/>
        <w:gridCol w:w="1494"/>
      </w:tblGrid>
      <w:tr w14:paraId="58443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8" w:hRule="atLeast"/>
          <w:jc w:val="center"/>
        </w:trPr>
        <w:tc>
          <w:tcPr>
            <w:tcW w:w="433" w:type="pct"/>
            <w:shd w:val="clear" w:color="auto" w:fill="EEECE1" w:themeFill="background2"/>
            <w:vAlign w:val="center"/>
          </w:tcPr>
          <w:p w14:paraId="7472ADBD">
            <w:pPr>
              <w:pStyle w:val="132"/>
              <w:spacing w:line="360" w:lineRule="auto"/>
              <w:jc w:val="center"/>
              <w:rPr>
                <w:rFonts w:ascii="宋体" w:hAnsi="宋体" w:cs="Arial"/>
                <w:b/>
                <w:sz w:val="24"/>
              </w:rPr>
            </w:pPr>
            <w:r>
              <w:rPr>
                <w:rFonts w:hint="eastAsia" w:ascii="宋体" w:hAnsi="宋体" w:cs="Arial"/>
                <w:b/>
                <w:sz w:val="24"/>
              </w:rPr>
              <w:t>序号</w:t>
            </w:r>
          </w:p>
        </w:tc>
        <w:tc>
          <w:tcPr>
            <w:tcW w:w="1381" w:type="pct"/>
            <w:shd w:val="clear" w:color="auto" w:fill="EEECE1" w:themeFill="background2"/>
            <w:vAlign w:val="center"/>
          </w:tcPr>
          <w:p w14:paraId="433AB197">
            <w:pPr>
              <w:pStyle w:val="132"/>
              <w:spacing w:line="360" w:lineRule="auto"/>
              <w:jc w:val="center"/>
              <w:rPr>
                <w:rFonts w:ascii="宋体" w:hAnsi="宋体" w:cs="Arial"/>
                <w:b/>
                <w:sz w:val="24"/>
              </w:rPr>
            </w:pPr>
            <w:r>
              <w:rPr>
                <w:rFonts w:hint="eastAsia" w:ascii="宋体" w:hAnsi="宋体" w:cs="Arial"/>
                <w:b/>
                <w:sz w:val="24"/>
              </w:rPr>
              <w:t>项目</w:t>
            </w:r>
          </w:p>
        </w:tc>
        <w:tc>
          <w:tcPr>
            <w:tcW w:w="2381" w:type="pct"/>
            <w:shd w:val="clear" w:color="auto" w:fill="EEECE1" w:themeFill="background2"/>
            <w:vAlign w:val="center"/>
          </w:tcPr>
          <w:p w14:paraId="06E472CF">
            <w:pPr>
              <w:pStyle w:val="132"/>
              <w:spacing w:line="360" w:lineRule="auto"/>
              <w:jc w:val="center"/>
              <w:rPr>
                <w:rFonts w:ascii="宋体" w:hAnsi="宋体" w:cs="Arial"/>
                <w:b/>
                <w:sz w:val="24"/>
              </w:rPr>
            </w:pPr>
            <w:r>
              <w:rPr>
                <w:rFonts w:hint="eastAsia" w:ascii="宋体" w:hAnsi="宋体" w:cs="Arial"/>
                <w:b/>
                <w:sz w:val="24"/>
              </w:rPr>
              <w:t>投标人承诺</w:t>
            </w:r>
          </w:p>
        </w:tc>
        <w:tc>
          <w:tcPr>
            <w:tcW w:w="805" w:type="pct"/>
            <w:shd w:val="clear" w:color="auto" w:fill="EEECE1" w:themeFill="background2"/>
            <w:vAlign w:val="center"/>
          </w:tcPr>
          <w:p w14:paraId="47B69701">
            <w:pPr>
              <w:pStyle w:val="132"/>
              <w:spacing w:line="360" w:lineRule="auto"/>
              <w:jc w:val="center"/>
              <w:rPr>
                <w:rFonts w:ascii="宋体" w:hAnsi="宋体" w:cs="Arial"/>
                <w:b/>
                <w:sz w:val="24"/>
              </w:rPr>
            </w:pPr>
            <w:r>
              <w:rPr>
                <w:rFonts w:hint="eastAsia" w:ascii="宋体" w:hAnsi="宋体" w:cs="Arial"/>
                <w:b/>
                <w:sz w:val="24"/>
              </w:rPr>
              <w:t>备注</w:t>
            </w:r>
          </w:p>
        </w:tc>
      </w:tr>
      <w:tr w14:paraId="45D2C7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378" w:hRule="atLeast"/>
          <w:jc w:val="center"/>
        </w:trPr>
        <w:tc>
          <w:tcPr>
            <w:tcW w:w="433" w:type="pct"/>
            <w:vAlign w:val="center"/>
          </w:tcPr>
          <w:p w14:paraId="00F48734">
            <w:pPr>
              <w:pStyle w:val="132"/>
              <w:spacing w:line="360" w:lineRule="auto"/>
              <w:jc w:val="center"/>
              <w:rPr>
                <w:rFonts w:ascii="宋体" w:hAnsi="宋体" w:cs="Arial"/>
                <w:bCs/>
                <w:sz w:val="24"/>
              </w:rPr>
            </w:pPr>
            <w:r>
              <w:rPr>
                <w:rFonts w:hint="eastAsia" w:ascii="宋体" w:hAnsi="宋体" w:cs="Arial"/>
                <w:bCs/>
                <w:sz w:val="24"/>
              </w:rPr>
              <w:t>1</w:t>
            </w:r>
          </w:p>
        </w:tc>
        <w:tc>
          <w:tcPr>
            <w:tcW w:w="1381" w:type="pct"/>
            <w:vAlign w:val="center"/>
          </w:tcPr>
          <w:p w14:paraId="131B7D91">
            <w:pPr>
              <w:pStyle w:val="132"/>
              <w:spacing w:line="360" w:lineRule="auto"/>
              <w:rPr>
                <w:rFonts w:ascii="宋体" w:hAnsi="宋体" w:cs="Arial"/>
                <w:bCs/>
                <w:sz w:val="24"/>
              </w:rPr>
            </w:pPr>
            <w:r>
              <w:rPr>
                <w:rFonts w:hint="eastAsia" w:ascii="宋体" w:hAnsi="宋体" w:cs="Arial"/>
                <w:bCs/>
                <w:sz w:val="24"/>
              </w:rPr>
              <w:t>保修期内售后服务情况(可用附页和宣传材料)</w:t>
            </w:r>
          </w:p>
        </w:tc>
        <w:tc>
          <w:tcPr>
            <w:tcW w:w="2381" w:type="pct"/>
          </w:tcPr>
          <w:p w14:paraId="02AAC5CB">
            <w:pPr>
              <w:pStyle w:val="132"/>
              <w:spacing w:line="360" w:lineRule="auto"/>
              <w:rPr>
                <w:rFonts w:ascii="宋体" w:hAnsi="宋体" w:cs="Arial"/>
                <w:bCs/>
                <w:sz w:val="24"/>
              </w:rPr>
            </w:pPr>
            <w:r>
              <w:rPr>
                <w:rFonts w:hint="eastAsia" w:ascii="宋体" w:hAnsi="宋体" w:cs="Arial"/>
                <w:bCs/>
                <w:sz w:val="24"/>
              </w:rPr>
              <w:t>投标人售后服务情况：</w:t>
            </w:r>
          </w:p>
        </w:tc>
        <w:tc>
          <w:tcPr>
            <w:tcW w:w="805" w:type="pct"/>
          </w:tcPr>
          <w:p w14:paraId="17033A2F">
            <w:pPr>
              <w:pStyle w:val="132"/>
              <w:spacing w:line="360" w:lineRule="auto"/>
              <w:rPr>
                <w:rFonts w:ascii="宋体" w:hAnsi="宋体" w:cs="Arial"/>
                <w:bCs/>
                <w:sz w:val="24"/>
              </w:rPr>
            </w:pPr>
          </w:p>
        </w:tc>
      </w:tr>
      <w:tr w14:paraId="7D2F5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9" w:hRule="exact"/>
          <w:jc w:val="center"/>
        </w:trPr>
        <w:tc>
          <w:tcPr>
            <w:tcW w:w="433" w:type="pct"/>
            <w:vAlign w:val="center"/>
          </w:tcPr>
          <w:p w14:paraId="69871C3B">
            <w:pPr>
              <w:pStyle w:val="132"/>
              <w:spacing w:line="360" w:lineRule="auto"/>
              <w:jc w:val="center"/>
              <w:rPr>
                <w:rFonts w:ascii="宋体" w:hAnsi="宋体" w:cs="Arial"/>
                <w:bCs/>
                <w:sz w:val="24"/>
              </w:rPr>
            </w:pPr>
            <w:r>
              <w:rPr>
                <w:rFonts w:hint="eastAsia" w:ascii="宋体" w:hAnsi="宋体" w:cs="Arial"/>
                <w:bCs/>
                <w:sz w:val="24"/>
              </w:rPr>
              <w:t>2</w:t>
            </w:r>
          </w:p>
        </w:tc>
        <w:tc>
          <w:tcPr>
            <w:tcW w:w="1381" w:type="pct"/>
            <w:vAlign w:val="center"/>
          </w:tcPr>
          <w:p w14:paraId="0DDF47C4">
            <w:pPr>
              <w:pStyle w:val="132"/>
              <w:spacing w:line="360" w:lineRule="auto"/>
              <w:rPr>
                <w:rFonts w:ascii="宋体" w:hAnsi="宋体" w:cs="Arial"/>
                <w:bCs/>
                <w:sz w:val="24"/>
              </w:rPr>
            </w:pPr>
            <w:r>
              <w:rPr>
                <w:rFonts w:hint="eastAsia" w:ascii="宋体" w:hAnsi="宋体" w:cs="Arial"/>
                <w:bCs/>
                <w:sz w:val="24"/>
              </w:rPr>
              <w:t>保修期后售后服务</w:t>
            </w:r>
          </w:p>
        </w:tc>
        <w:tc>
          <w:tcPr>
            <w:tcW w:w="2381" w:type="pct"/>
          </w:tcPr>
          <w:p w14:paraId="049F3809">
            <w:pPr>
              <w:pStyle w:val="132"/>
              <w:spacing w:line="360" w:lineRule="auto"/>
              <w:rPr>
                <w:rFonts w:ascii="宋体" w:hAnsi="宋体" w:cs="Arial"/>
                <w:bCs/>
                <w:sz w:val="24"/>
              </w:rPr>
            </w:pPr>
          </w:p>
        </w:tc>
        <w:tc>
          <w:tcPr>
            <w:tcW w:w="805" w:type="pct"/>
          </w:tcPr>
          <w:p w14:paraId="29B82E0D">
            <w:pPr>
              <w:pStyle w:val="132"/>
              <w:spacing w:line="360" w:lineRule="auto"/>
              <w:rPr>
                <w:rFonts w:ascii="宋体" w:hAnsi="宋体" w:cs="Arial"/>
                <w:bCs/>
                <w:sz w:val="24"/>
              </w:rPr>
            </w:pPr>
          </w:p>
        </w:tc>
      </w:tr>
      <w:tr w14:paraId="21BBB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59" w:hRule="exact"/>
          <w:jc w:val="center"/>
        </w:trPr>
        <w:tc>
          <w:tcPr>
            <w:tcW w:w="433" w:type="pct"/>
            <w:vAlign w:val="center"/>
          </w:tcPr>
          <w:p w14:paraId="3B2748C3">
            <w:pPr>
              <w:pStyle w:val="132"/>
              <w:spacing w:line="360" w:lineRule="auto"/>
              <w:rPr>
                <w:rFonts w:ascii="宋体" w:hAnsi="宋体" w:cs="Arial"/>
                <w:bCs/>
                <w:sz w:val="24"/>
              </w:rPr>
            </w:pPr>
            <w:r>
              <w:rPr>
                <w:rFonts w:hint="eastAsia" w:ascii="宋体" w:hAnsi="宋体" w:cs="Arial"/>
                <w:bCs/>
                <w:sz w:val="24"/>
              </w:rPr>
              <w:t xml:space="preserve">  3</w:t>
            </w:r>
          </w:p>
        </w:tc>
        <w:tc>
          <w:tcPr>
            <w:tcW w:w="1381" w:type="pct"/>
            <w:vAlign w:val="center"/>
          </w:tcPr>
          <w:p w14:paraId="4D60A6F9">
            <w:pPr>
              <w:pStyle w:val="132"/>
              <w:spacing w:line="360" w:lineRule="auto"/>
              <w:rPr>
                <w:rFonts w:ascii="宋体" w:hAnsi="宋体" w:cs="Arial"/>
                <w:bCs/>
                <w:sz w:val="24"/>
              </w:rPr>
            </w:pPr>
            <w:r>
              <w:rPr>
                <w:rFonts w:hint="eastAsia" w:ascii="宋体" w:hAnsi="宋体" w:cs="Arial"/>
                <w:bCs/>
                <w:sz w:val="24"/>
              </w:rPr>
              <w:t>培训方案（可用附页）</w:t>
            </w:r>
          </w:p>
        </w:tc>
        <w:tc>
          <w:tcPr>
            <w:tcW w:w="2381" w:type="pct"/>
          </w:tcPr>
          <w:p w14:paraId="1B6DB188">
            <w:pPr>
              <w:pStyle w:val="132"/>
              <w:spacing w:line="360" w:lineRule="auto"/>
              <w:rPr>
                <w:rFonts w:ascii="宋体" w:hAnsi="宋体" w:cs="Arial"/>
                <w:bCs/>
                <w:sz w:val="24"/>
              </w:rPr>
            </w:pPr>
          </w:p>
        </w:tc>
        <w:tc>
          <w:tcPr>
            <w:tcW w:w="805" w:type="pct"/>
          </w:tcPr>
          <w:p w14:paraId="37E3596E">
            <w:pPr>
              <w:pStyle w:val="132"/>
              <w:spacing w:line="360" w:lineRule="auto"/>
              <w:rPr>
                <w:rFonts w:ascii="宋体" w:hAnsi="宋体" w:cs="Arial"/>
                <w:bCs/>
                <w:sz w:val="24"/>
              </w:rPr>
            </w:pPr>
          </w:p>
        </w:tc>
      </w:tr>
    </w:tbl>
    <w:p w14:paraId="25EBF8E7">
      <w:pPr>
        <w:spacing w:line="500" w:lineRule="exact"/>
        <w:rPr>
          <w:rFonts w:ascii="宋体" w:hAnsi="宋体"/>
          <w:sz w:val="24"/>
          <w:u w:val="single"/>
        </w:rPr>
      </w:pPr>
      <w:r>
        <w:rPr>
          <w:rFonts w:hint="eastAsia"/>
          <w:spacing w:val="4"/>
          <w:sz w:val="24"/>
        </w:rPr>
        <w:t>投标人名称（</w:t>
      </w:r>
      <w:r>
        <w:rPr>
          <w:rFonts w:hint="eastAsia" w:ascii="宋体" w:hAnsi="宋体"/>
          <w:sz w:val="24"/>
        </w:rPr>
        <w:t>单位盖</w:t>
      </w:r>
      <w:r>
        <w:rPr>
          <w:rFonts w:hint="eastAsia"/>
          <w:spacing w:val="4"/>
          <w:sz w:val="24"/>
        </w:rPr>
        <w:t>公章）：</w:t>
      </w:r>
    </w:p>
    <w:p w14:paraId="0599EDB3">
      <w:pPr>
        <w:spacing w:line="440" w:lineRule="exact"/>
        <w:rPr>
          <w:spacing w:val="4"/>
          <w:sz w:val="24"/>
          <w:u w:val="single"/>
        </w:rPr>
      </w:pPr>
      <w:r>
        <w:rPr>
          <w:rFonts w:hint="eastAsia"/>
          <w:spacing w:val="4"/>
          <w:sz w:val="24"/>
        </w:rPr>
        <w:t>日期：</w:t>
      </w:r>
    </w:p>
    <w:p w14:paraId="4FD32F44">
      <w:pPr>
        <w:widowControl/>
        <w:jc w:val="left"/>
        <w:rPr>
          <w:rFonts w:ascii="黑体" w:hAnsi="黑体" w:eastAsia="黑体"/>
          <w:sz w:val="32"/>
          <w:szCs w:val="32"/>
        </w:rPr>
      </w:pPr>
      <w:r>
        <w:rPr>
          <w:rFonts w:ascii="黑体" w:hAnsi="黑体" w:eastAsia="黑体"/>
          <w:sz w:val="32"/>
          <w:szCs w:val="32"/>
        </w:rPr>
        <w:br w:type="page"/>
      </w:r>
    </w:p>
    <w:p w14:paraId="5719A617">
      <w:pPr>
        <w:tabs>
          <w:tab w:val="left" w:pos="142"/>
        </w:tabs>
        <w:autoSpaceDE w:val="0"/>
        <w:autoSpaceDN w:val="0"/>
        <w:spacing w:line="360" w:lineRule="auto"/>
        <w:ind w:left="-2" w:leftChars="-1" w:firstLine="2"/>
        <w:jc w:val="center"/>
        <w:outlineLvl w:val="3"/>
        <w:rPr>
          <w:rFonts w:ascii="黑体" w:hAnsi="黑体" w:eastAsia="黑体"/>
          <w:sz w:val="32"/>
          <w:szCs w:val="32"/>
        </w:rPr>
      </w:pPr>
      <w:r>
        <w:rPr>
          <w:rFonts w:hint="eastAsia" w:ascii="黑体" w:hAnsi="黑体" w:eastAsia="黑体"/>
          <w:sz w:val="32"/>
          <w:szCs w:val="32"/>
        </w:rPr>
        <w:t>采购代理服务费承诺书</w:t>
      </w:r>
    </w:p>
    <w:p w14:paraId="65B5A622">
      <w:pPr>
        <w:snapToGrid w:val="0"/>
        <w:spacing w:line="360" w:lineRule="auto"/>
        <w:rPr>
          <w:rFonts w:ascii="宋体" w:hAnsi="宋体"/>
          <w:b/>
          <w:sz w:val="24"/>
        </w:rPr>
      </w:pPr>
      <w:r>
        <w:rPr>
          <w:rFonts w:hint="eastAsia" w:ascii="宋体" w:hAnsi="宋体"/>
          <w:b/>
          <w:sz w:val="24"/>
        </w:rPr>
        <w:t>佛山采联采购招标有限公司:</w:t>
      </w:r>
    </w:p>
    <w:p w14:paraId="00EADD89">
      <w:pPr>
        <w:snapToGrid w:val="0"/>
        <w:spacing w:line="360" w:lineRule="auto"/>
        <w:ind w:firstLine="480" w:firstLineChars="200"/>
        <w:rPr>
          <w:rFonts w:ascii="宋体" w:cs="宋体"/>
          <w:sz w:val="24"/>
        </w:rPr>
      </w:pPr>
      <w:r>
        <w:rPr>
          <w:rFonts w:hint="eastAsia" w:ascii="宋体" w:hAnsi="宋体"/>
          <w:sz w:val="24"/>
        </w:rPr>
        <w:t>本公司</w:t>
      </w:r>
      <w:r>
        <w:rPr>
          <w:rFonts w:hint="eastAsia" w:ascii="宋体" w:hAnsi="宋体"/>
          <w:sz w:val="24"/>
          <w:u w:val="single"/>
        </w:rPr>
        <w:t xml:space="preserve">       (投标人名称)      </w:t>
      </w:r>
      <w:r>
        <w:rPr>
          <w:rFonts w:hint="eastAsia" w:ascii="宋体" w:hAnsi="宋体"/>
          <w:sz w:val="24"/>
        </w:rPr>
        <w:t>在参加</w:t>
      </w:r>
      <w:r>
        <w:rPr>
          <w:rFonts w:hint="eastAsia" w:ascii="宋体" w:hAnsi="宋体"/>
          <w:sz w:val="24"/>
          <w:u w:val="single"/>
        </w:rPr>
        <w:t xml:space="preserve">       </w:t>
      </w:r>
      <w:r>
        <w:rPr>
          <w:rFonts w:hint="eastAsia" w:ascii="宋体" w:hAnsi="宋体"/>
          <w:sz w:val="24"/>
          <w:u w:val="single"/>
          <w:lang w:eastAsia="zh-CN"/>
        </w:rPr>
        <w:t>中华人民共和国佛山出入境边防检查站2026年度节日慰问品采购项目</w:t>
      </w:r>
      <w:r>
        <w:rPr>
          <w:rFonts w:hint="eastAsia" w:ascii="宋体" w:hAnsi="宋体"/>
          <w:sz w:val="24"/>
        </w:rPr>
        <w:t>(</w:t>
      </w:r>
      <w:r>
        <w:rPr>
          <w:rFonts w:hint="eastAsia"/>
          <w:sz w:val="24"/>
        </w:rPr>
        <w:t>项目编号：</w:t>
      </w:r>
      <w:r>
        <w:rPr>
          <w:rFonts w:hint="eastAsia" w:ascii="宋体" w:hAnsi="宋体"/>
          <w:sz w:val="24"/>
          <w:lang w:eastAsia="zh-CN"/>
        </w:rPr>
        <w:t>CLZ0126FS00QY05</w:t>
      </w:r>
      <w:r>
        <w:rPr>
          <w:rFonts w:hint="eastAsia" w:ascii="宋体" w:hAnsi="宋体"/>
          <w:sz w:val="24"/>
        </w:rPr>
        <w:t>)的招标中如获中标</w:t>
      </w:r>
      <w:r>
        <w:rPr>
          <w:rFonts w:hint="eastAsia" w:ascii="宋体" w:cs="宋体"/>
          <w:sz w:val="24"/>
        </w:rPr>
        <w:t>，我公司保证</w:t>
      </w:r>
      <w:bookmarkStart w:id="156" w:name="_Hlk153549784"/>
      <w:r>
        <w:rPr>
          <w:rFonts w:hint="eastAsia" w:ascii="宋体" w:cs="宋体"/>
          <w:sz w:val="24"/>
        </w:rPr>
        <w:t>在收到中标通知之日起</w:t>
      </w:r>
      <w:r>
        <w:rPr>
          <w:rFonts w:ascii="宋体" w:cs="宋体"/>
          <w:sz w:val="24"/>
        </w:rPr>
        <w:t>7</w:t>
      </w:r>
      <w:r>
        <w:rPr>
          <w:rFonts w:hint="eastAsia" w:ascii="宋体" w:cs="宋体"/>
          <w:sz w:val="24"/>
        </w:rPr>
        <w:t>个工作日内</w:t>
      </w:r>
      <w:bookmarkEnd w:id="156"/>
      <w:r>
        <w:rPr>
          <w:rFonts w:hint="eastAsia" w:ascii="宋体" w:cs="宋体"/>
          <w:sz w:val="24"/>
        </w:rPr>
        <w:t>按照招标文件</w:t>
      </w:r>
      <w:r>
        <w:rPr>
          <w:rFonts w:hint="eastAsia" w:ascii="宋体" w:hAnsi="宋体"/>
          <w:sz w:val="24"/>
        </w:rPr>
        <w:t>的</w:t>
      </w:r>
      <w:r>
        <w:rPr>
          <w:rFonts w:hint="eastAsia" w:ascii="宋体" w:cs="宋体"/>
          <w:sz w:val="24"/>
        </w:rPr>
        <w:t>规定缴纳“采购代理服务费”。如采用电汇或银行转账，我公司将同时递交采购代理服务费缴费凭证复印件。</w:t>
      </w:r>
    </w:p>
    <w:p w14:paraId="45C032E0">
      <w:pPr>
        <w:snapToGrid w:val="0"/>
        <w:spacing w:line="360" w:lineRule="auto"/>
        <w:ind w:firstLine="480" w:firstLineChars="200"/>
        <w:rPr>
          <w:rFonts w:ascii="宋体" w:hAnsi="宋体"/>
          <w:sz w:val="24"/>
        </w:rPr>
      </w:pPr>
      <w:r>
        <w:rPr>
          <w:rFonts w:hint="eastAsia" w:ascii="宋体" w:hAnsi="宋体"/>
          <w:sz w:val="24"/>
        </w:rPr>
        <w:t>如我公司</w:t>
      </w:r>
      <w:bookmarkStart w:id="157" w:name="_Hlk153550294"/>
      <w:r>
        <w:rPr>
          <w:rFonts w:hint="eastAsia" w:ascii="宋体" w:hAnsi="宋体"/>
          <w:sz w:val="24"/>
        </w:rPr>
        <w:t>逾期向贵司缴纳采购代理服务费的，我公司同意除应当缴纳采购代理服务费外，每日按逾期的采购代理服务费的</w:t>
      </w:r>
      <w:bookmarkStart w:id="158" w:name="_Hlk153549109"/>
      <w:r>
        <w:rPr>
          <w:rFonts w:ascii="宋体" w:hAnsi="宋体"/>
          <w:sz w:val="24"/>
        </w:rPr>
        <w:t>0.4</w:t>
      </w:r>
      <w:r>
        <w:rPr>
          <w:rFonts w:hint="eastAsia" w:ascii="宋体" w:hAnsi="宋体"/>
          <w:sz w:val="24"/>
        </w:rPr>
        <w:t>‰</w:t>
      </w:r>
      <w:bookmarkEnd w:id="158"/>
      <w:r>
        <w:rPr>
          <w:rFonts w:hint="eastAsia" w:ascii="宋体" w:hAnsi="宋体"/>
          <w:sz w:val="24"/>
        </w:rPr>
        <w:t>向贵司支付违约金。</w:t>
      </w:r>
      <w:bookmarkEnd w:id="157"/>
    </w:p>
    <w:p w14:paraId="03D4B07E">
      <w:pPr>
        <w:snapToGrid w:val="0"/>
        <w:spacing w:line="360" w:lineRule="auto"/>
        <w:ind w:firstLine="480" w:firstLineChars="200"/>
        <w:rPr>
          <w:rFonts w:ascii="宋体" w:hAnsi="宋体"/>
          <w:sz w:val="24"/>
        </w:rPr>
      </w:pPr>
    </w:p>
    <w:p w14:paraId="777FE0B6">
      <w:pPr>
        <w:snapToGrid w:val="0"/>
        <w:spacing w:line="360" w:lineRule="auto"/>
        <w:ind w:firstLine="480" w:firstLineChars="200"/>
        <w:rPr>
          <w:rFonts w:ascii="宋体" w:hAnsi="宋体"/>
          <w:sz w:val="24"/>
        </w:rPr>
      </w:pPr>
      <w:r>
        <w:rPr>
          <w:rFonts w:hint="eastAsia" w:ascii="宋体" w:hAnsi="宋体"/>
          <w:sz w:val="24"/>
        </w:rPr>
        <w:t>特此承诺!</w:t>
      </w:r>
      <w:r>
        <w:rPr>
          <w:rFonts w:ascii="宋体" w:hAnsi="宋体"/>
          <w:sz w:val="24"/>
        </w:rPr>
        <w:tab/>
      </w:r>
    </w:p>
    <w:p w14:paraId="4B493918">
      <w:pPr>
        <w:spacing w:line="360" w:lineRule="auto"/>
        <w:ind w:left="315"/>
        <w:jc w:val="left"/>
        <w:rPr>
          <w:rFonts w:ascii="宋体" w:hAnsi="宋体"/>
          <w:sz w:val="24"/>
        </w:rPr>
      </w:pPr>
    </w:p>
    <w:p w14:paraId="38BCAA76">
      <w:pPr>
        <w:spacing w:line="360" w:lineRule="auto"/>
        <w:ind w:left="315"/>
        <w:jc w:val="left"/>
        <w:rPr>
          <w:rFonts w:ascii="宋体" w:hAnsi="宋体"/>
          <w:sz w:val="24"/>
        </w:rPr>
      </w:pPr>
      <w:r>
        <w:rPr>
          <w:rFonts w:hint="eastAsia" w:ascii="宋体" w:hAnsi="宋体"/>
          <w:sz w:val="24"/>
        </w:rPr>
        <w:t>投标人名称(盖公章):</w:t>
      </w:r>
    </w:p>
    <w:p w14:paraId="6A8972E6">
      <w:pPr>
        <w:spacing w:line="360" w:lineRule="auto"/>
        <w:ind w:left="315"/>
        <w:jc w:val="left"/>
        <w:rPr>
          <w:rFonts w:ascii="宋体" w:hAnsi="宋体"/>
          <w:sz w:val="24"/>
        </w:rPr>
      </w:pPr>
      <w:r>
        <w:rPr>
          <w:rFonts w:hint="eastAsia" w:ascii="宋体" w:hAnsi="宋体"/>
          <w:sz w:val="24"/>
        </w:rPr>
        <w:t xml:space="preserve">日期： </w:t>
      </w:r>
      <w:r>
        <w:rPr>
          <w:rFonts w:ascii="宋体" w:hAnsi="宋体"/>
          <w:sz w:val="24"/>
        </w:rPr>
        <w:t xml:space="preserve">  </w:t>
      </w:r>
    </w:p>
    <w:p w14:paraId="659E7B92">
      <w:pPr>
        <w:spacing w:line="360" w:lineRule="auto"/>
        <w:ind w:left="315"/>
        <w:jc w:val="left"/>
        <w:rPr>
          <w:rFonts w:ascii="宋体" w:hAnsi="宋体"/>
          <w:strike/>
          <w:sz w:val="24"/>
        </w:rPr>
      </w:pPr>
    </w:p>
    <w:p w14:paraId="0309E538">
      <w:pPr>
        <w:widowControl/>
        <w:jc w:val="left"/>
        <w:rPr>
          <w:rFonts w:ascii="Arial" w:hAnsi="Arial" w:eastAsia="黑体"/>
          <w:bCs/>
          <w:sz w:val="32"/>
          <w:szCs w:val="32"/>
        </w:rPr>
      </w:pPr>
      <w:bookmarkStart w:id="159" w:name="_Toc435515318"/>
      <w:bookmarkStart w:id="160" w:name="_Toc435514878"/>
      <w:bookmarkStart w:id="161" w:name="_Toc275865626"/>
      <w:bookmarkStart w:id="162" w:name="_Toc173553195"/>
      <w:r>
        <w:rPr>
          <w:b/>
        </w:rPr>
        <w:br w:type="page"/>
      </w:r>
    </w:p>
    <w:p w14:paraId="41B9F45A">
      <w:pPr>
        <w:tabs>
          <w:tab w:val="left" w:pos="142"/>
        </w:tabs>
        <w:autoSpaceDE w:val="0"/>
        <w:autoSpaceDN w:val="0"/>
        <w:spacing w:line="360" w:lineRule="auto"/>
        <w:ind w:left="-2" w:leftChars="-1" w:firstLine="2"/>
        <w:jc w:val="center"/>
        <w:outlineLvl w:val="3"/>
        <w:rPr>
          <w:rFonts w:ascii="黑体" w:hAnsi="黑体" w:eastAsia="黑体"/>
          <w:sz w:val="32"/>
          <w:szCs w:val="32"/>
        </w:rPr>
      </w:pPr>
      <w:r>
        <w:rPr>
          <w:rFonts w:hint="eastAsia" w:ascii="黑体" w:hAnsi="黑体" w:eastAsia="黑体"/>
          <w:sz w:val="32"/>
          <w:szCs w:val="32"/>
        </w:rPr>
        <w:t>开票资料说明函</w:t>
      </w:r>
    </w:p>
    <w:p w14:paraId="0AA656BC">
      <w:pPr>
        <w:snapToGrid w:val="0"/>
        <w:spacing w:line="360" w:lineRule="auto"/>
        <w:rPr>
          <w:rFonts w:ascii="宋体" w:hAnsi="宋体"/>
          <w:b/>
          <w:sz w:val="24"/>
        </w:rPr>
      </w:pPr>
      <w:r>
        <w:rPr>
          <w:rFonts w:hint="eastAsia" w:ascii="宋体" w:hAnsi="宋体"/>
          <w:b/>
          <w:sz w:val="24"/>
        </w:rPr>
        <w:t>佛山采联采购招标有限公司:</w:t>
      </w:r>
    </w:p>
    <w:p w14:paraId="085D826C">
      <w:pPr>
        <w:snapToGrid w:val="0"/>
        <w:spacing w:line="360" w:lineRule="auto"/>
        <w:ind w:firstLine="480" w:firstLineChars="200"/>
        <w:rPr>
          <w:rFonts w:ascii="宋体" w:cs="宋体"/>
          <w:sz w:val="24"/>
        </w:rPr>
      </w:pPr>
      <w:r>
        <w:rPr>
          <w:rFonts w:hint="eastAsia" w:ascii="宋体" w:hAnsi="宋体"/>
          <w:sz w:val="24"/>
        </w:rPr>
        <w:t>本公司</w:t>
      </w:r>
      <w:r>
        <w:rPr>
          <w:rFonts w:hint="eastAsia" w:ascii="宋体" w:hAnsi="宋体"/>
          <w:sz w:val="24"/>
          <w:u w:val="single"/>
        </w:rPr>
        <w:t xml:space="preserve">       (供应商名称)      </w:t>
      </w:r>
      <w:r>
        <w:rPr>
          <w:rFonts w:hint="eastAsia" w:ascii="宋体" w:hAnsi="宋体"/>
          <w:sz w:val="24"/>
        </w:rPr>
        <w:t>在参加在贵公司举行的</w:t>
      </w:r>
      <w:r>
        <w:rPr>
          <w:rFonts w:hint="eastAsia" w:ascii="宋体" w:hAnsi="宋体"/>
          <w:sz w:val="24"/>
          <w:u w:val="single"/>
        </w:rPr>
        <w:t xml:space="preserve">       </w:t>
      </w:r>
      <w:r>
        <w:rPr>
          <w:rFonts w:hint="eastAsia" w:ascii="宋体" w:hAnsi="宋体"/>
          <w:sz w:val="24"/>
          <w:u w:val="single"/>
          <w:lang w:eastAsia="zh-CN"/>
        </w:rPr>
        <w:t>中华人民共和国佛山出入境边防检查站2026年度节日慰问品采购项目</w:t>
      </w:r>
      <w:r>
        <w:rPr>
          <w:rFonts w:hint="eastAsia" w:ascii="宋体" w:hAnsi="宋体"/>
          <w:sz w:val="24"/>
        </w:rPr>
        <w:t>(</w:t>
      </w:r>
      <w:r>
        <w:rPr>
          <w:rFonts w:hint="eastAsia"/>
          <w:sz w:val="24"/>
        </w:rPr>
        <w:t>项目编号：</w:t>
      </w:r>
      <w:r>
        <w:rPr>
          <w:rFonts w:hint="eastAsia" w:ascii="宋体" w:hAnsi="宋体"/>
          <w:sz w:val="24"/>
          <w:lang w:eastAsia="zh-CN"/>
        </w:rPr>
        <w:t>CLZ0126FS00QY05</w:t>
      </w:r>
      <w:r>
        <w:rPr>
          <w:rFonts w:hint="eastAsia" w:ascii="宋体" w:hAnsi="宋体"/>
          <w:sz w:val="24"/>
        </w:rPr>
        <w:t>)的招标中如获中标</w:t>
      </w:r>
      <w:r>
        <w:rPr>
          <w:rFonts w:hint="eastAsia" w:ascii="宋体" w:cs="宋体"/>
          <w:sz w:val="24"/>
        </w:rPr>
        <w:t>，则开票类型选择</w:t>
      </w:r>
      <w:r>
        <w:rPr>
          <w:rFonts w:hint="eastAsia" w:ascii="宋体" w:hAnsi="宋体"/>
          <w:b/>
          <w:sz w:val="24"/>
          <w:u w:val="single"/>
        </w:rPr>
        <w:t>□增值税普通发票□增值税专用发票</w:t>
      </w:r>
      <w:r>
        <w:rPr>
          <w:rFonts w:hint="eastAsia" w:ascii="宋体" w:hAnsi="宋体"/>
          <w:sz w:val="24"/>
        </w:rPr>
        <w:t>（</w:t>
      </w:r>
      <w:r>
        <w:rPr>
          <w:rFonts w:hint="eastAsia" w:ascii="宋体" w:hAnsi="宋体"/>
          <w:b/>
          <w:sz w:val="24"/>
        </w:rPr>
        <w:t>请在对应的“□”打“√”，且只能选择其中一项）</w:t>
      </w:r>
      <w:r>
        <w:rPr>
          <w:rFonts w:hint="eastAsia" w:ascii="宋体" w:cs="宋体"/>
          <w:sz w:val="24"/>
        </w:rPr>
        <w:t>，以及我司的开票资料如下：</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471"/>
        <w:gridCol w:w="3763"/>
        <w:gridCol w:w="1179"/>
        <w:gridCol w:w="1665"/>
      </w:tblGrid>
      <w:tr w14:paraId="0DE2AB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2471" w:type="dxa"/>
            <w:vAlign w:val="center"/>
          </w:tcPr>
          <w:p w14:paraId="4D154A91">
            <w:pPr>
              <w:jc w:val="center"/>
              <w:rPr>
                <w:rFonts w:ascii="宋体"/>
                <w:sz w:val="24"/>
              </w:rPr>
            </w:pPr>
            <w:r>
              <w:rPr>
                <w:rFonts w:hint="eastAsia" w:ascii="宋体"/>
                <w:sz w:val="24"/>
              </w:rPr>
              <w:t>单位名称</w:t>
            </w:r>
          </w:p>
        </w:tc>
        <w:tc>
          <w:tcPr>
            <w:tcW w:w="6607" w:type="dxa"/>
            <w:gridSpan w:val="3"/>
            <w:vAlign w:val="center"/>
          </w:tcPr>
          <w:p w14:paraId="6F9AD851">
            <w:pPr>
              <w:jc w:val="center"/>
              <w:rPr>
                <w:rFonts w:ascii="宋体"/>
                <w:sz w:val="24"/>
              </w:rPr>
            </w:pPr>
          </w:p>
        </w:tc>
      </w:tr>
      <w:tr w14:paraId="7E6EBD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2471" w:type="dxa"/>
            <w:vAlign w:val="center"/>
          </w:tcPr>
          <w:p w14:paraId="2E2E0874">
            <w:pPr>
              <w:jc w:val="center"/>
              <w:rPr>
                <w:rFonts w:ascii="宋体"/>
                <w:sz w:val="24"/>
              </w:rPr>
            </w:pPr>
            <w:r>
              <w:rPr>
                <w:rFonts w:hint="eastAsia" w:ascii="宋体" w:hAnsi="宋体"/>
                <w:sz w:val="24"/>
              </w:rPr>
              <w:t>纳税人识别号</w:t>
            </w:r>
          </w:p>
        </w:tc>
        <w:tc>
          <w:tcPr>
            <w:tcW w:w="6607" w:type="dxa"/>
            <w:gridSpan w:val="3"/>
            <w:vAlign w:val="center"/>
          </w:tcPr>
          <w:p w14:paraId="4E17908D">
            <w:pPr>
              <w:jc w:val="center"/>
              <w:rPr>
                <w:rFonts w:ascii="宋体"/>
                <w:sz w:val="24"/>
              </w:rPr>
            </w:pPr>
          </w:p>
        </w:tc>
      </w:tr>
      <w:tr w14:paraId="3BA0A6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2471" w:type="dxa"/>
            <w:vAlign w:val="center"/>
          </w:tcPr>
          <w:p w14:paraId="620E4851">
            <w:pPr>
              <w:jc w:val="center"/>
              <w:rPr>
                <w:rFonts w:ascii="宋体"/>
                <w:sz w:val="24"/>
              </w:rPr>
            </w:pPr>
            <w:r>
              <w:rPr>
                <w:rFonts w:hint="eastAsia" w:ascii="宋体"/>
                <w:sz w:val="24"/>
              </w:rPr>
              <w:t>地址</w:t>
            </w:r>
          </w:p>
        </w:tc>
        <w:tc>
          <w:tcPr>
            <w:tcW w:w="6607" w:type="dxa"/>
            <w:gridSpan w:val="3"/>
            <w:vAlign w:val="center"/>
          </w:tcPr>
          <w:p w14:paraId="411DF7CE">
            <w:pPr>
              <w:jc w:val="center"/>
              <w:rPr>
                <w:rFonts w:ascii="宋体"/>
                <w:sz w:val="24"/>
              </w:rPr>
            </w:pPr>
          </w:p>
        </w:tc>
      </w:tr>
      <w:tr w14:paraId="48AF97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2471" w:type="dxa"/>
            <w:vAlign w:val="center"/>
          </w:tcPr>
          <w:p w14:paraId="553A4011">
            <w:pPr>
              <w:jc w:val="center"/>
              <w:rPr>
                <w:rFonts w:ascii="宋体"/>
                <w:sz w:val="24"/>
              </w:rPr>
            </w:pPr>
            <w:r>
              <w:rPr>
                <w:rFonts w:hint="eastAsia" w:ascii="宋体"/>
                <w:sz w:val="24"/>
              </w:rPr>
              <w:t>开户银行</w:t>
            </w:r>
            <w:r>
              <w:rPr>
                <w:rFonts w:ascii="宋体"/>
                <w:sz w:val="24"/>
              </w:rPr>
              <w:br w:type="textWrapping"/>
            </w:r>
            <w:r>
              <w:rPr>
                <w:rFonts w:hint="eastAsia" w:ascii="宋体" w:hAnsi="宋体"/>
                <w:sz w:val="24"/>
              </w:rPr>
              <w:t>（具体到XX银行XX支行）</w:t>
            </w:r>
          </w:p>
        </w:tc>
        <w:tc>
          <w:tcPr>
            <w:tcW w:w="3763" w:type="dxa"/>
            <w:vAlign w:val="center"/>
          </w:tcPr>
          <w:p w14:paraId="7708E79D">
            <w:pPr>
              <w:jc w:val="center"/>
              <w:rPr>
                <w:rFonts w:ascii="宋体"/>
                <w:sz w:val="24"/>
              </w:rPr>
            </w:pPr>
          </w:p>
        </w:tc>
        <w:tc>
          <w:tcPr>
            <w:tcW w:w="1179" w:type="dxa"/>
            <w:vAlign w:val="center"/>
          </w:tcPr>
          <w:p w14:paraId="6EB7379C">
            <w:pPr>
              <w:jc w:val="center"/>
              <w:rPr>
                <w:rFonts w:ascii="宋体"/>
                <w:sz w:val="24"/>
              </w:rPr>
            </w:pPr>
            <w:r>
              <w:rPr>
                <w:rFonts w:hint="eastAsia" w:ascii="宋体"/>
                <w:sz w:val="24"/>
              </w:rPr>
              <w:t>联系电话</w:t>
            </w:r>
          </w:p>
        </w:tc>
        <w:tc>
          <w:tcPr>
            <w:tcW w:w="1665" w:type="dxa"/>
            <w:vAlign w:val="center"/>
          </w:tcPr>
          <w:p w14:paraId="40D1FFBC">
            <w:pPr>
              <w:jc w:val="center"/>
              <w:rPr>
                <w:rFonts w:ascii="宋体"/>
                <w:sz w:val="24"/>
              </w:rPr>
            </w:pPr>
          </w:p>
        </w:tc>
      </w:tr>
      <w:tr w14:paraId="4E63D6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2471" w:type="dxa"/>
            <w:vAlign w:val="center"/>
          </w:tcPr>
          <w:p w14:paraId="482164B8">
            <w:pPr>
              <w:jc w:val="center"/>
              <w:rPr>
                <w:rFonts w:ascii="宋体"/>
                <w:sz w:val="24"/>
              </w:rPr>
            </w:pPr>
            <w:r>
              <w:rPr>
                <w:rFonts w:hint="eastAsia" w:ascii="宋体"/>
                <w:sz w:val="24"/>
              </w:rPr>
              <w:t>账    号</w:t>
            </w:r>
          </w:p>
        </w:tc>
        <w:tc>
          <w:tcPr>
            <w:tcW w:w="3763" w:type="dxa"/>
            <w:vAlign w:val="center"/>
          </w:tcPr>
          <w:p w14:paraId="254BDF94">
            <w:pPr>
              <w:jc w:val="center"/>
              <w:rPr>
                <w:rFonts w:ascii="宋体"/>
                <w:sz w:val="24"/>
              </w:rPr>
            </w:pPr>
          </w:p>
        </w:tc>
        <w:tc>
          <w:tcPr>
            <w:tcW w:w="1179" w:type="dxa"/>
            <w:vAlign w:val="center"/>
          </w:tcPr>
          <w:p w14:paraId="4A279CAE">
            <w:pPr>
              <w:jc w:val="center"/>
              <w:rPr>
                <w:rFonts w:ascii="宋体"/>
                <w:sz w:val="24"/>
              </w:rPr>
            </w:pPr>
            <w:r>
              <w:rPr>
                <w:rFonts w:hint="eastAsia" w:ascii="宋体"/>
                <w:sz w:val="24"/>
              </w:rPr>
              <w:t>联系人</w:t>
            </w:r>
          </w:p>
        </w:tc>
        <w:tc>
          <w:tcPr>
            <w:tcW w:w="1665" w:type="dxa"/>
            <w:vAlign w:val="center"/>
          </w:tcPr>
          <w:p w14:paraId="26BB017F">
            <w:pPr>
              <w:jc w:val="center"/>
              <w:rPr>
                <w:rFonts w:ascii="宋体"/>
                <w:sz w:val="24"/>
              </w:rPr>
            </w:pPr>
          </w:p>
        </w:tc>
      </w:tr>
      <w:tr w14:paraId="2016A1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3" w:hRule="atLeast"/>
          <w:jc w:val="center"/>
        </w:trPr>
        <w:tc>
          <w:tcPr>
            <w:tcW w:w="9078" w:type="dxa"/>
            <w:gridSpan w:val="4"/>
            <w:vAlign w:val="center"/>
          </w:tcPr>
          <w:p w14:paraId="28CBEDDF">
            <w:pPr>
              <w:rPr>
                <w:rFonts w:ascii="宋体"/>
                <w:b/>
                <w:sz w:val="24"/>
              </w:rPr>
            </w:pPr>
            <w:r>
              <w:rPr>
                <w:rFonts w:hint="eastAsia" w:ascii="宋体"/>
                <w:b/>
                <w:sz w:val="24"/>
              </w:rPr>
              <w:t>附件：</w:t>
            </w:r>
            <w:r>
              <w:rPr>
                <w:rFonts w:hint="eastAsia" w:ascii="宋体" w:hAnsi="宋体"/>
                <w:b/>
                <w:sz w:val="24"/>
              </w:rPr>
              <w:t>一般纳税人资格认定税务通知书或其他可证明具有该项资格证明文件的复印件。（加盖公章）</w:t>
            </w:r>
          </w:p>
        </w:tc>
      </w:tr>
    </w:tbl>
    <w:p w14:paraId="017388A1">
      <w:pPr>
        <w:spacing w:line="360" w:lineRule="auto"/>
        <w:ind w:firstLine="480" w:firstLineChars="200"/>
        <w:rPr>
          <w:rFonts w:ascii="宋体"/>
          <w:sz w:val="24"/>
        </w:rPr>
      </w:pPr>
      <w:r>
        <w:rPr>
          <w:rFonts w:hint="eastAsia" w:ascii="宋体"/>
          <w:sz w:val="24"/>
        </w:rPr>
        <w:t>投标截止日，如我公司未按该要求填写、未提供有效的开票资料、未确认开具发票类型或确认的发票类型有误，则视为开具增值税普通发票。同意佛山采联采购招标有限公司不予更换发票类型。并愿承担由此引起的一切后果。</w:t>
      </w:r>
    </w:p>
    <w:p w14:paraId="70745F40">
      <w:pPr>
        <w:spacing w:line="360" w:lineRule="auto"/>
        <w:ind w:firstLine="480" w:firstLineChars="200"/>
        <w:rPr>
          <w:rFonts w:ascii="宋体"/>
          <w:sz w:val="24"/>
        </w:rPr>
      </w:pPr>
    </w:p>
    <w:p w14:paraId="37618022">
      <w:pPr>
        <w:snapToGrid w:val="0"/>
        <w:spacing w:line="520" w:lineRule="exact"/>
        <w:ind w:left="780" w:right="480"/>
        <w:jc w:val="center"/>
        <w:rPr>
          <w:rFonts w:ascii="宋体"/>
          <w:sz w:val="24"/>
        </w:rPr>
      </w:pPr>
      <w:r>
        <w:rPr>
          <w:rFonts w:hint="eastAsia"/>
          <w:sz w:val="24"/>
        </w:rPr>
        <w:t>投标人名称</w:t>
      </w:r>
      <w:r>
        <w:rPr>
          <w:rFonts w:hint="eastAsia" w:ascii="宋体"/>
          <w:sz w:val="24"/>
        </w:rPr>
        <w:t>（</w:t>
      </w:r>
      <w:r>
        <w:rPr>
          <w:rFonts w:hint="eastAsia" w:ascii="宋体" w:hAnsi="宋体"/>
          <w:sz w:val="24"/>
        </w:rPr>
        <w:t>单位盖</w:t>
      </w:r>
      <w:r>
        <w:rPr>
          <w:rFonts w:hint="eastAsia"/>
          <w:spacing w:val="4"/>
          <w:sz w:val="24"/>
        </w:rPr>
        <w:t>公章</w:t>
      </w:r>
      <w:r>
        <w:rPr>
          <w:rFonts w:hint="eastAsia" w:ascii="宋体"/>
          <w:sz w:val="24"/>
        </w:rPr>
        <w:t>）：</w:t>
      </w:r>
    </w:p>
    <w:p w14:paraId="43122F70">
      <w:pPr>
        <w:snapToGrid w:val="0"/>
        <w:spacing w:line="520" w:lineRule="exact"/>
        <w:ind w:firstLine="4800" w:firstLineChars="2000"/>
        <w:rPr>
          <w:rFonts w:ascii="宋体"/>
          <w:sz w:val="24"/>
        </w:rPr>
      </w:pPr>
      <w:r>
        <w:rPr>
          <w:rFonts w:hint="eastAsia" w:ascii="宋体"/>
          <w:sz w:val="24"/>
        </w:rPr>
        <w:t>投标人地址：</w:t>
      </w:r>
    </w:p>
    <w:bookmarkEnd w:id="159"/>
    <w:bookmarkEnd w:id="160"/>
    <w:bookmarkEnd w:id="161"/>
    <w:bookmarkEnd w:id="162"/>
    <w:p w14:paraId="6774667A">
      <w:pPr>
        <w:snapToGrid w:val="0"/>
        <w:spacing w:line="520" w:lineRule="exact"/>
        <w:ind w:left="780" w:firstLine="5911" w:firstLineChars="2463"/>
        <w:rPr>
          <w:rFonts w:ascii="宋体"/>
          <w:sz w:val="24"/>
        </w:rPr>
      </w:pPr>
    </w:p>
    <w:sectPr>
      <w:headerReference r:id="rId12" w:type="default"/>
      <w:pgSz w:w="11906" w:h="16838"/>
      <w:pgMar w:top="1440" w:right="1286" w:bottom="1440" w:left="156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2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Cambria Math">
    <w:panose1 w:val="02040503050406030204"/>
    <w:charset w:val="00"/>
    <w:family w:val="roman"/>
    <w:pitch w:val="default"/>
    <w:sig w:usb0="E00002FF" w:usb1="420024FF" w:usb2="00000000" w:usb3="00000000" w:csb0="2000019F" w:csb1="00000000"/>
  </w:font>
  <w:font w:name="Bodoni MT Condensed">
    <w:altName w:val="Segoe Print"/>
    <w:panose1 w:val="02070606080606020203"/>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F3002">
    <w:pPr>
      <w:pStyle w:val="26"/>
      <w:framePr w:wrap="around" w:vAnchor="text" w:hAnchor="margin" w:xAlign="center" w:y="1"/>
      <w:rPr>
        <w:rStyle w:val="42"/>
      </w:rPr>
    </w:pPr>
    <w:r>
      <w:fldChar w:fldCharType="begin"/>
    </w:r>
    <w:r>
      <w:rPr>
        <w:rStyle w:val="42"/>
      </w:rPr>
      <w:instrText xml:space="preserve">PAGE  </w:instrText>
    </w:r>
    <w:r>
      <w:fldChar w:fldCharType="separate"/>
    </w:r>
    <w:r>
      <w:rPr>
        <w:rStyle w:val="42"/>
      </w:rPr>
      <w:t>2</w:t>
    </w:r>
    <w:r>
      <w:fldChar w:fldCharType="end"/>
    </w:r>
  </w:p>
  <w:p w14:paraId="752D5045">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40394">
    <w:pPr>
      <w:pStyle w:val="26"/>
    </w:pPr>
    <w:r>
      <w:rPr>
        <w:rFonts w:hint="eastAsia"/>
      </w:rPr>
      <w:t xml:space="preserve">http://www.chinapsp.cn/                              </w:t>
    </w:r>
    <w:r>
      <w:fldChar w:fldCharType="begin"/>
    </w:r>
    <w:r>
      <w:rPr>
        <w:rStyle w:val="42"/>
      </w:rPr>
      <w:instrText xml:space="preserve"> PAGE </w:instrText>
    </w:r>
    <w:r>
      <w:fldChar w:fldCharType="separate"/>
    </w:r>
    <w:r>
      <w:rPr>
        <w:rStyle w:val="42"/>
      </w:rPr>
      <w:t>2</w:t>
    </w:r>
    <w:r>
      <w:fldChar w:fldCharType="end"/>
    </w:r>
    <w:r>
      <w:rPr>
        <w:rFonts w:hint="eastAsia"/>
      </w:rPr>
      <w:t>佛山采联采购招标有限公司</w:t>
    </w:r>
  </w:p>
  <w:p w14:paraId="72453F6F">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6133E">
    <w:pPr>
      <w:pStyle w:val="26"/>
    </w:pPr>
    <w:r>
      <w:rPr>
        <w:rFonts w:hint="eastAsia"/>
      </w:rPr>
      <w:t>http://www.chinapsp.cn/                   第</w:t>
    </w:r>
    <w:r>
      <w:fldChar w:fldCharType="begin"/>
    </w:r>
    <w:r>
      <w:rPr>
        <w:rStyle w:val="42"/>
      </w:rPr>
      <w:instrText xml:space="preserve"> PAGE </w:instrText>
    </w:r>
    <w:r>
      <w:fldChar w:fldCharType="separate"/>
    </w:r>
    <w:r>
      <w:rPr>
        <w:rStyle w:val="42"/>
      </w:rPr>
      <w:t>5</w:t>
    </w:r>
    <w:r>
      <w:fldChar w:fldCharType="end"/>
    </w:r>
    <w:r>
      <w:rPr>
        <w:rStyle w:val="42"/>
        <w:rFonts w:hint="eastAsia"/>
      </w:rPr>
      <w:t>页，共</w:t>
    </w:r>
    <w:r>
      <w:fldChar w:fldCharType="begin"/>
    </w:r>
    <w:r>
      <w:rPr>
        <w:rStyle w:val="42"/>
      </w:rPr>
      <w:instrText xml:space="preserve"> NUMPAGES </w:instrText>
    </w:r>
    <w:r>
      <w:fldChar w:fldCharType="separate"/>
    </w:r>
    <w:r>
      <w:rPr>
        <w:rStyle w:val="42"/>
      </w:rPr>
      <w:t>111</w:t>
    </w:r>
    <w:r>
      <w:fldChar w:fldCharType="end"/>
    </w:r>
    <w:r>
      <w:rPr>
        <w:rStyle w:val="42"/>
        <w:rFonts w:hint="eastAsia"/>
      </w:rPr>
      <w:t xml:space="preserve">页                    </w:t>
    </w:r>
    <w:r>
      <w:rPr>
        <w:rFonts w:hint="eastAsia"/>
      </w:rPr>
      <w:t>佛山采联采购招标有限公司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3A71E">
    <w:pPr>
      <w:pStyle w:val="27"/>
      <w:pBdr>
        <w:bottom w:val="none" w:color="auto" w:sz="0" w:space="0"/>
      </w:pBdr>
      <w:jc w:val="both"/>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12919">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4BD04">
    <w:pPr>
      <w:pStyle w:val="27"/>
      <w:jc w:val="both"/>
    </w:pPr>
    <w:r>
      <w:rPr>
        <w:rFonts w:ascii="黑体" w:eastAsia="黑体"/>
        <w:sz w:val="24"/>
      </w:rPr>
      <w:drawing>
        <wp:inline distT="0" distB="0" distL="0" distR="0">
          <wp:extent cx="685800" cy="233680"/>
          <wp:effectExtent l="0" t="0" r="0" b="0"/>
          <wp:docPr id="18" name="图片 18" descr="C:\Users\lsd\AppData\Local\Microsoft\Windows\INetCache\Content.Word\公司LOGO（灰色）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Users\lsd\AppData\Local\Microsoft\Windows\INetCache\Content.Word\公司LOGO（灰色）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763396" cy="260348"/>
                  </a:xfrm>
                  <a:prstGeom prst="rect">
                    <a:avLst/>
                  </a:prstGeom>
                  <a:noFill/>
                  <a:ln>
                    <a:noFill/>
                  </a:ln>
                </pic:spPr>
              </pic:pic>
            </a:graphicData>
          </a:graphic>
        </wp:inline>
      </w:drawing>
    </w:r>
    <w:r>
      <w:rPr>
        <w:rFonts w:ascii="黑体" w:eastAsia="黑体"/>
        <w:sz w:val="24"/>
      </w:rPr>
      <w:t xml:space="preserve"> </w:t>
    </w:r>
    <w:r>
      <w:rPr>
        <w:rFonts w:hint="eastAsia" w:ascii="宋体" w:hAnsi="宋体"/>
      </w:rPr>
      <w:t xml:space="preserve"> ︱让︱您︱的︱选︱择︱更︱专︱业︱</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564A6">
    <w:pPr>
      <w:pStyle w:val="27"/>
      <w:jc w:val="both"/>
      <w:rPr>
        <w:rFonts w:ascii="宋体" w:hAnsi="宋体"/>
        <w:color w:val="000000" w:themeColor="text1"/>
        <w14:textFill>
          <w14:solidFill>
            <w14:schemeClr w14:val="tx1"/>
          </w14:solidFill>
        </w14:textFill>
      </w:rPr>
    </w:pPr>
    <w:r>
      <w:rPr>
        <w:rFonts w:hint="eastAsia" w:ascii="宋体" w:hAnsi="宋体"/>
      </w:rPr>
      <w:t xml:space="preserve"> </w:t>
    </w:r>
    <w:r>
      <w:rPr>
        <w:rFonts w:ascii="黑体" w:eastAsia="黑体"/>
        <w:szCs w:val="21"/>
      </w:rPr>
      <w:drawing>
        <wp:inline distT="0" distB="0" distL="0" distR="0">
          <wp:extent cx="666750" cy="259715"/>
          <wp:effectExtent l="0" t="0" r="0" b="698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666958" cy="260348"/>
                  </a:xfrm>
                  <a:prstGeom prst="rect">
                    <a:avLst/>
                  </a:prstGeom>
                  <a:noFill/>
                  <a:ln>
                    <a:noFill/>
                  </a:ln>
                </pic:spPr>
              </pic:pic>
            </a:graphicData>
          </a:graphic>
        </wp:inline>
      </w:drawing>
    </w:r>
    <w:r>
      <w:rPr>
        <w:rFonts w:hint="eastAsia" w:ascii="黑体" w:eastAsia="黑体"/>
        <w:szCs w:val="21"/>
      </w:rPr>
      <w:t xml:space="preserve"> </w:t>
    </w:r>
    <w:r>
      <w:rPr>
        <w:rFonts w:hint="eastAsia" w:ascii="宋体" w:hAnsi="宋体"/>
      </w:rPr>
      <w:t xml:space="preserve">  让︱您︱的︱选︱择︱更︱专︱业︱</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3CC8C">
    <w:pPr>
      <w:pStyle w:val="27"/>
      <w:jc w:val="both"/>
      <w:rPr>
        <w:rFonts w:ascii="宋体" w:hAnsi="宋体"/>
      </w:rPr>
    </w:pPr>
    <w:r>
      <w:rPr>
        <w:rFonts w:eastAsia="Times New Roman"/>
        <w:snapToGrid w:val="0"/>
        <w:color w:val="000000"/>
        <w:w w:val="0"/>
        <w:sz w:val="0"/>
        <w:szCs w:val="0"/>
        <w:u w:color="000000"/>
        <w:shd w:val="clear" w:color="000000" w:fill="000000"/>
      </w:rPr>
      <w:t xml:space="preserve"> </w:t>
    </w:r>
    <w:r>
      <w:rPr>
        <w:rFonts w:ascii="宋体" w:hAnsi="宋体"/>
      </w:rPr>
      <w:drawing>
        <wp:inline distT="0" distB="0" distL="0" distR="0">
          <wp:extent cx="666750" cy="259715"/>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666958" cy="260348"/>
                  </a:xfrm>
                  <a:prstGeom prst="rect">
                    <a:avLst/>
                  </a:prstGeom>
                  <a:noFill/>
                  <a:ln>
                    <a:noFill/>
                  </a:ln>
                </pic:spPr>
              </pic:pic>
            </a:graphicData>
          </a:graphic>
        </wp:inline>
      </w:drawing>
    </w:r>
    <w:r>
      <w:rPr>
        <w:rFonts w:ascii="宋体" w:hAnsi="宋体"/>
      </w:rPr>
      <w:t xml:space="preserve"> </w:t>
    </w:r>
    <w:r>
      <w:rPr>
        <w:rFonts w:hint="eastAsia" w:ascii="宋体" w:hAnsi="宋体"/>
      </w:rPr>
      <w:t xml:space="preserve"> ︱让︱您︱的︱选︱择︱更︱专︱业︱</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6DBBE9"/>
    <w:multiLevelType w:val="multilevel"/>
    <w:tmpl w:val="956DBBE9"/>
    <w:lvl w:ilvl="0" w:tentative="0">
      <w:start w:val="1"/>
      <w:numFmt w:val="decimal"/>
      <w:lvlText w:val="（%1）"/>
      <w:lvlJc w:val="left"/>
      <w:pPr>
        <w:tabs>
          <w:tab w:val="left" w:pos="840"/>
        </w:tabs>
        <w:ind w:left="840" w:hanging="420"/>
      </w:pPr>
      <w:rPr>
        <w:rFonts w:hint="eastAsia"/>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00000012"/>
    <w:multiLevelType w:val="multilevel"/>
    <w:tmpl w:val="00000012"/>
    <w:lvl w:ilvl="0" w:tentative="0">
      <w:start w:val="1"/>
      <w:numFmt w:val="japaneseCounting"/>
      <w:lvlText w:val="%1、"/>
      <w:lvlJc w:val="left"/>
      <w:pPr>
        <w:ind w:left="360" w:hanging="360"/>
      </w:pPr>
      <w:rPr>
        <w:color w:val="auto"/>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3F62668"/>
    <w:multiLevelType w:val="multilevel"/>
    <w:tmpl w:val="03F62668"/>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Theme="minorEastAsia" w:hAnsiTheme="minorEastAsia" w:eastAsiaTheme="minorEastAsia"/>
        <w:b w:val="0"/>
        <w:i w:val="0"/>
        <w:strike w:val="0"/>
        <w:color w:val="auto"/>
        <w:sz w:val="24"/>
        <w:szCs w:val="24"/>
      </w:rPr>
    </w:lvl>
    <w:lvl w:ilvl="2" w:tentative="0">
      <w:start w:val="1"/>
      <w:numFmt w:val="decimal"/>
      <w:lvlText w:val="%3."/>
      <w:lvlJc w:val="left"/>
      <w:pPr>
        <w:ind w:left="709" w:hanging="709"/>
      </w:pPr>
      <w:rPr>
        <w:rFonts w:asciiTheme="minorEastAsia" w:hAnsiTheme="minorEastAsia" w:eastAsiaTheme="minorEastAsia"/>
        <w:b w:val="0"/>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04304859"/>
    <w:multiLevelType w:val="multilevel"/>
    <w:tmpl w:val="04304859"/>
    <w:lvl w:ilvl="0" w:tentative="0">
      <w:start w:val="1"/>
      <w:numFmt w:val="decimal"/>
      <w:lvlText w:val="%1."/>
      <w:lvlJc w:val="left"/>
      <w:pPr>
        <w:ind w:left="840" w:hanging="420"/>
      </w:pPr>
      <w:rPr>
        <w:rFonts w:hint="eastAsia"/>
        <w:b/>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59A147F"/>
    <w:multiLevelType w:val="multilevel"/>
    <w:tmpl w:val="059A147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8B375D3"/>
    <w:multiLevelType w:val="multilevel"/>
    <w:tmpl w:val="08B375D3"/>
    <w:lvl w:ilvl="0" w:tentative="0">
      <w:start w:val="1"/>
      <w:numFmt w:val="decimal"/>
      <w:lvlText w:val="%1."/>
      <w:lvlJc w:val="left"/>
      <w:pPr>
        <w:ind w:left="420" w:hanging="420"/>
      </w:pPr>
      <w:rPr>
        <w:rFonts w:asciiTheme="minorEastAsia" w:hAnsiTheme="minorEastAsia" w:eastAsiaTheme="minor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93D2182"/>
    <w:multiLevelType w:val="multilevel"/>
    <w:tmpl w:val="093D2182"/>
    <w:lvl w:ilvl="0" w:tentative="0">
      <w:start w:val="1"/>
      <w:numFmt w:val="decimal"/>
      <w:lvlText w:val="%1."/>
      <w:lvlJc w:val="left"/>
      <w:pPr>
        <w:ind w:left="840" w:hanging="420"/>
      </w:pPr>
      <w:rPr>
        <w:rFonts w:hint="eastAsia"/>
        <w:strike w:val="0"/>
        <w:color w:val="000000" w:themeColor="text1"/>
        <w14:textFill>
          <w14:solidFill>
            <w14:schemeClr w14:val="tx1"/>
          </w14:solidFill>
        </w14:textFill>
      </w:rPr>
    </w:lvl>
    <w:lvl w:ilvl="1" w:tentative="0">
      <w:start w:val="9"/>
      <w:numFmt w:val="japaneseCounting"/>
      <w:lvlText w:val="（%2）"/>
      <w:lvlJc w:val="left"/>
      <w:pPr>
        <w:ind w:left="1185" w:hanging="765"/>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98B5B8C"/>
    <w:multiLevelType w:val="multilevel"/>
    <w:tmpl w:val="098B5B8C"/>
    <w:lvl w:ilvl="0" w:tentative="0">
      <w:start w:val="1"/>
      <w:numFmt w:val="decimal"/>
      <w:lvlText w:val="%1"/>
      <w:lvlJc w:val="center"/>
      <w:pPr>
        <w:tabs>
          <w:tab w:val="left" w:pos="142"/>
        </w:tabs>
        <w:ind w:left="142" w:firstLine="3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A1D29FE"/>
    <w:multiLevelType w:val="multilevel"/>
    <w:tmpl w:val="0A1D29FE"/>
    <w:lvl w:ilvl="0" w:tentative="0">
      <w:start w:val="3"/>
      <w:numFmt w:val="decimal"/>
      <w:lvlText w:val="格式%1"/>
      <w:lvlJc w:val="left"/>
      <w:pPr>
        <w:tabs>
          <w:tab w:val="left" w:pos="425"/>
        </w:tabs>
        <w:ind w:left="425" w:hanging="425"/>
      </w:pPr>
      <w:rPr>
        <w:rFonts w:hint="eastAsia" w:ascii="黑体" w:eastAsia="黑体"/>
        <w:b w:val="0"/>
        <w:color w:val="auto"/>
        <w:sz w:val="28"/>
        <w:szCs w:val="28"/>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9">
    <w:nsid w:val="0B0F6260"/>
    <w:multiLevelType w:val="multilevel"/>
    <w:tmpl w:val="0B0F6260"/>
    <w:lvl w:ilvl="0" w:tentative="0">
      <w:start w:val="1"/>
      <w:numFmt w:val="decimal"/>
      <w:lvlText w:val="%1."/>
      <w:lvlJc w:val="left"/>
      <w:pPr>
        <w:ind w:left="420" w:hanging="420"/>
      </w:pPr>
      <w:rPr>
        <w:rFonts w:hint="eastAsia" w:ascii="宋体" w:hAnsi="宋体" w:eastAsia="宋体"/>
        <w:b w:val="0"/>
        <w:sz w:val="24"/>
        <w:szCs w:val="24"/>
      </w:rPr>
    </w:lvl>
    <w:lvl w:ilvl="1" w:tentative="0">
      <w:start w:val="1"/>
      <w:numFmt w:val="lowerLetter"/>
      <w:lvlText w:val="%2)"/>
      <w:lvlJc w:val="left"/>
      <w:pPr>
        <w:ind w:left="556" w:hanging="420"/>
      </w:pPr>
    </w:lvl>
    <w:lvl w:ilvl="2" w:tentative="0">
      <w:start w:val="1"/>
      <w:numFmt w:val="lowerRoman"/>
      <w:lvlText w:val="%3."/>
      <w:lvlJc w:val="right"/>
      <w:pPr>
        <w:ind w:left="976" w:hanging="420"/>
      </w:pPr>
    </w:lvl>
    <w:lvl w:ilvl="3" w:tentative="0">
      <w:start w:val="1"/>
      <w:numFmt w:val="decimal"/>
      <w:lvlText w:val="%4."/>
      <w:lvlJc w:val="left"/>
      <w:pPr>
        <w:ind w:left="1396" w:hanging="420"/>
      </w:pPr>
    </w:lvl>
    <w:lvl w:ilvl="4" w:tentative="0">
      <w:start w:val="1"/>
      <w:numFmt w:val="lowerLetter"/>
      <w:lvlText w:val="%5)"/>
      <w:lvlJc w:val="left"/>
      <w:pPr>
        <w:ind w:left="1816" w:hanging="420"/>
      </w:pPr>
    </w:lvl>
    <w:lvl w:ilvl="5" w:tentative="0">
      <w:start w:val="1"/>
      <w:numFmt w:val="lowerRoman"/>
      <w:lvlText w:val="%6."/>
      <w:lvlJc w:val="right"/>
      <w:pPr>
        <w:ind w:left="2236" w:hanging="420"/>
      </w:pPr>
    </w:lvl>
    <w:lvl w:ilvl="6" w:tentative="0">
      <w:start w:val="1"/>
      <w:numFmt w:val="decimal"/>
      <w:lvlText w:val="%7."/>
      <w:lvlJc w:val="left"/>
      <w:pPr>
        <w:ind w:left="2656" w:hanging="420"/>
      </w:pPr>
    </w:lvl>
    <w:lvl w:ilvl="7" w:tentative="0">
      <w:start w:val="1"/>
      <w:numFmt w:val="lowerLetter"/>
      <w:lvlText w:val="%8)"/>
      <w:lvlJc w:val="left"/>
      <w:pPr>
        <w:ind w:left="3076" w:hanging="420"/>
      </w:pPr>
    </w:lvl>
    <w:lvl w:ilvl="8" w:tentative="0">
      <w:start w:val="1"/>
      <w:numFmt w:val="lowerRoman"/>
      <w:lvlText w:val="%9."/>
      <w:lvlJc w:val="right"/>
      <w:pPr>
        <w:ind w:left="3496" w:hanging="420"/>
      </w:pPr>
    </w:lvl>
  </w:abstractNum>
  <w:abstractNum w:abstractNumId="10">
    <w:nsid w:val="0B480039"/>
    <w:multiLevelType w:val="multilevel"/>
    <w:tmpl w:val="0B480039"/>
    <w:lvl w:ilvl="0" w:tentative="0">
      <w:start w:val="1"/>
      <w:numFmt w:val="decimal"/>
      <w:lvlText w:val="%1."/>
      <w:lvlJc w:val="left"/>
      <w:pPr>
        <w:ind w:left="1963" w:hanging="420"/>
      </w:pPr>
    </w:lvl>
    <w:lvl w:ilvl="1" w:tentative="0">
      <w:start w:val="1"/>
      <w:numFmt w:val="lowerLetter"/>
      <w:lvlText w:val="%2)"/>
      <w:lvlJc w:val="left"/>
      <w:pPr>
        <w:ind w:left="2383" w:hanging="420"/>
      </w:pPr>
    </w:lvl>
    <w:lvl w:ilvl="2" w:tentative="0">
      <w:start w:val="1"/>
      <w:numFmt w:val="lowerRoman"/>
      <w:lvlText w:val="%3."/>
      <w:lvlJc w:val="right"/>
      <w:pPr>
        <w:ind w:left="2803" w:hanging="420"/>
      </w:pPr>
    </w:lvl>
    <w:lvl w:ilvl="3" w:tentative="0">
      <w:start w:val="1"/>
      <w:numFmt w:val="decimal"/>
      <w:lvlText w:val="%4."/>
      <w:lvlJc w:val="left"/>
      <w:pPr>
        <w:ind w:left="3223" w:hanging="420"/>
      </w:pPr>
    </w:lvl>
    <w:lvl w:ilvl="4" w:tentative="0">
      <w:start w:val="1"/>
      <w:numFmt w:val="lowerLetter"/>
      <w:lvlText w:val="%5)"/>
      <w:lvlJc w:val="left"/>
      <w:pPr>
        <w:ind w:left="3643" w:hanging="420"/>
      </w:pPr>
    </w:lvl>
    <w:lvl w:ilvl="5" w:tentative="0">
      <w:start w:val="1"/>
      <w:numFmt w:val="lowerRoman"/>
      <w:lvlText w:val="%6."/>
      <w:lvlJc w:val="right"/>
      <w:pPr>
        <w:ind w:left="4063" w:hanging="420"/>
      </w:pPr>
    </w:lvl>
    <w:lvl w:ilvl="6" w:tentative="0">
      <w:start w:val="1"/>
      <w:numFmt w:val="decimal"/>
      <w:lvlText w:val="%7."/>
      <w:lvlJc w:val="left"/>
      <w:pPr>
        <w:ind w:left="4483" w:hanging="420"/>
      </w:pPr>
    </w:lvl>
    <w:lvl w:ilvl="7" w:tentative="0">
      <w:start w:val="1"/>
      <w:numFmt w:val="lowerLetter"/>
      <w:lvlText w:val="%8)"/>
      <w:lvlJc w:val="left"/>
      <w:pPr>
        <w:ind w:left="4903" w:hanging="420"/>
      </w:pPr>
    </w:lvl>
    <w:lvl w:ilvl="8" w:tentative="0">
      <w:start w:val="1"/>
      <w:numFmt w:val="lowerRoman"/>
      <w:lvlText w:val="%9."/>
      <w:lvlJc w:val="right"/>
      <w:pPr>
        <w:ind w:left="5323" w:hanging="420"/>
      </w:pPr>
    </w:lvl>
  </w:abstractNum>
  <w:abstractNum w:abstractNumId="11">
    <w:nsid w:val="0C8E6839"/>
    <w:multiLevelType w:val="multilevel"/>
    <w:tmpl w:val="0C8E6839"/>
    <w:lvl w:ilvl="0" w:tentative="0">
      <w:start w:val="1"/>
      <w:numFmt w:val="chineseCountingThousand"/>
      <w:lvlText w:val="(%1)"/>
      <w:lvlJc w:val="left"/>
      <w:pPr>
        <w:ind w:left="360" w:hanging="360"/>
      </w:pPr>
      <w:rPr>
        <w:rFonts w:hint="eastAsia"/>
        <w:i w:val="0"/>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DCA2A9E"/>
    <w:multiLevelType w:val="multilevel"/>
    <w:tmpl w:val="0DCA2A9E"/>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124D3F57"/>
    <w:multiLevelType w:val="multilevel"/>
    <w:tmpl w:val="124D3F57"/>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13914F62"/>
    <w:multiLevelType w:val="multilevel"/>
    <w:tmpl w:val="13914F62"/>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5">
    <w:nsid w:val="13C34E09"/>
    <w:multiLevelType w:val="multilevel"/>
    <w:tmpl w:val="13C34E09"/>
    <w:lvl w:ilvl="0" w:tentative="0">
      <w:start w:val="1"/>
      <w:numFmt w:val="decimal"/>
      <w:lvlText w:val="%1"/>
      <w:lvlJc w:val="center"/>
      <w:pPr>
        <w:tabs>
          <w:tab w:val="left" w:pos="142"/>
        </w:tabs>
        <w:ind w:left="142" w:firstLine="3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18925ABF"/>
    <w:multiLevelType w:val="multilevel"/>
    <w:tmpl w:val="18925ABF"/>
    <w:lvl w:ilvl="0" w:tentative="0">
      <w:start w:val="1"/>
      <w:numFmt w:val="chineseCountingThousand"/>
      <w:lvlText w:val="(%1)"/>
      <w:lvlJc w:val="left"/>
      <w:pPr>
        <w:tabs>
          <w:tab w:val="left" w:pos="420"/>
        </w:tabs>
        <w:ind w:left="420" w:hanging="420"/>
      </w:pPr>
      <w:rPr>
        <w:color w:val="auto"/>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198F3F03"/>
    <w:multiLevelType w:val="multilevel"/>
    <w:tmpl w:val="198F3F03"/>
    <w:lvl w:ilvl="0" w:tentative="0">
      <w:start w:val="1"/>
      <w:numFmt w:val="chineseCountingThousand"/>
      <w:lvlText w:val="(%1)"/>
      <w:lvlJc w:val="left"/>
      <w:pPr>
        <w:tabs>
          <w:tab w:val="left" w:pos="425"/>
        </w:tabs>
        <w:ind w:left="425" w:hanging="425"/>
      </w:pPr>
      <w:rPr>
        <w:rFonts w:hint="eastAsia"/>
        <w:strike w:val="0"/>
      </w:rPr>
    </w:lvl>
    <w:lvl w:ilvl="1" w:tentative="0">
      <w:start w:val="1"/>
      <w:numFmt w:val="decimal"/>
      <w:lvlText w:val="%2."/>
      <w:lvlJc w:val="left"/>
      <w:pPr>
        <w:tabs>
          <w:tab w:val="left" w:pos="567"/>
        </w:tabs>
        <w:ind w:left="567" w:hanging="567"/>
      </w:pPr>
      <w:rPr>
        <w:rFonts w:hint="eastAsia"/>
        <w:b w:val="0"/>
        <w:strike w:val="0"/>
        <w:dstrike w:val="0"/>
        <w:color w:val="auto"/>
        <w:sz w:val="24"/>
        <w:szCs w:val="24"/>
      </w:rPr>
    </w:lvl>
    <w:lvl w:ilvl="2" w:tentative="0">
      <w:start w:val="1"/>
      <w:numFmt w:val="decimal"/>
      <w:lvlText w:val="（%3)"/>
      <w:lvlJc w:val="left"/>
      <w:pPr>
        <w:tabs>
          <w:tab w:val="left" w:pos="567"/>
        </w:tabs>
        <w:ind w:left="567" w:hanging="567"/>
      </w:pPr>
      <w:rPr>
        <w:rFonts w:hint="eastAsia"/>
        <w:b w:val="0"/>
        <w:sz w:val="24"/>
        <w:szCs w:val="24"/>
      </w:rPr>
    </w:lvl>
    <w:lvl w:ilvl="3" w:tentative="0">
      <w:start w:val="1"/>
      <w:numFmt w:val="decimal"/>
      <w:lvlText w:val="（%4)"/>
      <w:lvlJc w:val="left"/>
      <w:pPr>
        <w:tabs>
          <w:tab w:val="left" w:pos="851"/>
        </w:tabs>
        <w:ind w:left="851" w:hanging="851"/>
      </w:pPr>
      <w:rPr>
        <w:rFonts w:hint="eastAsia"/>
        <w:dstrike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8">
    <w:nsid w:val="1AB30B54"/>
    <w:multiLevelType w:val="multilevel"/>
    <w:tmpl w:val="1AB30B5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BA134F3"/>
    <w:multiLevelType w:val="multilevel"/>
    <w:tmpl w:val="1BA134F3"/>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1D1C7BA2"/>
    <w:multiLevelType w:val="multilevel"/>
    <w:tmpl w:val="1D1C7BA2"/>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D493111"/>
    <w:multiLevelType w:val="multilevel"/>
    <w:tmpl w:val="1D493111"/>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DD22B5D"/>
    <w:multiLevelType w:val="multilevel"/>
    <w:tmpl w:val="1DD22B5D"/>
    <w:lvl w:ilvl="0" w:tentative="0">
      <w:start w:val="1"/>
      <w:numFmt w:val="decimal"/>
      <w:lvlText w:val="%1)"/>
      <w:lvlJc w:val="left"/>
      <w:pPr>
        <w:ind w:left="420" w:hanging="42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3A63FDB"/>
    <w:multiLevelType w:val="multilevel"/>
    <w:tmpl w:val="23A63FDB"/>
    <w:lvl w:ilvl="0" w:tentative="0">
      <w:start w:val="1"/>
      <w:numFmt w:val="chineseCountingThousand"/>
      <w:lvlText w:val="(%1)"/>
      <w:lvlJc w:val="left"/>
      <w:pPr>
        <w:ind w:left="420" w:hanging="420"/>
      </w:pPr>
      <w:rPr>
        <w:rFonts w:asciiTheme="majorEastAsia" w:hAnsiTheme="majorEastAsia" w:eastAsiaTheme="maj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3F22C62"/>
    <w:multiLevelType w:val="multilevel"/>
    <w:tmpl w:val="23F22C62"/>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50D2173"/>
    <w:multiLevelType w:val="multilevel"/>
    <w:tmpl w:val="250D217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5AC778E"/>
    <w:multiLevelType w:val="multilevel"/>
    <w:tmpl w:val="25AC778E"/>
    <w:lvl w:ilvl="0" w:tentative="0">
      <w:start w:val="1"/>
      <w:numFmt w:val="japaneseCounting"/>
      <w:lvlText w:val="%1、"/>
      <w:lvlJc w:val="left"/>
      <w:pPr>
        <w:tabs>
          <w:tab w:val="left" w:pos="420"/>
        </w:tabs>
        <w:ind w:left="420" w:hanging="420"/>
      </w:pPr>
      <w:rPr>
        <w:rFonts w:ascii="宋体" w:hAnsi="宋体" w:eastAsia="宋体" w:cs="Courier New"/>
        <w:color w:val="auto"/>
      </w:rPr>
    </w:lvl>
    <w:lvl w:ilvl="1" w:tentative="0">
      <w:start w:val="1"/>
      <w:numFmt w:val="decimal"/>
      <w:lvlText w:val="%2、"/>
      <w:lvlJc w:val="left"/>
      <w:pPr>
        <w:tabs>
          <w:tab w:val="left" w:pos="780"/>
        </w:tabs>
        <w:ind w:left="780" w:hanging="360"/>
      </w:pPr>
      <w:rPr>
        <w:rFonts w:hint="default"/>
        <w:b w:val="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267A61ED"/>
    <w:multiLevelType w:val="multilevel"/>
    <w:tmpl w:val="267A61ED"/>
    <w:lvl w:ilvl="0" w:tentative="0">
      <w:start w:val="1"/>
      <w:numFmt w:val="decimal"/>
      <w:lvlText w:val="%1）"/>
      <w:lvlJc w:val="left"/>
      <w:pPr>
        <w:ind w:left="840" w:hanging="420"/>
      </w:pPr>
      <w:rPr>
        <w:rFonts w:hint="default"/>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27A7686C"/>
    <w:multiLevelType w:val="multilevel"/>
    <w:tmpl w:val="27A7686C"/>
    <w:lvl w:ilvl="0" w:tentative="0">
      <w:start w:val="1"/>
      <w:numFmt w:val="decimal"/>
      <w:lvlText w:val="%1)"/>
      <w:lvlJc w:val="left"/>
      <w:pPr>
        <w:ind w:left="420" w:hanging="42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286D0CD4"/>
    <w:multiLevelType w:val="multilevel"/>
    <w:tmpl w:val="286D0CD4"/>
    <w:lvl w:ilvl="0" w:tentative="0">
      <w:start w:val="1"/>
      <w:numFmt w:val="decimalEnclosedCircle"/>
      <w:lvlText w:val="%1"/>
      <w:lvlJc w:val="left"/>
      <w:pPr>
        <w:ind w:left="126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292A6796"/>
    <w:multiLevelType w:val="multilevel"/>
    <w:tmpl w:val="292A6796"/>
    <w:lvl w:ilvl="0" w:tentative="0">
      <w:start w:val="1"/>
      <w:numFmt w:val="decimal"/>
      <w:lvlText w:val="%1."/>
      <w:lvlJc w:val="left"/>
      <w:pPr>
        <w:ind w:left="420" w:hanging="420"/>
      </w:pPr>
      <w:rPr>
        <w:rFonts w:hint="eastAsia" w:asciiTheme="majorEastAsia" w:hAnsiTheme="majorEastAsia" w:eastAsiaTheme="maj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2A5E0B58"/>
    <w:multiLevelType w:val="multilevel"/>
    <w:tmpl w:val="2A5E0B58"/>
    <w:lvl w:ilvl="0" w:tentative="0">
      <w:start w:val="1"/>
      <w:numFmt w:val="chineseCountingThousand"/>
      <w:lvlText w:val="(%1)"/>
      <w:lvlJc w:val="left"/>
      <w:pPr>
        <w:tabs>
          <w:tab w:val="left" w:pos="425"/>
        </w:tabs>
        <w:ind w:left="425" w:hanging="425"/>
      </w:pPr>
      <w:rPr>
        <w:rFonts w:hint="eastAsia"/>
        <w:strike w:val="0"/>
      </w:rPr>
    </w:lvl>
    <w:lvl w:ilvl="1" w:tentative="0">
      <w:start w:val="1"/>
      <w:numFmt w:val="decimal"/>
      <w:lvlText w:val="%2."/>
      <w:lvlJc w:val="left"/>
      <w:pPr>
        <w:tabs>
          <w:tab w:val="left" w:pos="567"/>
        </w:tabs>
        <w:ind w:left="567" w:hanging="567"/>
      </w:pPr>
      <w:rPr>
        <w:rFonts w:hint="eastAsia"/>
        <w:b w:val="0"/>
        <w:strike w:val="0"/>
        <w:dstrike w:val="0"/>
        <w:sz w:val="24"/>
        <w:szCs w:val="24"/>
      </w:rPr>
    </w:lvl>
    <w:lvl w:ilvl="2" w:tentative="0">
      <w:start w:val="1"/>
      <w:numFmt w:val="decimal"/>
      <w:lvlText w:val="（%3)"/>
      <w:lvlJc w:val="left"/>
      <w:pPr>
        <w:tabs>
          <w:tab w:val="left" w:pos="567"/>
        </w:tabs>
        <w:ind w:left="567" w:hanging="567"/>
      </w:pPr>
      <w:rPr>
        <w:rFonts w:hint="eastAsia"/>
        <w:b w:val="0"/>
        <w:sz w:val="24"/>
        <w:szCs w:val="24"/>
      </w:rPr>
    </w:lvl>
    <w:lvl w:ilvl="3" w:tentative="0">
      <w:start w:val="1"/>
      <w:numFmt w:val="decimal"/>
      <w:lvlText w:val="（%4)"/>
      <w:lvlJc w:val="left"/>
      <w:pPr>
        <w:tabs>
          <w:tab w:val="left" w:pos="851"/>
        </w:tabs>
        <w:ind w:left="851" w:hanging="851"/>
      </w:pPr>
      <w:rPr>
        <w:rFonts w:hint="eastAsia"/>
        <w:dstrike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2">
    <w:nsid w:val="2C61436A"/>
    <w:multiLevelType w:val="multilevel"/>
    <w:tmpl w:val="2C61436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2CA85AD8"/>
    <w:multiLevelType w:val="multilevel"/>
    <w:tmpl w:val="2CA85AD8"/>
    <w:lvl w:ilvl="0" w:tentative="0">
      <w:start w:val="1"/>
      <w:numFmt w:val="decimal"/>
      <w:lvlText w:val="（%1）"/>
      <w:lvlJc w:val="left"/>
      <w:pPr>
        <w:ind w:left="987" w:hanging="420"/>
      </w:pPr>
      <w:rPr>
        <w:rFonts w:hint="eastAsia"/>
        <w:color w:val="auto"/>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D23426E"/>
    <w:multiLevelType w:val="multilevel"/>
    <w:tmpl w:val="2D23426E"/>
    <w:lvl w:ilvl="0" w:tentative="0">
      <w:start w:val="1"/>
      <w:numFmt w:val="decimal"/>
      <w:lvlText w:val="%1."/>
      <w:lvlJc w:val="left"/>
      <w:pPr>
        <w:ind w:left="420" w:hanging="420"/>
      </w:pPr>
      <w:rPr>
        <w:rFonts w:hint="eastAsia" w:ascii="宋体" w:hAnsi="宋体" w:eastAsia="宋体"/>
        <w:b w:val="0"/>
        <w:sz w:val="24"/>
        <w:szCs w:val="24"/>
      </w:rPr>
    </w:lvl>
    <w:lvl w:ilvl="1" w:tentative="0">
      <w:start w:val="1"/>
      <w:numFmt w:val="lowerLetter"/>
      <w:lvlText w:val="%2)"/>
      <w:lvlJc w:val="left"/>
      <w:pPr>
        <w:ind w:left="556" w:hanging="420"/>
      </w:pPr>
    </w:lvl>
    <w:lvl w:ilvl="2" w:tentative="0">
      <w:start w:val="1"/>
      <w:numFmt w:val="lowerRoman"/>
      <w:lvlText w:val="%3."/>
      <w:lvlJc w:val="right"/>
      <w:pPr>
        <w:ind w:left="976" w:hanging="420"/>
      </w:pPr>
    </w:lvl>
    <w:lvl w:ilvl="3" w:tentative="0">
      <w:start w:val="1"/>
      <w:numFmt w:val="decimal"/>
      <w:lvlText w:val="%4."/>
      <w:lvlJc w:val="left"/>
      <w:pPr>
        <w:ind w:left="1396" w:hanging="420"/>
      </w:pPr>
    </w:lvl>
    <w:lvl w:ilvl="4" w:tentative="0">
      <w:start w:val="1"/>
      <w:numFmt w:val="lowerLetter"/>
      <w:lvlText w:val="%5)"/>
      <w:lvlJc w:val="left"/>
      <w:pPr>
        <w:ind w:left="1816" w:hanging="420"/>
      </w:pPr>
    </w:lvl>
    <w:lvl w:ilvl="5" w:tentative="0">
      <w:start w:val="1"/>
      <w:numFmt w:val="lowerRoman"/>
      <w:lvlText w:val="%6."/>
      <w:lvlJc w:val="right"/>
      <w:pPr>
        <w:ind w:left="2236" w:hanging="420"/>
      </w:pPr>
    </w:lvl>
    <w:lvl w:ilvl="6" w:tentative="0">
      <w:start w:val="1"/>
      <w:numFmt w:val="decimal"/>
      <w:lvlText w:val="%7."/>
      <w:lvlJc w:val="left"/>
      <w:pPr>
        <w:ind w:left="2656" w:hanging="420"/>
      </w:pPr>
    </w:lvl>
    <w:lvl w:ilvl="7" w:tentative="0">
      <w:start w:val="1"/>
      <w:numFmt w:val="lowerLetter"/>
      <w:lvlText w:val="%8)"/>
      <w:lvlJc w:val="left"/>
      <w:pPr>
        <w:ind w:left="3076" w:hanging="420"/>
      </w:pPr>
    </w:lvl>
    <w:lvl w:ilvl="8" w:tentative="0">
      <w:start w:val="1"/>
      <w:numFmt w:val="lowerRoman"/>
      <w:lvlText w:val="%9."/>
      <w:lvlJc w:val="right"/>
      <w:pPr>
        <w:ind w:left="3496" w:hanging="420"/>
      </w:pPr>
    </w:lvl>
  </w:abstractNum>
  <w:abstractNum w:abstractNumId="35">
    <w:nsid w:val="344B54F6"/>
    <w:multiLevelType w:val="multilevel"/>
    <w:tmpl w:val="344B54F6"/>
    <w:lvl w:ilvl="0" w:tentative="0">
      <w:start w:val="1"/>
      <w:numFmt w:val="chineseCountingThousand"/>
      <w:lvlText w:val="%1、"/>
      <w:lvlJc w:val="left"/>
      <w:pPr>
        <w:ind w:left="720" w:hanging="720"/>
      </w:pPr>
      <w:rPr>
        <w:rFonts w:hint="eastAsia"/>
        <w:b/>
        <w:bCs/>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50534A8"/>
    <w:multiLevelType w:val="multilevel"/>
    <w:tmpl w:val="350534A8"/>
    <w:lvl w:ilvl="0" w:tentative="0">
      <w:start w:val="1"/>
      <w:numFmt w:val="decimal"/>
      <w:lvlText w:val="%1."/>
      <w:lvlJc w:val="left"/>
      <w:pPr>
        <w:ind w:left="840" w:hanging="420"/>
      </w:pPr>
      <w:rPr>
        <w:rFonts w:hint="eastAsia" w:ascii="宋体" w:hAnsi="宋体" w:eastAsia="宋体"/>
      </w:rPr>
    </w:lvl>
    <w:lvl w:ilvl="1" w:tentative="0">
      <w:start w:val="1"/>
      <w:numFmt w:val="decimal"/>
      <w:lvlText w:val="（%2)"/>
      <w:lvlJc w:val="left"/>
      <w:pPr>
        <w:ind w:left="42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57500A7"/>
    <w:multiLevelType w:val="multilevel"/>
    <w:tmpl w:val="357500A7"/>
    <w:lvl w:ilvl="0" w:tentative="0">
      <w:start w:val="1"/>
      <w:numFmt w:val="decimal"/>
      <w:lvlText w:val="（%1）"/>
      <w:lvlJc w:val="left"/>
      <w:pPr>
        <w:ind w:left="840" w:hanging="420"/>
      </w:pPr>
      <w:rPr>
        <w:rFonts w:hint="default" w:asciiTheme="minorEastAsia" w:hAnsiTheme="minorEastAsia" w:eastAsiaTheme="minorEastAsia"/>
        <w:b w:val="0"/>
      </w:rPr>
    </w:lvl>
    <w:lvl w:ilvl="1" w:tentative="0">
      <w:start w:val="1"/>
      <w:numFmt w:val="decimal"/>
      <w:lvlText w:val="%2)"/>
      <w:lvlJc w:val="left"/>
      <w:pPr>
        <w:ind w:left="420" w:hanging="420"/>
      </w:pPr>
      <w:rPr>
        <w:rFonts w:hint="default"/>
        <w:color w:val="auto"/>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36BA49F7"/>
    <w:multiLevelType w:val="multilevel"/>
    <w:tmpl w:val="36BA49F7"/>
    <w:lvl w:ilvl="0" w:tentative="0">
      <w:start w:val="1"/>
      <w:numFmt w:val="chineseCountingThousand"/>
      <w:lvlText w:val="(%1)"/>
      <w:lvlJc w:val="left"/>
      <w:pPr>
        <w:tabs>
          <w:tab w:val="left" w:pos="425"/>
        </w:tabs>
        <w:ind w:left="425" w:hanging="425"/>
      </w:pPr>
      <w:rPr>
        <w:rFonts w:hint="eastAsia"/>
        <w:strike w:val="0"/>
      </w:rPr>
    </w:lvl>
    <w:lvl w:ilvl="1" w:tentative="0">
      <w:start w:val="1"/>
      <w:numFmt w:val="decimal"/>
      <w:lvlText w:val="%2."/>
      <w:lvlJc w:val="left"/>
      <w:pPr>
        <w:tabs>
          <w:tab w:val="left" w:pos="567"/>
        </w:tabs>
        <w:ind w:left="567" w:hanging="567"/>
      </w:pPr>
      <w:rPr>
        <w:rFonts w:hint="eastAsia"/>
        <w:b w:val="0"/>
        <w:strike w:val="0"/>
        <w:dstrike w:val="0"/>
        <w:color w:val="auto"/>
        <w:sz w:val="24"/>
        <w:szCs w:val="24"/>
      </w:rPr>
    </w:lvl>
    <w:lvl w:ilvl="2" w:tentative="0">
      <w:start w:val="1"/>
      <w:numFmt w:val="decimal"/>
      <w:lvlText w:val="（%3)"/>
      <w:lvlJc w:val="left"/>
      <w:pPr>
        <w:tabs>
          <w:tab w:val="left" w:pos="567"/>
        </w:tabs>
        <w:ind w:left="567" w:hanging="567"/>
      </w:pPr>
      <w:rPr>
        <w:rFonts w:hint="eastAsia"/>
        <w:b w:val="0"/>
        <w:sz w:val="24"/>
        <w:szCs w:val="24"/>
      </w:rPr>
    </w:lvl>
    <w:lvl w:ilvl="3" w:tentative="0">
      <w:start w:val="1"/>
      <w:numFmt w:val="decimal"/>
      <w:lvlText w:val="（%4)"/>
      <w:lvlJc w:val="left"/>
      <w:pPr>
        <w:tabs>
          <w:tab w:val="left" w:pos="851"/>
        </w:tabs>
        <w:ind w:left="851" w:hanging="851"/>
      </w:pPr>
      <w:rPr>
        <w:rFonts w:hint="eastAsia"/>
        <w:dstrike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9">
    <w:nsid w:val="36D724EB"/>
    <w:multiLevelType w:val="multilevel"/>
    <w:tmpl w:val="36D724EB"/>
    <w:lvl w:ilvl="0" w:tentative="0">
      <w:start w:val="1"/>
      <w:numFmt w:val="decimal"/>
      <w:lvlText w:val="%1."/>
      <w:lvlJc w:val="left"/>
      <w:pPr>
        <w:ind w:left="420" w:hanging="420"/>
      </w:pPr>
      <w:rPr>
        <w:rFonts w:hint="eastAsia" w:ascii="宋体" w:hAnsi="宋体" w:eastAsia="宋体"/>
        <w:b w:val="0"/>
        <w:sz w:val="24"/>
        <w:szCs w:val="24"/>
      </w:rPr>
    </w:lvl>
    <w:lvl w:ilvl="1" w:tentative="0">
      <w:start w:val="1"/>
      <w:numFmt w:val="lowerLetter"/>
      <w:lvlText w:val="%2)"/>
      <w:lvlJc w:val="left"/>
      <w:pPr>
        <w:ind w:left="556" w:hanging="420"/>
      </w:pPr>
    </w:lvl>
    <w:lvl w:ilvl="2" w:tentative="0">
      <w:start w:val="1"/>
      <w:numFmt w:val="lowerRoman"/>
      <w:lvlText w:val="%3."/>
      <w:lvlJc w:val="right"/>
      <w:pPr>
        <w:ind w:left="976" w:hanging="420"/>
      </w:pPr>
    </w:lvl>
    <w:lvl w:ilvl="3" w:tentative="0">
      <w:start w:val="1"/>
      <w:numFmt w:val="decimal"/>
      <w:lvlText w:val="%4."/>
      <w:lvlJc w:val="left"/>
      <w:pPr>
        <w:ind w:left="1396" w:hanging="420"/>
      </w:pPr>
    </w:lvl>
    <w:lvl w:ilvl="4" w:tentative="0">
      <w:start w:val="1"/>
      <w:numFmt w:val="lowerLetter"/>
      <w:lvlText w:val="%5)"/>
      <w:lvlJc w:val="left"/>
      <w:pPr>
        <w:ind w:left="1816" w:hanging="420"/>
      </w:pPr>
    </w:lvl>
    <w:lvl w:ilvl="5" w:tentative="0">
      <w:start w:val="1"/>
      <w:numFmt w:val="lowerRoman"/>
      <w:lvlText w:val="%6."/>
      <w:lvlJc w:val="right"/>
      <w:pPr>
        <w:ind w:left="2236" w:hanging="420"/>
      </w:pPr>
    </w:lvl>
    <w:lvl w:ilvl="6" w:tentative="0">
      <w:start w:val="1"/>
      <w:numFmt w:val="decimal"/>
      <w:lvlText w:val="%7."/>
      <w:lvlJc w:val="left"/>
      <w:pPr>
        <w:ind w:left="2656" w:hanging="420"/>
      </w:pPr>
    </w:lvl>
    <w:lvl w:ilvl="7" w:tentative="0">
      <w:start w:val="1"/>
      <w:numFmt w:val="lowerLetter"/>
      <w:lvlText w:val="%8)"/>
      <w:lvlJc w:val="left"/>
      <w:pPr>
        <w:ind w:left="3076" w:hanging="420"/>
      </w:pPr>
    </w:lvl>
    <w:lvl w:ilvl="8" w:tentative="0">
      <w:start w:val="1"/>
      <w:numFmt w:val="lowerRoman"/>
      <w:lvlText w:val="%9."/>
      <w:lvlJc w:val="right"/>
      <w:pPr>
        <w:ind w:left="3496" w:hanging="420"/>
      </w:pPr>
    </w:lvl>
  </w:abstractNum>
  <w:abstractNum w:abstractNumId="40">
    <w:nsid w:val="396A4823"/>
    <w:multiLevelType w:val="multilevel"/>
    <w:tmpl w:val="396A4823"/>
    <w:lvl w:ilvl="0" w:tentative="0">
      <w:start w:val="1"/>
      <w:numFmt w:val="decimal"/>
      <w:lvlText w:val="%1）"/>
      <w:lvlJc w:val="left"/>
      <w:pPr>
        <w:ind w:left="840" w:hanging="420"/>
      </w:pPr>
      <w:rPr>
        <w:rFonts w:hint="default"/>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1">
    <w:nsid w:val="39EA06C6"/>
    <w:multiLevelType w:val="multilevel"/>
    <w:tmpl w:val="39EA06C6"/>
    <w:lvl w:ilvl="0" w:tentative="0">
      <w:start w:val="1"/>
      <w:numFmt w:val="decimal"/>
      <w:lvlText w:val="%1."/>
      <w:lvlJc w:val="left"/>
      <w:pPr>
        <w:ind w:left="420" w:hanging="420"/>
      </w:pPr>
      <w:rPr>
        <w:rFonts w:hint="eastAsia" w:ascii="宋体" w:hAnsi="宋体" w:eastAsia="宋体"/>
        <w:b w:val="0"/>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D28715E"/>
    <w:multiLevelType w:val="multilevel"/>
    <w:tmpl w:val="3D28715E"/>
    <w:lvl w:ilvl="0" w:tentative="0">
      <w:start w:val="1"/>
      <w:numFmt w:val="chineseCountingThousand"/>
      <w:lvlText w:val="(%1)"/>
      <w:lvlJc w:val="left"/>
      <w:pPr>
        <w:tabs>
          <w:tab w:val="left" w:pos="425"/>
        </w:tabs>
        <w:ind w:left="425" w:hanging="425"/>
      </w:pPr>
      <w:rPr>
        <w:rFonts w:hint="eastAsia"/>
        <w:strike w:val="0"/>
      </w:rPr>
    </w:lvl>
    <w:lvl w:ilvl="1" w:tentative="0">
      <w:start w:val="1"/>
      <w:numFmt w:val="decimal"/>
      <w:lvlText w:val="%2."/>
      <w:lvlJc w:val="left"/>
      <w:pPr>
        <w:tabs>
          <w:tab w:val="left" w:pos="567"/>
        </w:tabs>
        <w:ind w:left="567" w:hanging="567"/>
      </w:pPr>
      <w:rPr>
        <w:rFonts w:hint="eastAsia"/>
        <w:b w:val="0"/>
        <w:strike w:val="0"/>
        <w:dstrike w:val="0"/>
        <w:color w:val="auto"/>
        <w:sz w:val="24"/>
        <w:szCs w:val="24"/>
      </w:rPr>
    </w:lvl>
    <w:lvl w:ilvl="2" w:tentative="0">
      <w:start w:val="1"/>
      <w:numFmt w:val="decimal"/>
      <w:lvlText w:val="（%3)"/>
      <w:lvlJc w:val="left"/>
      <w:pPr>
        <w:tabs>
          <w:tab w:val="left" w:pos="567"/>
        </w:tabs>
        <w:ind w:left="567" w:hanging="567"/>
      </w:pPr>
      <w:rPr>
        <w:rFonts w:hint="eastAsia"/>
        <w:b w:val="0"/>
        <w:sz w:val="21"/>
        <w:szCs w:val="21"/>
      </w:rPr>
    </w:lvl>
    <w:lvl w:ilvl="3" w:tentative="0">
      <w:start w:val="1"/>
      <w:numFmt w:val="decimal"/>
      <w:lvlText w:val="（%4)"/>
      <w:lvlJc w:val="left"/>
      <w:pPr>
        <w:tabs>
          <w:tab w:val="left" w:pos="851"/>
        </w:tabs>
        <w:ind w:left="851" w:hanging="851"/>
      </w:pPr>
      <w:rPr>
        <w:rFonts w:hint="eastAsia"/>
        <w:dstrike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3">
    <w:nsid w:val="3F3470F5"/>
    <w:multiLevelType w:val="multilevel"/>
    <w:tmpl w:val="3F3470F5"/>
    <w:lvl w:ilvl="0" w:tentative="0">
      <w:start w:val="1"/>
      <w:numFmt w:val="decimal"/>
      <w:lvlText w:val="（%1）"/>
      <w:lvlJc w:val="left"/>
      <w:pPr>
        <w:ind w:left="84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40843B8C"/>
    <w:multiLevelType w:val="multilevel"/>
    <w:tmpl w:val="40843B8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1E129D7"/>
    <w:multiLevelType w:val="multilevel"/>
    <w:tmpl w:val="41E129D7"/>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6">
    <w:nsid w:val="422D7FD7"/>
    <w:multiLevelType w:val="multilevel"/>
    <w:tmpl w:val="422D7FD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2353AFA"/>
    <w:multiLevelType w:val="multilevel"/>
    <w:tmpl w:val="42353AFA"/>
    <w:lvl w:ilvl="0" w:tentative="0">
      <w:start w:val="1"/>
      <w:numFmt w:val="chineseCounting"/>
      <w:suff w:val="nothing"/>
      <w:lvlText w:val="（%1）"/>
      <w:lvlJc w:val="left"/>
      <w:pPr>
        <w:ind w:left="0" w:firstLine="42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8">
    <w:nsid w:val="437F1085"/>
    <w:multiLevelType w:val="multilevel"/>
    <w:tmpl w:val="437F1085"/>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49">
    <w:nsid w:val="46A61FC5"/>
    <w:multiLevelType w:val="multilevel"/>
    <w:tmpl w:val="46A61FC5"/>
    <w:lvl w:ilvl="0" w:tentative="0">
      <w:start w:val="1"/>
      <w:numFmt w:val="chineseCountingThousand"/>
      <w:lvlText w:val="(%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46D06E17"/>
    <w:multiLevelType w:val="multilevel"/>
    <w:tmpl w:val="46D06E17"/>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Theme="minorEastAsia" w:hAnsiTheme="minorEastAsia" w:eastAsiaTheme="minorEastAsia"/>
        <w:b w:val="0"/>
        <w:i w:val="0"/>
        <w:strike w:val="0"/>
        <w:color w:val="auto"/>
        <w:sz w:val="24"/>
        <w:szCs w:val="24"/>
      </w:rPr>
    </w:lvl>
    <w:lvl w:ilvl="2" w:tentative="0">
      <w:start w:val="1"/>
      <w:numFmt w:val="decimal"/>
      <w:lvlText w:val="%3."/>
      <w:lvlJc w:val="left"/>
      <w:pPr>
        <w:ind w:left="709" w:hanging="709"/>
      </w:pPr>
      <w:rPr>
        <w:rFonts w:asciiTheme="minorEastAsia" w:hAnsiTheme="minorEastAsia" w:eastAsiaTheme="minorEastAsia"/>
        <w:b w:val="0"/>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1">
    <w:nsid w:val="471E1367"/>
    <w:multiLevelType w:val="multilevel"/>
    <w:tmpl w:val="471E1367"/>
    <w:lvl w:ilvl="0" w:tentative="0">
      <w:start w:val="1"/>
      <w:numFmt w:val="decimal"/>
      <w:lvlText w:val="%1."/>
      <w:lvlJc w:val="left"/>
      <w:pPr>
        <w:ind w:left="420" w:hanging="420"/>
      </w:pPr>
      <w:rPr>
        <w:rFonts w:hint="eastAsia" w:ascii="宋体" w:hAnsi="宋体" w:eastAsia="宋体"/>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47FD6A98"/>
    <w:multiLevelType w:val="multilevel"/>
    <w:tmpl w:val="47FD6A98"/>
    <w:lvl w:ilvl="0" w:tentative="0">
      <w:start w:val="1"/>
      <w:numFmt w:val="decimal"/>
      <w:lvlText w:val="%1)"/>
      <w:lvlJc w:val="left"/>
      <w:pPr>
        <w:ind w:left="420" w:hanging="42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48E0061D"/>
    <w:multiLevelType w:val="multilevel"/>
    <w:tmpl w:val="48E006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4A0F62C4"/>
    <w:multiLevelType w:val="multilevel"/>
    <w:tmpl w:val="4A0F62C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5">
    <w:nsid w:val="4AF56A99"/>
    <w:multiLevelType w:val="multilevel"/>
    <w:tmpl w:val="4AF56A99"/>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4B1120A5"/>
    <w:multiLevelType w:val="multilevel"/>
    <w:tmpl w:val="4B1120A5"/>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Theme="minorEastAsia" w:hAnsiTheme="minorEastAsia" w:eastAsiaTheme="minorEastAsia"/>
        <w:b w:val="0"/>
        <w:i w:val="0"/>
        <w:strike w:val="0"/>
        <w:color w:val="auto"/>
        <w:sz w:val="24"/>
        <w:szCs w:val="24"/>
      </w:rPr>
    </w:lvl>
    <w:lvl w:ilvl="2" w:tentative="0">
      <w:start w:val="1"/>
      <w:numFmt w:val="decimal"/>
      <w:lvlText w:val="%3."/>
      <w:lvlJc w:val="left"/>
      <w:pPr>
        <w:ind w:left="709" w:hanging="709"/>
      </w:pPr>
      <w:rPr>
        <w:rFonts w:asciiTheme="minorEastAsia" w:hAnsiTheme="minorEastAsia" w:eastAsiaTheme="minorEastAsia"/>
        <w:b w:val="0"/>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7">
    <w:nsid w:val="4BDA1C36"/>
    <w:multiLevelType w:val="multilevel"/>
    <w:tmpl w:val="4BDA1C36"/>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8">
    <w:nsid w:val="4BDA4185"/>
    <w:multiLevelType w:val="multilevel"/>
    <w:tmpl w:val="4BDA4185"/>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4C644CEE"/>
    <w:multiLevelType w:val="multilevel"/>
    <w:tmpl w:val="4C644CEE"/>
    <w:lvl w:ilvl="0" w:tentative="0">
      <w:start w:val="1"/>
      <w:numFmt w:val="decimalEnclosedCircle"/>
      <w:lvlText w:val="%1"/>
      <w:lvlJc w:val="left"/>
      <w:pPr>
        <w:ind w:left="126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4D225C5E"/>
    <w:multiLevelType w:val="multilevel"/>
    <w:tmpl w:val="4D225C5E"/>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4D3B24F7"/>
    <w:multiLevelType w:val="multilevel"/>
    <w:tmpl w:val="4D3B24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4F757555"/>
    <w:multiLevelType w:val="multilevel"/>
    <w:tmpl w:val="4F757555"/>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Theme="minorEastAsia" w:hAnsiTheme="minorEastAsia" w:eastAsiaTheme="minorEastAsia"/>
        <w:b w:val="0"/>
        <w:i w:val="0"/>
        <w:strike w:val="0"/>
        <w:color w:val="auto"/>
        <w:sz w:val="24"/>
        <w:szCs w:val="24"/>
      </w:rPr>
    </w:lvl>
    <w:lvl w:ilvl="2" w:tentative="0">
      <w:start w:val="1"/>
      <w:numFmt w:val="decimal"/>
      <w:lvlText w:val="%3."/>
      <w:lvlJc w:val="left"/>
      <w:pPr>
        <w:ind w:left="709" w:hanging="709"/>
      </w:pPr>
      <w:rPr>
        <w:rFonts w:asciiTheme="minorEastAsia" w:hAnsiTheme="minorEastAsia" w:eastAsiaTheme="minorEastAsia"/>
        <w:b w:val="0"/>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63">
    <w:nsid w:val="52001F10"/>
    <w:multiLevelType w:val="multilevel"/>
    <w:tmpl w:val="52001F10"/>
    <w:lvl w:ilvl="0" w:tentative="0">
      <w:start w:val="1"/>
      <w:numFmt w:val="decimal"/>
      <w:lvlText w:val="（%1)"/>
      <w:lvlJc w:val="left"/>
      <w:pPr>
        <w:ind w:left="420" w:hanging="420"/>
      </w:pPr>
      <w:rPr>
        <w:rFonts w:hint="eastAsia"/>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529C7CA4"/>
    <w:multiLevelType w:val="multilevel"/>
    <w:tmpl w:val="529C7CA4"/>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5">
    <w:nsid w:val="530F27FF"/>
    <w:multiLevelType w:val="multilevel"/>
    <w:tmpl w:val="530F27FF"/>
    <w:lvl w:ilvl="0" w:tentative="0">
      <w:start w:val="1"/>
      <w:numFmt w:val="chineseCountingThousand"/>
      <w:lvlText w:val="(%1)"/>
      <w:lvlJc w:val="left"/>
      <w:pPr>
        <w:tabs>
          <w:tab w:val="left" w:pos="425"/>
        </w:tabs>
        <w:ind w:left="425" w:hanging="425"/>
      </w:pPr>
      <w:rPr>
        <w:rFonts w:hint="eastAsia"/>
        <w:strike w:val="0"/>
      </w:rPr>
    </w:lvl>
    <w:lvl w:ilvl="1" w:tentative="0">
      <w:start w:val="1"/>
      <w:numFmt w:val="decimal"/>
      <w:lvlText w:val="%2."/>
      <w:lvlJc w:val="left"/>
      <w:pPr>
        <w:tabs>
          <w:tab w:val="left" w:pos="567"/>
        </w:tabs>
        <w:ind w:left="567" w:hanging="567"/>
      </w:pPr>
      <w:rPr>
        <w:rFonts w:hint="eastAsia"/>
        <w:b w:val="0"/>
        <w:strike w:val="0"/>
        <w:dstrike w:val="0"/>
        <w:sz w:val="24"/>
        <w:szCs w:val="24"/>
      </w:rPr>
    </w:lvl>
    <w:lvl w:ilvl="2" w:tentative="0">
      <w:start w:val="1"/>
      <w:numFmt w:val="decimal"/>
      <w:lvlText w:val="（%3)"/>
      <w:lvlJc w:val="left"/>
      <w:pPr>
        <w:tabs>
          <w:tab w:val="left" w:pos="567"/>
        </w:tabs>
        <w:ind w:left="567" w:hanging="567"/>
      </w:pPr>
      <w:rPr>
        <w:rFonts w:hint="eastAsia"/>
        <w:b w:val="0"/>
        <w:sz w:val="24"/>
        <w:szCs w:val="24"/>
      </w:rPr>
    </w:lvl>
    <w:lvl w:ilvl="3" w:tentative="0">
      <w:start w:val="1"/>
      <w:numFmt w:val="decimal"/>
      <w:lvlText w:val="（%4)"/>
      <w:lvlJc w:val="left"/>
      <w:pPr>
        <w:tabs>
          <w:tab w:val="left" w:pos="851"/>
        </w:tabs>
        <w:ind w:left="851" w:hanging="851"/>
      </w:pPr>
      <w:rPr>
        <w:rFonts w:hint="eastAsia"/>
        <w:dstrike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6">
    <w:nsid w:val="53DF6434"/>
    <w:multiLevelType w:val="multilevel"/>
    <w:tmpl w:val="53DF6434"/>
    <w:lvl w:ilvl="0" w:tentative="0">
      <w:start w:val="1"/>
      <w:numFmt w:val="decimal"/>
      <w:lvlText w:val="%1"/>
      <w:lvlJc w:val="center"/>
      <w:pPr>
        <w:tabs>
          <w:tab w:val="left" w:pos="142"/>
        </w:tabs>
        <w:ind w:left="142" w:firstLine="3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7">
    <w:nsid w:val="541E5A4E"/>
    <w:multiLevelType w:val="multilevel"/>
    <w:tmpl w:val="541E5A4E"/>
    <w:lvl w:ilvl="0" w:tentative="0">
      <w:start w:val="1"/>
      <w:numFmt w:val="chineseCountingThousand"/>
      <w:lvlText w:val="第%1节 "/>
      <w:lvlJc w:val="left"/>
      <w:pPr>
        <w:ind w:left="420" w:hanging="420"/>
      </w:pPr>
      <w:rPr>
        <w:rFonts w:hint="eastAsia"/>
        <w:b/>
        <w:bCs/>
        <w:color w:val="000000" w:themeColor="text1"/>
        <w14:textFill>
          <w14:solidFill>
            <w14:schemeClr w14:val="tx1"/>
          </w14:solidFill>
        </w14:textFil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5C77B3D"/>
    <w:multiLevelType w:val="multilevel"/>
    <w:tmpl w:val="55C77B3D"/>
    <w:lvl w:ilvl="0" w:tentative="0">
      <w:start w:val="1"/>
      <w:numFmt w:val="decimal"/>
      <w:lvlText w:val="（%1）"/>
      <w:lvlJc w:val="left"/>
      <w:pPr>
        <w:ind w:left="840" w:hanging="420"/>
      </w:pPr>
      <w:rPr>
        <w:rFonts w:hint="default"/>
      </w:rPr>
    </w:lvl>
    <w:lvl w:ilvl="1" w:tentative="0">
      <w:start w:val="1"/>
      <w:numFmt w:val="decimal"/>
      <w:lvlText w:val="%2)"/>
      <w:lvlJc w:val="left"/>
      <w:pPr>
        <w:ind w:left="420" w:hanging="420"/>
      </w:pPr>
      <w:rPr>
        <w:rFonts w:hint="default"/>
        <w:color w:val="auto"/>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6BE0CC7"/>
    <w:multiLevelType w:val="multilevel"/>
    <w:tmpl w:val="56BE0CC7"/>
    <w:lvl w:ilvl="0" w:tentative="0">
      <w:start w:val="1"/>
      <w:numFmt w:val="decimal"/>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56DD1BD8"/>
    <w:multiLevelType w:val="multilevel"/>
    <w:tmpl w:val="56DD1BD8"/>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57A3583B"/>
    <w:multiLevelType w:val="multilevel"/>
    <w:tmpl w:val="57A3583B"/>
    <w:lvl w:ilvl="0" w:tentative="0">
      <w:start w:val="1"/>
      <w:numFmt w:val="decimal"/>
      <w:lvlText w:val="（%1）"/>
      <w:lvlJc w:val="left"/>
      <w:pPr>
        <w:tabs>
          <w:tab w:val="left" w:pos="840"/>
        </w:tabs>
        <w:ind w:left="840" w:hanging="420"/>
      </w:pPr>
      <w:rPr>
        <w:rFonts w:hint="eastAsia"/>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2">
    <w:nsid w:val="598458E2"/>
    <w:multiLevelType w:val="multilevel"/>
    <w:tmpl w:val="598458E2"/>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59EC7344"/>
    <w:multiLevelType w:val="multilevel"/>
    <w:tmpl w:val="59EC7344"/>
    <w:lvl w:ilvl="0" w:tentative="0">
      <w:start w:val="1"/>
      <w:numFmt w:val="decimal"/>
      <w:lvlText w:val="%1."/>
      <w:lvlJc w:val="left"/>
      <w:pPr>
        <w:ind w:left="420" w:hanging="420"/>
      </w:pPr>
      <w:rPr>
        <w:rFonts w:hint="eastAsia" w:ascii="宋体" w:hAnsi="宋体" w:eastAsia="宋体"/>
        <w:b w:val="0"/>
        <w:sz w:val="24"/>
        <w:szCs w:val="24"/>
      </w:rPr>
    </w:lvl>
    <w:lvl w:ilvl="1" w:tentative="0">
      <w:start w:val="1"/>
      <w:numFmt w:val="lowerLetter"/>
      <w:lvlText w:val="%2)"/>
      <w:lvlJc w:val="left"/>
      <w:pPr>
        <w:ind w:left="556" w:hanging="420"/>
      </w:pPr>
    </w:lvl>
    <w:lvl w:ilvl="2" w:tentative="0">
      <w:start w:val="1"/>
      <w:numFmt w:val="lowerRoman"/>
      <w:lvlText w:val="%3."/>
      <w:lvlJc w:val="right"/>
      <w:pPr>
        <w:ind w:left="976" w:hanging="420"/>
      </w:pPr>
    </w:lvl>
    <w:lvl w:ilvl="3" w:tentative="0">
      <w:start w:val="1"/>
      <w:numFmt w:val="decimal"/>
      <w:lvlText w:val="%4."/>
      <w:lvlJc w:val="left"/>
      <w:pPr>
        <w:ind w:left="1396" w:hanging="420"/>
      </w:pPr>
    </w:lvl>
    <w:lvl w:ilvl="4" w:tentative="0">
      <w:start w:val="1"/>
      <w:numFmt w:val="lowerLetter"/>
      <w:lvlText w:val="%5)"/>
      <w:lvlJc w:val="left"/>
      <w:pPr>
        <w:ind w:left="1816" w:hanging="420"/>
      </w:pPr>
    </w:lvl>
    <w:lvl w:ilvl="5" w:tentative="0">
      <w:start w:val="1"/>
      <w:numFmt w:val="lowerRoman"/>
      <w:lvlText w:val="%6."/>
      <w:lvlJc w:val="right"/>
      <w:pPr>
        <w:ind w:left="2236" w:hanging="420"/>
      </w:pPr>
    </w:lvl>
    <w:lvl w:ilvl="6" w:tentative="0">
      <w:start w:val="1"/>
      <w:numFmt w:val="decimal"/>
      <w:lvlText w:val="%7."/>
      <w:lvlJc w:val="left"/>
      <w:pPr>
        <w:ind w:left="2656" w:hanging="420"/>
      </w:pPr>
    </w:lvl>
    <w:lvl w:ilvl="7" w:tentative="0">
      <w:start w:val="1"/>
      <w:numFmt w:val="lowerLetter"/>
      <w:lvlText w:val="%8)"/>
      <w:lvlJc w:val="left"/>
      <w:pPr>
        <w:ind w:left="3076" w:hanging="420"/>
      </w:pPr>
    </w:lvl>
    <w:lvl w:ilvl="8" w:tentative="0">
      <w:start w:val="1"/>
      <w:numFmt w:val="lowerRoman"/>
      <w:lvlText w:val="%9."/>
      <w:lvlJc w:val="right"/>
      <w:pPr>
        <w:ind w:left="3496" w:hanging="420"/>
      </w:pPr>
    </w:lvl>
  </w:abstractNum>
  <w:abstractNum w:abstractNumId="74">
    <w:nsid w:val="5FEB78A1"/>
    <w:multiLevelType w:val="multilevel"/>
    <w:tmpl w:val="5FEB78A1"/>
    <w:lvl w:ilvl="0" w:tentative="0">
      <w:start w:val="1"/>
      <w:numFmt w:val="decimal"/>
      <w:lvlText w:val="%1."/>
      <w:lvlJc w:val="left"/>
      <w:pPr>
        <w:ind w:left="420" w:hanging="420"/>
      </w:p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600914E3"/>
    <w:multiLevelType w:val="multilevel"/>
    <w:tmpl w:val="600914E3"/>
    <w:lvl w:ilvl="0" w:tentative="0">
      <w:start w:val="1"/>
      <w:numFmt w:val="japaneseCounting"/>
      <w:lvlText w:val="%1、"/>
      <w:lvlJc w:val="left"/>
      <w:pPr>
        <w:ind w:left="5399" w:hanging="720"/>
      </w:pPr>
      <w:rPr>
        <w:rFonts w:hint="default"/>
        <w:strike w:val="0"/>
        <w:sz w:val="28"/>
        <w:szCs w:val="28"/>
        <w:lang w:val="en-US"/>
      </w:rPr>
    </w:lvl>
    <w:lvl w:ilvl="1" w:tentative="0">
      <w:start w:val="1"/>
      <w:numFmt w:val="decimal"/>
      <w:lvlText w:val="%2."/>
      <w:lvlJc w:val="left"/>
      <w:pPr>
        <w:ind w:left="3534" w:hanging="420"/>
      </w:pPr>
      <w:rPr>
        <w:rFonts w:hint="eastAsia"/>
      </w:rPr>
    </w:lvl>
    <w:lvl w:ilvl="2" w:tentative="0">
      <w:start w:val="1"/>
      <w:numFmt w:val="decimal"/>
      <w:lvlText w:val="（%3)"/>
      <w:lvlJc w:val="left"/>
      <w:pPr>
        <w:ind w:left="3954" w:hanging="420"/>
      </w:pPr>
      <w:rPr>
        <w:rFonts w:hint="eastAsia"/>
      </w:rPr>
    </w:lvl>
    <w:lvl w:ilvl="3" w:tentative="0">
      <w:start w:val="1"/>
      <w:numFmt w:val="decimal"/>
      <w:lvlText w:val="%4)"/>
      <w:lvlJc w:val="left"/>
      <w:pPr>
        <w:ind w:left="4374" w:hanging="420"/>
      </w:pPr>
    </w:lvl>
    <w:lvl w:ilvl="4" w:tentative="0">
      <w:start w:val="1"/>
      <w:numFmt w:val="lowerLetter"/>
      <w:lvlText w:val="%5)"/>
      <w:lvlJc w:val="left"/>
      <w:pPr>
        <w:ind w:left="4794" w:hanging="420"/>
      </w:pPr>
    </w:lvl>
    <w:lvl w:ilvl="5" w:tentative="0">
      <w:start w:val="1"/>
      <w:numFmt w:val="lowerRoman"/>
      <w:lvlText w:val="%6."/>
      <w:lvlJc w:val="right"/>
      <w:pPr>
        <w:ind w:left="5214" w:hanging="420"/>
      </w:pPr>
    </w:lvl>
    <w:lvl w:ilvl="6" w:tentative="0">
      <w:start w:val="1"/>
      <w:numFmt w:val="decimal"/>
      <w:lvlText w:val="%7."/>
      <w:lvlJc w:val="left"/>
      <w:pPr>
        <w:ind w:left="5634" w:hanging="420"/>
      </w:pPr>
    </w:lvl>
    <w:lvl w:ilvl="7" w:tentative="0">
      <w:start w:val="1"/>
      <w:numFmt w:val="lowerLetter"/>
      <w:lvlText w:val="%8)"/>
      <w:lvlJc w:val="left"/>
      <w:pPr>
        <w:ind w:left="6054" w:hanging="420"/>
      </w:pPr>
    </w:lvl>
    <w:lvl w:ilvl="8" w:tentative="0">
      <w:start w:val="1"/>
      <w:numFmt w:val="lowerRoman"/>
      <w:lvlText w:val="%9."/>
      <w:lvlJc w:val="right"/>
      <w:pPr>
        <w:ind w:left="6474" w:hanging="420"/>
      </w:pPr>
    </w:lvl>
  </w:abstractNum>
  <w:abstractNum w:abstractNumId="76">
    <w:nsid w:val="66B16FBA"/>
    <w:multiLevelType w:val="multilevel"/>
    <w:tmpl w:val="66B16FBA"/>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66BC1476"/>
    <w:multiLevelType w:val="multilevel"/>
    <w:tmpl w:val="66BC1476"/>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等线" w:hAnsi="等线" w:eastAsia="等线"/>
        <w:b w:val="0"/>
        <w:i w:val="0"/>
        <w:strike w:val="0"/>
        <w:color w:val="auto"/>
        <w:sz w:val="24"/>
        <w:szCs w:val="24"/>
      </w:rPr>
    </w:lvl>
    <w:lvl w:ilvl="2" w:tentative="0">
      <w:start w:val="1"/>
      <w:numFmt w:val="decimal"/>
      <w:lvlText w:val="%3."/>
      <w:lvlJc w:val="left"/>
      <w:pPr>
        <w:ind w:left="709" w:hanging="709"/>
      </w:pPr>
      <w:rPr>
        <w:rFonts w:asciiTheme="minorEastAsia" w:hAnsiTheme="minorEastAsia" w:eastAsiaTheme="minorEastAsia"/>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8">
    <w:nsid w:val="66FC1111"/>
    <w:multiLevelType w:val="multilevel"/>
    <w:tmpl w:val="66FC111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67BC6897"/>
    <w:multiLevelType w:val="multilevel"/>
    <w:tmpl w:val="67BC6897"/>
    <w:lvl w:ilvl="0" w:tentative="0">
      <w:start w:val="1"/>
      <w:numFmt w:val="chineseCountingThousand"/>
      <w:lvlText w:val="%1、"/>
      <w:lvlJc w:val="left"/>
      <w:pPr>
        <w:tabs>
          <w:tab w:val="left" w:pos="420"/>
        </w:tabs>
        <w:ind w:left="420" w:hanging="420"/>
      </w:pPr>
      <w:rPr>
        <w:b/>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80">
    <w:nsid w:val="6A285912"/>
    <w:multiLevelType w:val="multilevel"/>
    <w:tmpl w:val="6A285912"/>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6AD81BB1"/>
    <w:multiLevelType w:val="multilevel"/>
    <w:tmpl w:val="6AD81BB1"/>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Theme="minorEastAsia" w:hAnsiTheme="minorEastAsia" w:eastAsiaTheme="minorEastAsia"/>
        <w:b w:val="0"/>
        <w:i w:val="0"/>
        <w:strike w:val="0"/>
        <w:color w:val="auto"/>
        <w:sz w:val="24"/>
        <w:szCs w:val="24"/>
      </w:rPr>
    </w:lvl>
    <w:lvl w:ilvl="2" w:tentative="0">
      <w:start w:val="1"/>
      <w:numFmt w:val="decimal"/>
      <w:lvlText w:val="%3."/>
      <w:lvlJc w:val="left"/>
      <w:pPr>
        <w:ind w:left="709" w:hanging="709"/>
      </w:pPr>
      <w:rPr>
        <w:rFonts w:asciiTheme="minorEastAsia" w:hAnsiTheme="minorEastAsia" w:eastAsiaTheme="minorEastAsia"/>
        <w:b w:val="0"/>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82">
    <w:nsid w:val="6B2671B2"/>
    <w:multiLevelType w:val="multilevel"/>
    <w:tmpl w:val="6B2671B2"/>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6BA7446D"/>
    <w:multiLevelType w:val="multilevel"/>
    <w:tmpl w:val="6BA7446D"/>
    <w:lvl w:ilvl="0" w:tentative="0">
      <w:start w:val="1"/>
      <w:numFmt w:val="chineseCounting"/>
      <w:suff w:val="nothing"/>
      <w:lvlText w:val="（%1）"/>
      <w:lvlJc w:val="left"/>
      <w:pPr>
        <w:ind w:left="0" w:firstLine="42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4">
    <w:nsid w:val="6C73457C"/>
    <w:multiLevelType w:val="multilevel"/>
    <w:tmpl w:val="6C73457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6D8A1391"/>
    <w:multiLevelType w:val="multilevel"/>
    <w:tmpl w:val="6D8A1391"/>
    <w:lvl w:ilvl="0" w:tentative="0">
      <w:start w:val="4"/>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6">
    <w:nsid w:val="6E0347BF"/>
    <w:multiLevelType w:val="multilevel"/>
    <w:tmpl w:val="6E0347BF"/>
    <w:lvl w:ilvl="0" w:tentative="0">
      <w:start w:val="1"/>
      <w:numFmt w:val="chineseCountingThousand"/>
      <w:lvlText w:val="(%1)"/>
      <w:lvlJc w:val="left"/>
      <w:pPr>
        <w:tabs>
          <w:tab w:val="left" w:pos="425"/>
        </w:tabs>
        <w:ind w:left="425" w:hanging="425"/>
      </w:pPr>
      <w:rPr>
        <w:rFonts w:hint="eastAsia"/>
        <w:strike w:val="0"/>
      </w:rPr>
    </w:lvl>
    <w:lvl w:ilvl="1" w:tentative="0">
      <w:start w:val="1"/>
      <w:numFmt w:val="decimal"/>
      <w:lvlText w:val="%2."/>
      <w:lvlJc w:val="left"/>
      <w:pPr>
        <w:tabs>
          <w:tab w:val="left" w:pos="567"/>
        </w:tabs>
        <w:ind w:left="567" w:hanging="567"/>
      </w:pPr>
      <w:rPr>
        <w:rFonts w:hint="eastAsia"/>
        <w:b w:val="0"/>
        <w:strike w:val="0"/>
        <w:dstrike w:val="0"/>
        <w:sz w:val="24"/>
        <w:szCs w:val="24"/>
      </w:rPr>
    </w:lvl>
    <w:lvl w:ilvl="2" w:tentative="0">
      <w:start w:val="1"/>
      <w:numFmt w:val="decimal"/>
      <w:lvlText w:val="（%3)"/>
      <w:lvlJc w:val="left"/>
      <w:pPr>
        <w:tabs>
          <w:tab w:val="left" w:pos="567"/>
        </w:tabs>
        <w:ind w:left="567" w:hanging="567"/>
      </w:pPr>
      <w:rPr>
        <w:rFonts w:hint="eastAsia"/>
        <w:b w:val="0"/>
        <w:sz w:val="21"/>
        <w:szCs w:val="21"/>
      </w:rPr>
    </w:lvl>
    <w:lvl w:ilvl="3" w:tentative="0">
      <w:start w:val="1"/>
      <w:numFmt w:val="decimal"/>
      <w:lvlText w:val="（%4)"/>
      <w:lvlJc w:val="left"/>
      <w:pPr>
        <w:tabs>
          <w:tab w:val="left" w:pos="851"/>
        </w:tabs>
        <w:ind w:left="851" w:hanging="851"/>
      </w:pPr>
      <w:rPr>
        <w:rFonts w:hint="eastAsia"/>
        <w:dstrike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7">
    <w:nsid w:val="6E6F60E5"/>
    <w:multiLevelType w:val="multilevel"/>
    <w:tmpl w:val="6E6F60E5"/>
    <w:lvl w:ilvl="0" w:tentative="0">
      <w:start w:val="1"/>
      <w:numFmt w:val="decimal"/>
      <w:pStyle w:val="117"/>
      <w:lvlText w:val="%1"/>
      <w:lvlJc w:val="left"/>
      <w:pPr>
        <w:ind w:left="0" w:firstLine="0"/>
      </w:pPr>
      <w:rPr>
        <w:rFonts w:hint="eastAsia"/>
      </w:rPr>
    </w:lvl>
    <w:lvl w:ilvl="1" w:tentative="0">
      <w:start w:val="2"/>
      <w:numFmt w:val="decimal"/>
      <w:pStyle w:val="118"/>
      <w:isLgl/>
      <w:lvlText w:val="%1.%2"/>
      <w:lvlJc w:val="left"/>
      <w:pPr>
        <w:ind w:left="0" w:firstLine="0"/>
      </w:pPr>
      <w:rPr>
        <w:rFonts w:hint="eastAsia"/>
      </w:rPr>
    </w:lvl>
    <w:lvl w:ilvl="2" w:tentative="0">
      <w:start w:val="2"/>
      <w:numFmt w:val="decimal"/>
      <w:pStyle w:val="119"/>
      <w:isLgl/>
      <w:lvlText w:val="%1.%2.%3"/>
      <w:lvlJc w:val="left"/>
      <w:pPr>
        <w:ind w:left="0" w:firstLine="0"/>
      </w:pPr>
      <w:rPr>
        <w:rFonts w:hint="eastAsia"/>
      </w:rPr>
    </w:lvl>
    <w:lvl w:ilvl="3" w:tentative="0">
      <w:start w:val="3"/>
      <w:numFmt w:val="decimal"/>
      <w:isLgl/>
      <w:lvlText w:val="%1.%2.%3.%4"/>
      <w:lvlJc w:val="left"/>
      <w:pPr>
        <w:ind w:left="0" w:firstLine="0"/>
      </w:pPr>
      <w:rPr>
        <w:rFonts w:hint="eastAsia"/>
      </w:rPr>
    </w:lvl>
    <w:lvl w:ilvl="4" w:tentative="0">
      <w:start w:val="0"/>
      <w:numFmt w:val="decimal"/>
      <w:pStyle w:val="120"/>
      <w:isLgl/>
      <w:lvlText w:val="%1.%2.%3.%4.%5"/>
      <w:lvlJc w:val="left"/>
      <w:pPr>
        <w:ind w:left="0" w:firstLine="0"/>
      </w:pPr>
      <w:rPr>
        <w:rFonts w:hint="eastAsia" w:eastAsia="宋体"/>
        <w:b/>
        <w:i w:val="0"/>
        <w:sz w:val="24"/>
      </w:rPr>
    </w:lvl>
    <w:lvl w:ilvl="5" w:tentative="0">
      <w:start w:val="1"/>
      <w:numFmt w:val="decimal"/>
      <w:pStyle w:val="121"/>
      <w:isLgl/>
      <w:lvlText w:val="%1.%2.%3.%4.%5.%6"/>
      <w:lvlJc w:val="left"/>
      <w:pPr>
        <w:ind w:left="0" w:firstLine="0"/>
      </w:pPr>
      <w:rPr>
        <w:rFonts w:hint="eastAsia" w:ascii="宋体" w:eastAsia="宋体"/>
        <w:b/>
        <w:i w:val="0"/>
        <w:sz w:val="24"/>
      </w:rPr>
    </w:lvl>
    <w:lvl w:ilvl="6" w:tentative="0">
      <w:start w:val="0"/>
      <w:numFmt w:val="decimal"/>
      <w:pStyle w:val="122"/>
      <w:lvlText w:val=""/>
      <w:lvlJc w:val="left"/>
      <w:pPr>
        <w:ind w:left="0" w:firstLine="0"/>
      </w:pPr>
      <w:rPr>
        <w:rFonts w:hint="eastAsia"/>
      </w:rPr>
    </w:lvl>
    <w:lvl w:ilvl="7" w:tentative="0">
      <w:start w:val="0"/>
      <w:numFmt w:val="decimal"/>
      <w:pStyle w:val="123"/>
      <w:lvlText w:val=""/>
      <w:lvlJc w:val="left"/>
      <w:pPr>
        <w:ind w:left="0" w:firstLine="0"/>
      </w:pPr>
      <w:rPr>
        <w:rFonts w:hint="eastAsia"/>
      </w:rPr>
    </w:lvl>
    <w:lvl w:ilvl="8" w:tentative="0">
      <w:start w:val="0"/>
      <w:numFmt w:val="decimal"/>
      <w:pStyle w:val="124"/>
      <w:lvlText w:val=""/>
      <w:lvlJc w:val="left"/>
      <w:pPr>
        <w:ind w:left="0" w:firstLine="0"/>
      </w:pPr>
      <w:rPr>
        <w:rFonts w:hint="eastAsia"/>
      </w:rPr>
    </w:lvl>
  </w:abstractNum>
  <w:abstractNum w:abstractNumId="88">
    <w:nsid w:val="71C86346"/>
    <w:multiLevelType w:val="multilevel"/>
    <w:tmpl w:val="71C86346"/>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22C5C89"/>
    <w:multiLevelType w:val="multilevel"/>
    <w:tmpl w:val="722C5C89"/>
    <w:lvl w:ilvl="0" w:tentative="0">
      <w:start w:val="1"/>
      <w:numFmt w:val="decimal"/>
      <w:lvlText w:val="%1."/>
      <w:lvlJc w:val="left"/>
      <w:pPr>
        <w:ind w:left="420" w:hanging="420"/>
      </w:pPr>
      <w:rPr>
        <w:rFonts w:hint="eastAsia"/>
        <w:strike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76630DDD"/>
    <w:multiLevelType w:val="multilevel"/>
    <w:tmpl w:val="76630DDD"/>
    <w:lvl w:ilvl="0" w:tentative="0">
      <w:start w:val="1"/>
      <w:numFmt w:val="decimal"/>
      <w:lvlText w:val="%1."/>
      <w:lvlJc w:val="left"/>
      <w:pPr>
        <w:ind w:left="420" w:hanging="420"/>
      </w:pPr>
      <w:rPr>
        <w:i w:val="0"/>
        <w:iCs w:val="0"/>
        <w:shd w:val="clear" w:color="auto" w:fil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1">
    <w:nsid w:val="77A40E1F"/>
    <w:multiLevelType w:val="multilevel"/>
    <w:tmpl w:val="77A40E1F"/>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2">
    <w:nsid w:val="78715BB6"/>
    <w:multiLevelType w:val="multilevel"/>
    <w:tmpl w:val="78715BB6"/>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78D54744"/>
    <w:multiLevelType w:val="multilevel"/>
    <w:tmpl w:val="78D54744"/>
    <w:lvl w:ilvl="0" w:tentative="0">
      <w:start w:val="1"/>
      <w:numFmt w:val="decimal"/>
      <w:lvlText w:val="%1."/>
      <w:lvlJc w:val="left"/>
      <w:pPr>
        <w:tabs>
          <w:tab w:val="left" w:pos="780"/>
        </w:tabs>
        <w:ind w:left="78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4">
    <w:nsid w:val="7F20539A"/>
    <w:multiLevelType w:val="multilevel"/>
    <w:tmpl w:val="7F20539A"/>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7"/>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90"/>
  </w:num>
  <w:num w:numId="5">
    <w:abstractNumId w:val="26"/>
  </w:num>
  <w:num w:numId="6">
    <w:abstractNumId w:val="16"/>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1"/>
  </w:num>
  <w:num w:numId="16">
    <w:abstractNumId w:val="0"/>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2"/>
  </w:num>
  <w:num w:numId="19">
    <w:abstractNumId w:val="11"/>
  </w:num>
  <w:num w:numId="20">
    <w:abstractNumId w:val="92"/>
  </w:num>
  <w:num w:numId="21">
    <w:abstractNumId w:val="13"/>
  </w:num>
  <w:num w:numId="22">
    <w:abstractNumId w:val="57"/>
  </w:num>
  <w:num w:numId="23">
    <w:abstractNumId w:val="84"/>
  </w:num>
  <w:num w:numId="24">
    <w:abstractNumId w:val="49"/>
  </w:num>
  <w:num w:numId="25">
    <w:abstractNumId w:val="88"/>
  </w:num>
  <w:num w:numId="26">
    <w:abstractNumId w:val="67"/>
  </w:num>
  <w:num w:numId="27">
    <w:abstractNumId w:val="2"/>
  </w:num>
  <w:num w:numId="28">
    <w:abstractNumId w:val="81"/>
  </w:num>
  <w:num w:numId="29">
    <w:abstractNumId w:val="50"/>
  </w:num>
  <w:num w:numId="30">
    <w:abstractNumId w:val="56"/>
  </w:num>
  <w:num w:numId="31">
    <w:abstractNumId w:val="20"/>
  </w:num>
  <w:num w:numId="32">
    <w:abstractNumId w:val="62"/>
  </w:num>
  <w:num w:numId="33">
    <w:abstractNumId w:val="10"/>
  </w:num>
  <w:num w:numId="34">
    <w:abstractNumId w:val="58"/>
  </w:num>
  <w:num w:numId="35">
    <w:abstractNumId w:val="21"/>
  </w:num>
  <w:num w:numId="36">
    <w:abstractNumId w:val="70"/>
  </w:num>
  <w:num w:numId="37">
    <w:abstractNumId w:val="24"/>
  </w:num>
  <w:num w:numId="38">
    <w:abstractNumId w:val="60"/>
  </w:num>
  <w:num w:numId="39">
    <w:abstractNumId w:val="63"/>
  </w:num>
  <w:num w:numId="40">
    <w:abstractNumId w:val="69"/>
  </w:num>
  <w:num w:numId="41">
    <w:abstractNumId w:val="46"/>
  </w:num>
  <w:num w:numId="42">
    <w:abstractNumId w:val="33"/>
  </w:num>
  <w:num w:numId="43">
    <w:abstractNumId w:val="75"/>
  </w:num>
  <w:num w:numId="44">
    <w:abstractNumId w:val="42"/>
  </w:num>
  <w:num w:numId="45">
    <w:abstractNumId w:val="38"/>
  </w:num>
  <w:num w:numId="46">
    <w:abstractNumId w:val="17"/>
  </w:num>
  <w:num w:numId="47">
    <w:abstractNumId w:val="40"/>
  </w:num>
  <w:num w:numId="48">
    <w:abstractNumId w:val="27"/>
  </w:num>
  <w:num w:numId="49">
    <w:abstractNumId w:val="86"/>
  </w:num>
  <w:num w:numId="50">
    <w:abstractNumId w:val="65"/>
  </w:num>
  <w:num w:numId="51">
    <w:abstractNumId w:val="36"/>
  </w:num>
  <w:num w:numId="52">
    <w:abstractNumId w:val="43"/>
  </w:num>
  <w:num w:numId="53">
    <w:abstractNumId w:val="68"/>
  </w:num>
  <w:num w:numId="54">
    <w:abstractNumId w:val="52"/>
  </w:num>
  <w:num w:numId="55">
    <w:abstractNumId w:val="37"/>
  </w:num>
  <w:num w:numId="56">
    <w:abstractNumId w:val="28"/>
  </w:num>
  <w:num w:numId="57">
    <w:abstractNumId w:val="29"/>
  </w:num>
  <w:num w:numId="58">
    <w:abstractNumId w:val="59"/>
  </w:num>
  <w:num w:numId="59">
    <w:abstractNumId w:val="3"/>
  </w:num>
  <w:num w:numId="60">
    <w:abstractNumId w:val="6"/>
  </w:num>
  <w:num w:numId="61">
    <w:abstractNumId w:val="41"/>
  </w:num>
  <w:num w:numId="62">
    <w:abstractNumId w:val="31"/>
  </w:num>
  <w:num w:numId="63">
    <w:abstractNumId w:val="44"/>
  </w:num>
  <w:num w:numId="64">
    <w:abstractNumId w:val="22"/>
  </w:num>
  <w:num w:numId="6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2"/>
  </w:num>
  <w:num w:numId="67">
    <w:abstractNumId w:val="23"/>
  </w:num>
  <w:num w:numId="68">
    <w:abstractNumId w:val="80"/>
  </w:num>
  <w:num w:numId="69">
    <w:abstractNumId w:val="18"/>
  </w:num>
  <w:num w:numId="70">
    <w:abstractNumId w:val="76"/>
  </w:num>
  <w:num w:numId="71">
    <w:abstractNumId w:val="89"/>
  </w:num>
  <w:num w:numId="72">
    <w:abstractNumId w:val="55"/>
  </w:num>
  <w:num w:numId="73">
    <w:abstractNumId w:val="73"/>
  </w:num>
  <w:num w:numId="74">
    <w:abstractNumId w:val="94"/>
  </w:num>
  <w:num w:numId="75">
    <w:abstractNumId w:val="78"/>
  </w:num>
  <w:num w:numId="76">
    <w:abstractNumId w:val="32"/>
  </w:num>
  <w:num w:numId="77">
    <w:abstractNumId w:val="39"/>
  </w:num>
  <w:num w:numId="78">
    <w:abstractNumId w:val="9"/>
  </w:num>
  <w:num w:numId="79">
    <w:abstractNumId w:val="34"/>
  </w:num>
  <w:num w:numId="80">
    <w:abstractNumId w:val="51"/>
  </w:num>
  <w:num w:numId="81">
    <w:abstractNumId w:val="30"/>
  </w:num>
  <w:num w:numId="82">
    <w:abstractNumId w:val="5"/>
  </w:num>
  <w:num w:numId="83">
    <w:abstractNumId w:val="77"/>
  </w:num>
  <w:num w:numId="84">
    <w:abstractNumId w:val="48"/>
  </w:num>
  <w:num w:numId="85">
    <w:abstractNumId w:val="14"/>
  </w:num>
  <w:num w:numId="86">
    <w:abstractNumId w:val="53"/>
  </w:num>
  <w:num w:numId="87">
    <w:abstractNumId w:val="61"/>
  </w:num>
  <w:num w:numId="88">
    <w:abstractNumId w:val="93"/>
  </w:num>
  <w:num w:numId="89">
    <w:abstractNumId w:val="8"/>
  </w:num>
  <w:num w:numId="90">
    <w:abstractNumId w:val="25"/>
  </w:num>
  <w:num w:numId="91">
    <w:abstractNumId w:val="66"/>
  </w:num>
  <w:num w:numId="92">
    <w:abstractNumId w:val="15"/>
  </w:num>
  <w:num w:numId="93">
    <w:abstractNumId w:val="74"/>
  </w:num>
  <w:num w:numId="94">
    <w:abstractNumId w:val="4"/>
  </w:num>
  <w:num w:numId="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0"/>
  <w:drawingGridHorizontalSpacing w:val="10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BkYjc1NGViMzgxYmVkNTZhZWE4MmZhNTcxOGZlZWQifQ=="/>
  </w:docVars>
  <w:rsids>
    <w:rsidRoot w:val="0092721E"/>
    <w:rsid w:val="00001700"/>
    <w:rsid w:val="0000174F"/>
    <w:rsid w:val="000018A3"/>
    <w:rsid w:val="00001E13"/>
    <w:rsid w:val="00002DDA"/>
    <w:rsid w:val="00002EB2"/>
    <w:rsid w:val="00002F3F"/>
    <w:rsid w:val="000036D2"/>
    <w:rsid w:val="000063B9"/>
    <w:rsid w:val="0000783A"/>
    <w:rsid w:val="00010219"/>
    <w:rsid w:val="000102E1"/>
    <w:rsid w:val="00011524"/>
    <w:rsid w:val="0001184C"/>
    <w:rsid w:val="0001213D"/>
    <w:rsid w:val="000125CC"/>
    <w:rsid w:val="000127B8"/>
    <w:rsid w:val="00012F12"/>
    <w:rsid w:val="00014537"/>
    <w:rsid w:val="00014CAB"/>
    <w:rsid w:val="00014ED1"/>
    <w:rsid w:val="00014FE5"/>
    <w:rsid w:val="00015701"/>
    <w:rsid w:val="00015E28"/>
    <w:rsid w:val="0002040E"/>
    <w:rsid w:val="00020619"/>
    <w:rsid w:val="00021301"/>
    <w:rsid w:val="0002140F"/>
    <w:rsid w:val="00021B31"/>
    <w:rsid w:val="00022687"/>
    <w:rsid w:val="00024AF4"/>
    <w:rsid w:val="0002510B"/>
    <w:rsid w:val="0002533E"/>
    <w:rsid w:val="00026703"/>
    <w:rsid w:val="00026C7E"/>
    <w:rsid w:val="00027156"/>
    <w:rsid w:val="0002779D"/>
    <w:rsid w:val="0002786C"/>
    <w:rsid w:val="00027922"/>
    <w:rsid w:val="00027DF6"/>
    <w:rsid w:val="00027E85"/>
    <w:rsid w:val="00031395"/>
    <w:rsid w:val="00033097"/>
    <w:rsid w:val="0003354A"/>
    <w:rsid w:val="000358D2"/>
    <w:rsid w:val="0003598F"/>
    <w:rsid w:val="000368BE"/>
    <w:rsid w:val="0003706F"/>
    <w:rsid w:val="00037154"/>
    <w:rsid w:val="0003727A"/>
    <w:rsid w:val="000408FE"/>
    <w:rsid w:val="00041467"/>
    <w:rsid w:val="0004165B"/>
    <w:rsid w:val="00042228"/>
    <w:rsid w:val="00042776"/>
    <w:rsid w:val="00042B40"/>
    <w:rsid w:val="00042CF9"/>
    <w:rsid w:val="000432B2"/>
    <w:rsid w:val="000437EE"/>
    <w:rsid w:val="00043C94"/>
    <w:rsid w:val="00044B13"/>
    <w:rsid w:val="00044EA3"/>
    <w:rsid w:val="00045787"/>
    <w:rsid w:val="00047C41"/>
    <w:rsid w:val="00047DD2"/>
    <w:rsid w:val="000517C7"/>
    <w:rsid w:val="00051B2A"/>
    <w:rsid w:val="00052F73"/>
    <w:rsid w:val="00054202"/>
    <w:rsid w:val="00055068"/>
    <w:rsid w:val="00055562"/>
    <w:rsid w:val="000560B1"/>
    <w:rsid w:val="000563E8"/>
    <w:rsid w:val="00056807"/>
    <w:rsid w:val="00060716"/>
    <w:rsid w:val="000608FC"/>
    <w:rsid w:val="00061A6B"/>
    <w:rsid w:val="00062141"/>
    <w:rsid w:val="000624EC"/>
    <w:rsid w:val="0006314C"/>
    <w:rsid w:val="000639E6"/>
    <w:rsid w:val="00063A84"/>
    <w:rsid w:val="00063D2C"/>
    <w:rsid w:val="000640EF"/>
    <w:rsid w:val="000643AF"/>
    <w:rsid w:val="00065B16"/>
    <w:rsid w:val="000667C3"/>
    <w:rsid w:val="00066989"/>
    <w:rsid w:val="00066991"/>
    <w:rsid w:val="0007035F"/>
    <w:rsid w:val="00070599"/>
    <w:rsid w:val="00070936"/>
    <w:rsid w:val="000716FC"/>
    <w:rsid w:val="0007226C"/>
    <w:rsid w:val="00072CBE"/>
    <w:rsid w:val="0007351B"/>
    <w:rsid w:val="00073764"/>
    <w:rsid w:val="000753EF"/>
    <w:rsid w:val="00075810"/>
    <w:rsid w:val="00077CB8"/>
    <w:rsid w:val="00077DEC"/>
    <w:rsid w:val="00080033"/>
    <w:rsid w:val="00080437"/>
    <w:rsid w:val="00080811"/>
    <w:rsid w:val="000808FD"/>
    <w:rsid w:val="000811ED"/>
    <w:rsid w:val="00081210"/>
    <w:rsid w:val="00081422"/>
    <w:rsid w:val="000825BB"/>
    <w:rsid w:val="00082ABE"/>
    <w:rsid w:val="00083B4B"/>
    <w:rsid w:val="00083F9B"/>
    <w:rsid w:val="000840F1"/>
    <w:rsid w:val="00084BCA"/>
    <w:rsid w:val="00085AED"/>
    <w:rsid w:val="00085E00"/>
    <w:rsid w:val="000860F1"/>
    <w:rsid w:val="00086188"/>
    <w:rsid w:val="00086444"/>
    <w:rsid w:val="000864EA"/>
    <w:rsid w:val="0008669A"/>
    <w:rsid w:val="00086BCF"/>
    <w:rsid w:val="000870C0"/>
    <w:rsid w:val="000902F5"/>
    <w:rsid w:val="00090743"/>
    <w:rsid w:val="00090B4C"/>
    <w:rsid w:val="0009106B"/>
    <w:rsid w:val="0009174E"/>
    <w:rsid w:val="000919CB"/>
    <w:rsid w:val="00091C48"/>
    <w:rsid w:val="000922CA"/>
    <w:rsid w:val="00094148"/>
    <w:rsid w:val="000949EA"/>
    <w:rsid w:val="00095259"/>
    <w:rsid w:val="000962C9"/>
    <w:rsid w:val="00096BE0"/>
    <w:rsid w:val="00096DF6"/>
    <w:rsid w:val="0009795D"/>
    <w:rsid w:val="00097ADB"/>
    <w:rsid w:val="000A2183"/>
    <w:rsid w:val="000A2225"/>
    <w:rsid w:val="000A36D5"/>
    <w:rsid w:val="000A458C"/>
    <w:rsid w:val="000A5671"/>
    <w:rsid w:val="000A6135"/>
    <w:rsid w:val="000A6B0E"/>
    <w:rsid w:val="000A6DCA"/>
    <w:rsid w:val="000A6DE6"/>
    <w:rsid w:val="000A7023"/>
    <w:rsid w:val="000A73A7"/>
    <w:rsid w:val="000A7D72"/>
    <w:rsid w:val="000A7EA3"/>
    <w:rsid w:val="000B090B"/>
    <w:rsid w:val="000B0A3F"/>
    <w:rsid w:val="000B14EF"/>
    <w:rsid w:val="000B18B5"/>
    <w:rsid w:val="000B19DF"/>
    <w:rsid w:val="000B2403"/>
    <w:rsid w:val="000B2EDA"/>
    <w:rsid w:val="000B3D27"/>
    <w:rsid w:val="000B4393"/>
    <w:rsid w:val="000B49C9"/>
    <w:rsid w:val="000B593C"/>
    <w:rsid w:val="000B6B49"/>
    <w:rsid w:val="000B6C51"/>
    <w:rsid w:val="000B750C"/>
    <w:rsid w:val="000C0AE8"/>
    <w:rsid w:val="000C1577"/>
    <w:rsid w:val="000C173A"/>
    <w:rsid w:val="000C1964"/>
    <w:rsid w:val="000C24EB"/>
    <w:rsid w:val="000C3C6A"/>
    <w:rsid w:val="000C4394"/>
    <w:rsid w:val="000C4802"/>
    <w:rsid w:val="000C4C41"/>
    <w:rsid w:val="000C5139"/>
    <w:rsid w:val="000C5DA9"/>
    <w:rsid w:val="000C5FBD"/>
    <w:rsid w:val="000C6345"/>
    <w:rsid w:val="000D0061"/>
    <w:rsid w:val="000D0EC5"/>
    <w:rsid w:val="000D0FD6"/>
    <w:rsid w:val="000D11E8"/>
    <w:rsid w:val="000D161C"/>
    <w:rsid w:val="000D284F"/>
    <w:rsid w:val="000D29A5"/>
    <w:rsid w:val="000D32D1"/>
    <w:rsid w:val="000D33E8"/>
    <w:rsid w:val="000D3926"/>
    <w:rsid w:val="000D4CCE"/>
    <w:rsid w:val="000D4DC8"/>
    <w:rsid w:val="000D5095"/>
    <w:rsid w:val="000D56F8"/>
    <w:rsid w:val="000D5839"/>
    <w:rsid w:val="000D5B96"/>
    <w:rsid w:val="000D6897"/>
    <w:rsid w:val="000D73C5"/>
    <w:rsid w:val="000E11BD"/>
    <w:rsid w:val="000E171F"/>
    <w:rsid w:val="000E1F04"/>
    <w:rsid w:val="000E24B5"/>
    <w:rsid w:val="000E2D39"/>
    <w:rsid w:val="000E35B4"/>
    <w:rsid w:val="000E3DB8"/>
    <w:rsid w:val="000E42BB"/>
    <w:rsid w:val="000E511A"/>
    <w:rsid w:val="000E67A0"/>
    <w:rsid w:val="000E69D6"/>
    <w:rsid w:val="000E7356"/>
    <w:rsid w:val="000E735D"/>
    <w:rsid w:val="000E7D0F"/>
    <w:rsid w:val="000F018F"/>
    <w:rsid w:val="000F02AD"/>
    <w:rsid w:val="000F0687"/>
    <w:rsid w:val="000F1F1D"/>
    <w:rsid w:val="000F2249"/>
    <w:rsid w:val="000F2ADE"/>
    <w:rsid w:val="000F35F1"/>
    <w:rsid w:val="000F3AF8"/>
    <w:rsid w:val="000F425B"/>
    <w:rsid w:val="000F4855"/>
    <w:rsid w:val="000F5A4E"/>
    <w:rsid w:val="000F5D87"/>
    <w:rsid w:val="000F654C"/>
    <w:rsid w:val="000F678B"/>
    <w:rsid w:val="000F6C07"/>
    <w:rsid w:val="000F7245"/>
    <w:rsid w:val="000F755F"/>
    <w:rsid w:val="000F7EE4"/>
    <w:rsid w:val="001014E7"/>
    <w:rsid w:val="00101527"/>
    <w:rsid w:val="001015B6"/>
    <w:rsid w:val="00102296"/>
    <w:rsid w:val="0010245B"/>
    <w:rsid w:val="00102A59"/>
    <w:rsid w:val="00103B70"/>
    <w:rsid w:val="00103DFD"/>
    <w:rsid w:val="001040DC"/>
    <w:rsid w:val="0010433C"/>
    <w:rsid w:val="00104A89"/>
    <w:rsid w:val="001050B4"/>
    <w:rsid w:val="00105F2B"/>
    <w:rsid w:val="0010648E"/>
    <w:rsid w:val="001064CF"/>
    <w:rsid w:val="001066F5"/>
    <w:rsid w:val="00106C14"/>
    <w:rsid w:val="00107E28"/>
    <w:rsid w:val="001101AB"/>
    <w:rsid w:val="00110576"/>
    <w:rsid w:val="001119BE"/>
    <w:rsid w:val="00111F67"/>
    <w:rsid w:val="00111F6B"/>
    <w:rsid w:val="001121F9"/>
    <w:rsid w:val="00112320"/>
    <w:rsid w:val="00113228"/>
    <w:rsid w:val="00113C29"/>
    <w:rsid w:val="00114D0E"/>
    <w:rsid w:val="00115409"/>
    <w:rsid w:val="00115BE4"/>
    <w:rsid w:val="0011699E"/>
    <w:rsid w:val="001175BA"/>
    <w:rsid w:val="001177C7"/>
    <w:rsid w:val="00117B53"/>
    <w:rsid w:val="00117E66"/>
    <w:rsid w:val="00117F58"/>
    <w:rsid w:val="00120261"/>
    <w:rsid w:val="00120B88"/>
    <w:rsid w:val="0012114F"/>
    <w:rsid w:val="00121368"/>
    <w:rsid w:val="0012262F"/>
    <w:rsid w:val="00122B16"/>
    <w:rsid w:val="001237A4"/>
    <w:rsid w:val="001248D8"/>
    <w:rsid w:val="00125307"/>
    <w:rsid w:val="00125D38"/>
    <w:rsid w:val="00125DB5"/>
    <w:rsid w:val="00127014"/>
    <w:rsid w:val="0012713F"/>
    <w:rsid w:val="00127DE2"/>
    <w:rsid w:val="0013040F"/>
    <w:rsid w:val="0013172A"/>
    <w:rsid w:val="00131A3D"/>
    <w:rsid w:val="00131C37"/>
    <w:rsid w:val="00131F63"/>
    <w:rsid w:val="0013238D"/>
    <w:rsid w:val="00132E82"/>
    <w:rsid w:val="00133165"/>
    <w:rsid w:val="00133659"/>
    <w:rsid w:val="001340D0"/>
    <w:rsid w:val="0013496E"/>
    <w:rsid w:val="00135D41"/>
    <w:rsid w:val="001362D8"/>
    <w:rsid w:val="001372EC"/>
    <w:rsid w:val="0013792D"/>
    <w:rsid w:val="0014073C"/>
    <w:rsid w:val="001408BB"/>
    <w:rsid w:val="00140C8C"/>
    <w:rsid w:val="00140E82"/>
    <w:rsid w:val="00141E72"/>
    <w:rsid w:val="001423D2"/>
    <w:rsid w:val="00142487"/>
    <w:rsid w:val="001434A5"/>
    <w:rsid w:val="00143653"/>
    <w:rsid w:val="00143702"/>
    <w:rsid w:val="00144E50"/>
    <w:rsid w:val="00145CFE"/>
    <w:rsid w:val="00150F21"/>
    <w:rsid w:val="001525CE"/>
    <w:rsid w:val="00153301"/>
    <w:rsid w:val="001535BF"/>
    <w:rsid w:val="001537B6"/>
    <w:rsid w:val="00153B9E"/>
    <w:rsid w:val="00154745"/>
    <w:rsid w:val="0015492B"/>
    <w:rsid w:val="00154E66"/>
    <w:rsid w:val="00155CDD"/>
    <w:rsid w:val="001560D9"/>
    <w:rsid w:val="0015649D"/>
    <w:rsid w:val="0015670F"/>
    <w:rsid w:val="001568D1"/>
    <w:rsid w:val="00156E42"/>
    <w:rsid w:val="00157803"/>
    <w:rsid w:val="00157AF3"/>
    <w:rsid w:val="00160379"/>
    <w:rsid w:val="00162F5B"/>
    <w:rsid w:val="001632B3"/>
    <w:rsid w:val="001637D4"/>
    <w:rsid w:val="00163C81"/>
    <w:rsid w:val="00163DEF"/>
    <w:rsid w:val="00163EE2"/>
    <w:rsid w:val="00163F3B"/>
    <w:rsid w:val="00164514"/>
    <w:rsid w:val="001646E1"/>
    <w:rsid w:val="001650A0"/>
    <w:rsid w:val="001654F7"/>
    <w:rsid w:val="00165B28"/>
    <w:rsid w:val="00165D0F"/>
    <w:rsid w:val="00165D6A"/>
    <w:rsid w:val="001671D3"/>
    <w:rsid w:val="00167206"/>
    <w:rsid w:val="00167B4A"/>
    <w:rsid w:val="00167C48"/>
    <w:rsid w:val="00170D22"/>
    <w:rsid w:val="00171AF0"/>
    <w:rsid w:val="00171D72"/>
    <w:rsid w:val="00172213"/>
    <w:rsid w:val="0017265A"/>
    <w:rsid w:val="00173A0E"/>
    <w:rsid w:val="00174167"/>
    <w:rsid w:val="001754F2"/>
    <w:rsid w:val="0017564B"/>
    <w:rsid w:val="00175ACF"/>
    <w:rsid w:val="00180948"/>
    <w:rsid w:val="00180FFD"/>
    <w:rsid w:val="00181061"/>
    <w:rsid w:val="00183118"/>
    <w:rsid w:val="001836B6"/>
    <w:rsid w:val="00183CE3"/>
    <w:rsid w:val="00184A8B"/>
    <w:rsid w:val="00186C6A"/>
    <w:rsid w:val="0019030F"/>
    <w:rsid w:val="001909F4"/>
    <w:rsid w:val="00190B48"/>
    <w:rsid w:val="00191023"/>
    <w:rsid w:val="001918C9"/>
    <w:rsid w:val="0019489D"/>
    <w:rsid w:val="00194ABE"/>
    <w:rsid w:val="00194D3F"/>
    <w:rsid w:val="00195CA6"/>
    <w:rsid w:val="00195DF5"/>
    <w:rsid w:val="0019614A"/>
    <w:rsid w:val="001962BE"/>
    <w:rsid w:val="001962FE"/>
    <w:rsid w:val="00196300"/>
    <w:rsid w:val="00196FAD"/>
    <w:rsid w:val="001A0525"/>
    <w:rsid w:val="001A1083"/>
    <w:rsid w:val="001A134E"/>
    <w:rsid w:val="001A1363"/>
    <w:rsid w:val="001A1675"/>
    <w:rsid w:val="001A16E8"/>
    <w:rsid w:val="001A16FB"/>
    <w:rsid w:val="001A185F"/>
    <w:rsid w:val="001A1BCD"/>
    <w:rsid w:val="001A1DD8"/>
    <w:rsid w:val="001A2CB3"/>
    <w:rsid w:val="001A30E4"/>
    <w:rsid w:val="001A3760"/>
    <w:rsid w:val="001A580A"/>
    <w:rsid w:val="001A611C"/>
    <w:rsid w:val="001A616C"/>
    <w:rsid w:val="001A6511"/>
    <w:rsid w:val="001A7884"/>
    <w:rsid w:val="001A7C1E"/>
    <w:rsid w:val="001A7EE5"/>
    <w:rsid w:val="001B047E"/>
    <w:rsid w:val="001B0B4C"/>
    <w:rsid w:val="001B0E95"/>
    <w:rsid w:val="001B0FE1"/>
    <w:rsid w:val="001B127F"/>
    <w:rsid w:val="001B148E"/>
    <w:rsid w:val="001B2082"/>
    <w:rsid w:val="001B335C"/>
    <w:rsid w:val="001B3A69"/>
    <w:rsid w:val="001B4169"/>
    <w:rsid w:val="001B4C3B"/>
    <w:rsid w:val="001B4E91"/>
    <w:rsid w:val="001B4EF0"/>
    <w:rsid w:val="001B5A13"/>
    <w:rsid w:val="001B5E1E"/>
    <w:rsid w:val="001B60F2"/>
    <w:rsid w:val="001B6492"/>
    <w:rsid w:val="001B6E94"/>
    <w:rsid w:val="001B7513"/>
    <w:rsid w:val="001C0972"/>
    <w:rsid w:val="001C0DF0"/>
    <w:rsid w:val="001C2163"/>
    <w:rsid w:val="001C28BC"/>
    <w:rsid w:val="001C301E"/>
    <w:rsid w:val="001C35AC"/>
    <w:rsid w:val="001C3B02"/>
    <w:rsid w:val="001C3EF9"/>
    <w:rsid w:val="001C4479"/>
    <w:rsid w:val="001C510A"/>
    <w:rsid w:val="001C5BBC"/>
    <w:rsid w:val="001C5C19"/>
    <w:rsid w:val="001C6414"/>
    <w:rsid w:val="001C69B0"/>
    <w:rsid w:val="001C7CDE"/>
    <w:rsid w:val="001D016B"/>
    <w:rsid w:val="001D01D4"/>
    <w:rsid w:val="001D0AA3"/>
    <w:rsid w:val="001D1739"/>
    <w:rsid w:val="001D17E8"/>
    <w:rsid w:val="001D1DCB"/>
    <w:rsid w:val="001D2272"/>
    <w:rsid w:val="001D2678"/>
    <w:rsid w:val="001D29E6"/>
    <w:rsid w:val="001D3002"/>
    <w:rsid w:val="001D329E"/>
    <w:rsid w:val="001D4040"/>
    <w:rsid w:val="001D438B"/>
    <w:rsid w:val="001D5BF9"/>
    <w:rsid w:val="001D672C"/>
    <w:rsid w:val="001D6AE5"/>
    <w:rsid w:val="001E00E8"/>
    <w:rsid w:val="001E1547"/>
    <w:rsid w:val="001E1909"/>
    <w:rsid w:val="001E1C69"/>
    <w:rsid w:val="001E265C"/>
    <w:rsid w:val="001E2A2E"/>
    <w:rsid w:val="001E3BA2"/>
    <w:rsid w:val="001E3F6E"/>
    <w:rsid w:val="001E442D"/>
    <w:rsid w:val="001E4AC1"/>
    <w:rsid w:val="001E5601"/>
    <w:rsid w:val="001E5677"/>
    <w:rsid w:val="001E5BF2"/>
    <w:rsid w:val="001E610A"/>
    <w:rsid w:val="001E6F64"/>
    <w:rsid w:val="001E71E4"/>
    <w:rsid w:val="001E7793"/>
    <w:rsid w:val="001F00DF"/>
    <w:rsid w:val="001F00F1"/>
    <w:rsid w:val="001F0EFC"/>
    <w:rsid w:val="001F12B8"/>
    <w:rsid w:val="001F1D05"/>
    <w:rsid w:val="001F1F84"/>
    <w:rsid w:val="001F2158"/>
    <w:rsid w:val="001F27B6"/>
    <w:rsid w:val="001F29C9"/>
    <w:rsid w:val="001F29CC"/>
    <w:rsid w:val="001F2C42"/>
    <w:rsid w:val="001F2FE6"/>
    <w:rsid w:val="001F3AFD"/>
    <w:rsid w:val="001F448C"/>
    <w:rsid w:val="001F5382"/>
    <w:rsid w:val="001F5705"/>
    <w:rsid w:val="001F60BA"/>
    <w:rsid w:val="001F6AE5"/>
    <w:rsid w:val="001F7923"/>
    <w:rsid w:val="002006E1"/>
    <w:rsid w:val="00200A85"/>
    <w:rsid w:val="00201D27"/>
    <w:rsid w:val="00202E65"/>
    <w:rsid w:val="002030CC"/>
    <w:rsid w:val="00204383"/>
    <w:rsid w:val="00204F6C"/>
    <w:rsid w:val="002050AC"/>
    <w:rsid w:val="0020562F"/>
    <w:rsid w:val="002061F6"/>
    <w:rsid w:val="00206A3C"/>
    <w:rsid w:val="00210332"/>
    <w:rsid w:val="00211293"/>
    <w:rsid w:val="00212191"/>
    <w:rsid w:val="00212A15"/>
    <w:rsid w:val="00212D60"/>
    <w:rsid w:val="00212EAC"/>
    <w:rsid w:val="00212F40"/>
    <w:rsid w:val="00213379"/>
    <w:rsid w:val="00213AA2"/>
    <w:rsid w:val="00213CAA"/>
    <w:rsid w:val="002144CE"/>
    <w:rsid w:val="00214867"/>
    <w:rsid w:val="00214A86"/>
    <w:rsid w:val="0021575E"/>
    <w:rsid w:val="002168C1"/>
    <w:rsid w:val="00216C00"/>
    <w:rsid w:val="00216F05"/>
    <w:rsid w:val="00216FE4"/>
    <w:rsid w:val="002173FA"/>
    <w:rsid w:val="00217995"/>
    <w:rsid w:val="00220D0A"/>
    <w:rsid w:val="00220E81"/>
    <w:rsid w:val="00221259"/>
    <w:rsid w:val="0022189B"/>
    <w:rsid w:val="00221AF3"/>
    <w:rsid w:val="00222142"/>
    <w:rsid w:val="00222C5C"/>
    <w:rsid w:val="00223035"/>
    <w:rsid w:val="00223671"/>
    <w:rsid w:val="0022377B"/>
    <w:rsid w:val="002248E8"/>
    <w:rsid w:val="00224A08"/>
    <w:rsid w:val="00224BC8"/>
    <w:rsid w:val="00224EAD"/>
    <w:rsid w:val="00224ED6"/>
    <w:rsid w:val="00225083"/>
    <w:rsid w:val="002274EB"/>
    <w:rsid w:val="00227D5B"/>
    <w:rsid w:val="00231903"/>
    <w:rsid w:val="002323C3"/>
    <w:rsid w:val="00234822"/>
    <w:rsid w:val="00235033"/>
    <w:rsid w:val="0023520A"/>
    <w:rsid w:val="0023558A"/>
    <w:rsid w:val="00236502"/>
    <w:rsid w:val="002368B9"/>
    <w:rsid w:val="002369B8"/>
    <w:rsid w:val="00236E75"/>
    <w:rsid w:val="00240703"/>
    <w:rsid w:val="00240A0F"/>
    <w:rsid w:val="00241A10"/>
    <w:rsid w:val="00242ACB"/>
    <w:rsid w:val="002434DD"/>
    <w:rsid w:val="002435AD"/>
    <w:rsid w:val="00244536"/>
    <w:rsid w:val="00245D64"/>
    <w:rsid w:val="00247435"/>
    <w:rsid w:val="00247EE9"/>
    <w:rsid w:val="002501A1"/>
    <w:rsid w:val="00251909"/>
    <w:rsid w:val="00251E25"/>
    <w:rsid w:val="0025208A"/>
    <w:rsid w:val="00252759"/>
    <w:rsid w:val="002529EB"/>
    <w:rsid w:val="00253493"/>
    <w:rsid w:val="002536D8"/>
    <w:rsid w:val="00254D73"/>
    <w:rsid w:val="002552AB"/>
    <w:rsid w:val="002558EC"/>
    <w:rsid w:val="00255BD0"/>
    <w:rsid w:val="0025664A"/>
    <w:rsid w:val="00256E16"/>
    <w:rsid w:val="00257677"/>
    <w:rsid w:val="0026039F"/>
    <w:rsid w:val="002609A1"/>
    <w:rsid w:val="002615ED"/>
    <w:rsid w:val="00262D8B"/>
    <w:rsid w:val="00263209"/>
    <w:rsid w:val="0026362F"/>
    <w:rsid w:val="002640A6"/>
    <w:rsid w:val="00264597"/>
    <w:rsid w:val="00264BAA"/>
    <w:rsid w:val="00264C06"/>
    <w:rsid w:val="002660D1"/>
    <w:rsid w:val="0026642C"/>
    <w:rsid w:val="002674D2"/>
    <w:rsid w:val="00267607"/>
    <w:rsid w:val="002704F2"/>
    <w:rsid w:val="00272BF6"/>
    <w:rsid w:val="00272E66"/>
    <w:rsid w:val="0027428C"/>
    <w:rsid w:val="00274D35"/>
    <w:rsid w:val="0027543D"/>
    <w:rsid w:val="002754CC"/>
    <w:rsid w:val="00275E64"/>
    <w:rsid w:val="0027647C"/>
    <w:rsid w:val="002765BC"/>
    <w:rsid w:val="00276D7F"/>
    <w:rsid w:val="002776B2"/>
    <w:rsid w:val="002777A6"/>
    <w:rsid w:val="00280001"/>
    <w:rsid w:val="002803EF"/>
    <w:rsid w:val="002804D6"/>
    <w:rsid w:val="00280823"/>
    <w:rsid w:val="00282592"/>
    <w:rsid w:val="0028260A"/>
    <w:rsid w:val="00282EA0"/>
    <w:rsid w:val="0028361C"/>
    <w:rsid w:val="002839DE"/>
    <w:rsid w:val="0028405F"/>
    <w:rsid w:val="002841E9"/>
    <w:rsid w:val="0028452A"/>
    <w:rsid w:val="00284602"/>
    <w:rsid w:val="00284DAE"/>
    <w:rsid w:val="002853FF"/>
    <w:rsid w:val="00285C84"/>
    <w:rsid w:val="00286614"/>
    <w:rsid w:val="00286A79"/>
    <w:rsid w:val="00287447"/>
    <w:rsid w:val="00290091"/>
    <w:rsid w:val="0029015C"/>
    <w:rsid w:val="002907A9"/>
    <w:rsid w:val="002915AA"/>
    <w:rsid w:val="00292487"/>
    <w:rsid w:val="002927D4"/>
    <w:rsid w:val="00293EFB"/>
    <w:rsid w:val="002945EB"/>
    <w:rsid w:val="00294B95"/>
    <w:rsid w:val="00294F7C"/>
    <w:rsid w:val="00296601"/>
    <w:rsid w:val="00296D4F"/>
    <w:rsid w:val="00296F34"/>
    <w:rsid w:val="00297BDD"/>
    <w:rsid w:val="002A00A4"/>
    <w:rsid w:val="002A286B"/>
    <w:rsid w:val="002A2DB3"/>
    <w:rsid w:val="002A380E"/>
    <w:rsid w:val="002A3A4A"/>
    <w:rsid w:val="002A4CA3"/>
    <w:rsid w:val="002A4F24"/>
    <w:rsid w:val="002A5397"/>
    <w:rsid w:val="002A69CE"/>
    <w:rsid w:val="002A6AC9"/>
    <w:rsid w:val="002A6D52"/>
    <w:rsid w:val="002A72E8"/>
    <w:rsid w:val="002A734B"/>
    <w:rsid w:val="002A74EC"/>
    <w:rsid w:val="002A7D01"/>
    <w:rsid w:val="002A7ED1"/>
    <w:rsid w:val="002B1012"/>
    <w:rsid w:val="002B11F6"/>
    <w:rsid w:val="002B13A4"/>
    <w:rsid w:val="002B1B9D"/>
    <w:rsid w:val="002B227E"/>
    <w:rsid w:val="002B32B7"/>
    <w:rsid w:val="002B3354"/>
    <w:rsid w:val="002B35E9"/>
    <w:rsid w:val="002B37EA"/>
    <w:rsid w:val="002B432E"/>
    <w:rsid w:val="002B4BB5"/>
    <w:rsid w:val="002B4F7E"/>
    <w:rsid w:val="002B533B"/>
    <w:rsid w:val="002B5B2A"/>
    <w:rsid w:val="002B60E5"/>
    <w:rsid w:val="002B6AC6"/>
    <w:rsid w:val="002B6C2E"/>
    <w:rsid w:val="002B6CDB"/>
    <w:rsid w:val="002B7200"/>
    <w:rsid w:val="002B7916"/>
    <w:rsid w:val="002C008C"/>
    <w:rsid w:val="002C0B0E"/>
    <w:rsid w:val="002C0BD7"/>
    <w:rsid w:val="002C15E4"/>
    <w:rsid w:val="002C1F78"/>
    <w:rsid w:val="002C2877"/>
    <w:rsid w:val="002C3347"/>
    <w:rsid w:val="002C4830"/>
    <w:rsid w:val="002C4C2E"/>
    <w:rsid w:val="002C4E0D"/>
    <w:rsid w:val="002C4F5A"/>
    <w:rsid w:val="002C528E"/>
    <w:rsid w:val="002C5976"/>
    <w:rsid w:val="002C639C"/>
    <w:rsid w:val="002C71AF"/>
    <w:rsid w:val="002C769D"/>
    <w:rsid w:val="002D0172"/>
    <w:rsid w:val="002D030E"/>
    <w:rsid w:val="002D07FB"/>
    <w:rsid w:val="002D1179"/>
    <w:rsid w:val="002D1788"/>
    <w:rsid w:val="002D1DF7"/>
    <w:rsid w:val="002D2758"/>
    <w:rsid w:val="002D4667"/>
    <w:rsid w:val="002D4950"/>
    <w:rsid w:val="002D5347"/>
    <w:rsid w:val="002D5357"/>
    <w:rsid w:val="002D6847"/>
    <w:rsid w:val="002E19D3"/>
    <w:rsid w:val="002E1A86"/>
    <w:rsid w:val="002E1FE6"/>
    <w:rsid w:val="002E21C0"/>
    <w:rsid w:val="002E22BC"/>
    <w:rsid w:val="002E29C5"/>
    <w:rsid w:val="002E33EA"/>
    <w:rsid w:val="002E44E2"/>
    <w:rsid w:val="002E4BA5"/>
    <w:rsid w:val="002E5333"/>
    <w:rsid w:val="002E5BC6"/>
    <w:rsid w:val="002E5D81"/>
    <w:rsid w:val="002E626F"/>
    <w:rsid w:val="002E6315"/>
    <w:rsid w:val="002E68EE"/>
    <w:rsid w:val="002E720B"/>
    <w:rsid w:val="002E7B9E"/>
    <w:rsid w:val="002E7E44"/>
    <w:rsid w:val="002F00D8"/>
    <w:rsid w:val="002F1E32"/>
    <w:rsid w:val="002F22F8"/>
    <w:rsid w:val="002F2CE1"/>
    <w:rsid w:val="002F3741"/>
    <w:rsid w:val="002F3A6B"/>
    <w:rsid w:val="002F5273"/>
    <w:rsid w:val="002F54BA"/>
    <w:rsid w:val="002F565F"/>
    <w:rsid w:val="002F5CC8"/>
    <w:rsid w:val="002F6132"/>
    <w:rsid w:val="002F6200"/>
    <w:rsid w:val="002F631B"/>
    <w:rsid w:val="002F65D7"/>
    <w:rsid w:val="002F6822"/>
    <w:rsid w:val="002F6C74"/>
    <w:rsid w:val="002F7376"/>
    <w:rsid w:val="002F7647"/>
    <w:rsid w:val="002F7C2C"/>
    <w:rsid w:val="003004AE"/>
    <w:rsid w:val="00300636"/>
    <w:rsid w:val="00303C65"/>
    <w:rsid w:val="003064D2"/>
    <w:rsid w:val="00306918"/>
    <w:rsid w:val="003074A3"/>
    <w:rsid w:val="00307B70"/>
    <w:rsid w:val="00307F36"/>
    <w:rsid w:val="003101A8"/>
    <w:rsid w:val="0031035E"/>
    <w:rsid w:val="0031141F"/>
    <w:rsid w:val="003118F1"/>
    <w:rsid w:val="00311BFC"/>
    <w:rsid w:val="00312181"/>
    <w:rsid w:val="003130C4"/>
    <w:rsid w:val="00313C65"/>
    <w:rsid w:val="003140C1"/>
    <w:rsid w:val="00314FC4"/>
    <w:rsid w:val="00315617"/>
    <w:rsid w:val="003159FF"/>
    <w:rsid w:val="00316CAB"/>
    <w:rsid w:val="00317367"/>
    <w:rsid w:val="00320690"/>
    <w:rsid w:val="00322C6E"/>
    <w:rsid w:val="0032306E"/>
    <w:rsid w:val="00323DCA"/>
    <w:rsid w:val="00324B55"/>
    <w:rsid w:val="0032542C"/>
    <w:rsid w:val="003260EE"/>
    <w:rsid w:val="003267EA"/>
    <w:rsid w:val="0033023A"/>
    <w:rsid w:val="003309A7"/>
    <w:rsid w:val="00330FDE"/>
    <w:rsid w:val="0033107B"/>
    <w:rsid w:val="0033130B"/>
    <w:rsid w:val="00331E86"/>
    <w:rsid w:val="00332046"/>
    <w:rsid w:val="00332152"/>
    <w:rsid w:val="00332E5C"/>
    <w:rsid w:val="00334159"/>
    <w:rsid w:val="0033452D"/>
    <w:rsid w:val="003346EA"/>
    <w:rsid w:val="003362BF"/>
    <w:rsid w:val="003366EA"/>
    <w:rsid w:val="0033678A"/>
    <w:rsid w:val="0033792A"/>
    <w:rsid w:val="00340BEE"/>
    <w:rsid w:val="00340C08"/>
    <w:rsid w:val="003415E6"/>
    <w:rsid w:val="00341753"/>
    <w:rsid w:val="00341D25"/>
    <w:rsid w:val="00341D63"/>
    <w:rsid w:val="00342744"/>
    <w:rsid w:val="00342CA5"/>
    <w:rsid w:val="00342DB9"/>
    <w:rsid w:val="0034325A"/>
    <w:rsid w:val="0034348C"/>
    <w:rsid w:val="0034682F"/>
    <w:rsid w:val="0034724F"/>
    <w:rsid w:val="00347D2E"/>
    <w:rsid w:val="003505DC"/>
    <w:rsid w:val="00351B8D"/>
    <w:rsid w:val="0035257D"/>
    <w:rsid w:val="00352FD5"/>
    <w:rsid w:val="00353B81"/>
    <w:rsid w:val="00354D31"/>
    <w:rsid w:val="00355129"/>
    <w:rsid w:val="003556B3"/>
    <w:rsid w:val="00355C52"/>
    <w:rsid w:val="00355FDE"/>
    <w:rsid w:val="0035665E"/>
    <w:rsid w:val="0036082F"/>
    <w:rsid w:val="003608DA"/>
    <w:rsid w:val="00360AF6"/>
    <w:rsid w:val="003616FE"/>
    <w:rsid w:val="00361D40"/>
    <w:rsid w:val="00361FC4"/>
    <w:rsid w:val="00362593"/>
    <w:rsid w:val="003627CB"/>
    <w:rsid w:val="00362B20"/>
    <w:rsid w:val="003632FB"/>
    <w:rsid w:val="0036344E"/>
    <w:rsid w:val="0036385E"/>
    <w:rsid w:val="003639E6"/>
    <w:rsid w:val="00363A47"/>
    <w:rsid w:val="00363AD7"/>
    <w:rsid w:val="00364770"/>
    <w:rsid w:val="00364A7B"/>
    <w:rsid w:val="003659B8"/>
    <w:rsid w:val="00365CFE"/>
    <w:rsid w:val="003662A4"/>
    <w:rsid w:val="00366470"/>
    <w:rsid w:val="00366F3F"/>
    <w:rsid w:val="00367F19"/>
    <w:rsid w:val="003704AF"/>
    <w:rsid w:val="00370782"/>
    <w:rsid w:val="00370B64"/>
    <w:rsid w:val="00370ED1"/>
    <w:rsid w:val="0037174F"/>
    <w:rsid w:val="00372271"/>
    <w:rsid w:val="0037340E"/>
    <w:rsid w:val="00373D5E"/>
    <w:rsid w:val="00375CDD"/>
    <w:rsid w:val="00375D19"/>
    <w:rsid w:val="00376651"/>
    <w:rsid w:val="00377745"/>
    <w:rsid w:val="00377B58"/>
    <w:rsid w:val="003800F0"/>
    <w:rsid w:val="00380692"/>
    <w:rsid w:val="00380CC6"/>
    <w:rsid w:val="0038148C"/>
    <w:rsid w:val="00381A92"/>
    <w:rsid w:val="0038213F"/>
    <w:rsid w:val="00382B97"/>
    <w:rsid w:val="00382BD8"/>
    <w:rsid w:val="00384123"/>
    <w:rsid w:val="00384457"/>
    <w:rsid w:val="00386788"/>
    <w:rsid w:val="003871EC"/>
    <w:rsid w:val="00387BAD"/>
    <w:rsid w:val="00387CF6"/>
    <w:rsid w:val="003900E3"/>
    <w:rsid w:val="00390499"/>
    <w:rsid w:val="00391238"/>
    <w:rsid w:val="00391590"/>
    <w:rsid w:val="00391D10"/>
    <w:rsid w:val="00391D4E"/>
    <w:rsid w:val="003922AC"/>
    <w:rsid w:val="00392FC8"/>
    <w:rsid w:val="00393ADB"/>
    <w:rsid w:val="00393D3D"/>
    <w:rsid w:val="00394898"/>
    <w:rsid w:val="00394B8A"/>
    <w:rsid w:val="00394D58"/>
    <w:rsid w:val="003950DD"/>
    <w:rsid w:val="00395359"/>
    <w:rsid w:val="00396AFD"/>
    <w:rsid w:val="0039725F"/>
    <w:rsid w:val="003A015C"/>
    <w:rsid w:val="003A0C2E"/>
    <w:rsid w:val="003A114A"/>
    <w:rsid w:val="003A1E2C"/>
    <w:rsid w:val="003A22DD"/>
    <w:rsid w:val="003A2CBB"/>
    <w:rsid w:val="003A74E5"/>
    <w:rsid w:val="003A7A45"/>
    <w:rsid w:val="003A7ED5"/>
    <w:rsid w:val="003A7F4B"/>
    <w:rsid w:val="003B03B6"/>
    <w:rsid w:val="003B0F9C"/>
    <w:rsid w:val="003B0FA3"/>
    <w:rsid w:val="003B186B"/>
    <w:rsid w:val="003B1B88"/>
    <w:rsid w:val="003B2426"/>
    <w:rsid w:val="003B3C82"/>
    <w:rsid w:val="003B41AA"/>
    <w:rsid w:val="003B444D"/>
    <w:rsid w:val="003B4F2F"/>
    <w:rsid w:val="003B6181"/>
    <w:rsid w:val="003B687E"/>
    <w:rsid w:val="003B72BD"/>
    <w:rsid w:val="003B7C19"/>
    <w:rsid w:val="003B7D08"/>
    <w:rsid w:val="003C003F"/>
    <w:rsid w:val="003C0812"/>
    <w:rsid w:val="003C0EBC"/>
    <w:rsid w:val="003C12AA"/>
    <w:rsid w:val="003C15FD"/>
    <w:rsid w:val="003C2135"/>
    <w:rsid w:val="003C2744"/>
    <w:rsid w:val="003C337B"/>
    <w:rsid w:val="003C34CE"/>
    <w:rsid w:val="003C3703"/>
    <w:rsid w:val="003C46C2"/>
    <w:rsid w:val="003C4AC5"/>
    <w:rsid w:val="003C4AE8"/>
    <w:rsid w:val="003C4D7C"/>
    <w:rsid w:val="003C59EA"/>
    <w:rsid w:val="003C5A20"/>
    <w:rsid w:val="003C5D20"/>
    <w:rsid w:val="003C6D08"/>
    <w:rsid w:val="003C7A13"/>
    <w:rsid w:val="003D0FE7"/>
    <w:rsid w:val="003D1948"/>
    <w:rsid w:val="003D2704"/>
    <w:rsid w:val="003D287F"/>
    <w:rsid w:val="003D3C0F"/>
    <w:rsid w:val="003D3EC2"/>
    <w:rsid w:val="003D410F"/>
    <w:rsid w:val="003D4308"/>
    <w:rsid w:val="003D44DD"/>
    <w:rsid w:val="003D44FA"/>
    <w:rsid w:val="003D4B7D"/>
    <w:rsid w:val="003D51F5"/>
    <w:rsid w:val="003D62D3"/>
    <w:rsid w:val="003D68E4"/>
    <w:rsid w:val="003D6FE4"/>
    <w:rsid w:val="003D741C"/>
    <w:rsid w:val="003D793A"/>
    <w:rsid w:val="003D7DF4"/>
    <w:rsid w:val="003E09CE"/>
    <w:rsid w:val="003E1256"/>
    <w:rsid w:val="003E16CF"/>
    <w:rsid w:val="003E16EF"/>
    <w:rsid w:val="003E191D"/>
    <w:rsid w:val="003E1A07"/>
    <w:rsid w:val="003E1D9E"/>
    <w:rsid w:val="003E2050"/>
    <w:rsid w:val="003E2263"/>
    <w:rsid w:val="003E2BA7"/>
    <w:rsid w:val="003E3761"/>
    <w:rsid w:val="003E47F1"/>
    <w:rsid w:val="003E5D04"/>
    <w:rsid w:val="003E6098"/>
    <w:rsid w:val="003E7A82"/>
    <w:rsid w:val="003F0AC5"/>
    <w:rsid w:val="003F1BCD"/>
    <w:rsid w:val="003F3EAB"/>
    <w:rsid w:val="003F4DA6"/>
    <w:rsid w:val="003F4FED"/>
    <w:rsid w:val="003F5132"/>
    <w:rsid w:val="003F533E"/>
    <w:rsid w:val="003F5B5D"/>
    <w:rsid w:val="003F5D6C"/>
    <w:rsid w:val="003F6D74"/>
    <w:rsid w:val="003F6EAE"/>
    <w:rsid w:val="003F6F71"/>
    <w:rsid w:val="003F7196"/>
    <w:rsid w:val="003F770C"/>
    <w:rsid w:val="003F7906"/>
    <w:rsid w:val="003F7CF1"/>
    <w:rsid w:val="00400707"/>
    <w:rsid w:val="00400B0C"/>
    <w:rsid w:val="00401A15"/>
    <w:rsid w:val="00401B7D"/>
    <w:rsid w:val="00403241"/>
    <w:rsid w:val="004032E1"/>
    <w:rsid w:val="004036EA"/>
    <w:rsid w:val="0040421B"/>
    <w:rsid w:val="00406766"/>
    <w:rsid w:val="00407689"/>
    <w:rsid w:val="004105A4"/>
    <w:rsid w:val="00411B8C"/>
    <w:rsid w:val="0041344C"/>
    <w:rsid w:val="004146C6"/>
    <w:rsid w:val="004152DC"/>
    <w:rsid w:val="00415EAF"/>
    <w:rsid w:val="00416802"/>
    <w:rsid w:val="00416AE7"/>
    <w:rsid w:val="00420F7C"/>
    <w:rsid w:val="00420FF4"/>
    <w:rsid w:val="00421810"/>
    <w:rsid w:val="00421A01"/>
    <w:rsid w:val="00421E4B"/>
    <w:rsid w:val="00422228"/>
    <w:rsid w:val="00422F54"/>
    <w:rsid w:val="0042350F"/>
    <w:rsid w:val="00423610"/>
    <w:rsid w:val="00424034"/>
    <w:rsid w:val="00424286"/>
    <w:rsid w:val="00425182"/>
    <w:rsid w:val="00425997"/>
    <w:rsid w:val="00426B03"/>
    <w:rsid w:val="00426B84"/>
    <w:rsid w:val="00426C8E"/>
    <w:rsid w:val="00426FE0"/>
    <w:rsid w:val="00430066"/>
    <w:rsid w:val="00431241"/>
    <w:rsid w:val="00431308"/>
    <w:rsid w:val="00431932"/>
    <w:rsid w:val="00431F02"/>
    <w:rsid w:val="0043224C"/>
    <w:rsid w:val="004322D9"/>
    <w:rsid w:val="004342B4"/>
    <w:rsid w:val="004348CD"/>
    <w:rsid w:val="00436D87"/>
    <w:rsid w:val="004371F5"/>
    <w:rsid w:val="00437820"/>
    <w:rsid w:val="004405ED"/>
    <w:rsid w:val="004407D8"/>
    <w:rsid w:val="00442180"/>
    <w:rsid w:val="00445221"/>
    <w:rsid w:val="00445BB9"/>
    <w:rsid w:val="00446302"/>
    <w:rsid w:val="00446362"/>
    <w:rsid w:val="00446AF2"/>
    <w:rsid w:val="00447555"/>
    <w:rsid w:val="004475AD"/>
    <w:rsid w:val="00447B17"/>
    <w:rsid w:val="00447D7F"/>
    <w:rsid w:val="00450035"/>
    <w:rsid w:val="0045161B"/>
    <w:rsid w:val="004518B7"/>
    <w:rsid w:val="00451A79"/>
    <w:rsid w:val="004525F3"/>
    <w:rsid w:val="00452A8D"/>
    <w:rsid w:val="00452C24"/>
    <w:rsid w:val="00452CCD"/>
    <w:rsid w:val="004537DC"/>
    <w:rsid w:val="00454126"/>
    <w:rsid w:val="00454707"/>
    <w:rsid w:val="00454FA6"/>
    <w:rsid w:val="00455E21"/>
    <w:rsid w:val="0045726C"/>
    <w:rsid w:val="0046033F"/>
    <w:rsid w:val="004605BE"/>
    <w:rsid w:val="004607F4"/>
    <w:rsid w:val="00460E70"/>
    <w:rsid w:val="00460F8E"/>
    <w:rsid w:val="00461529"/>
    <w:rsid w:val="00461EE8"/>
    <w:rsid w:val="00462C3A"/>
    <w:rsid w:val="00462C5D"/>
    <w:rsid w:val="0046302B"/>
    <w:rsid w:val="004637E4"/>
    <w:rsid w:val="00463B17"/>
    <w:rsid w:val="0046419A"/>
    <w:rsid w:val="00465596"/>
    <w:rsid w:val="00466061"/>
    <w:rsid w:val="00466593"/>
    <w:rsid w:val="004667D4"/>
    <w:rsid w:val="00466E4D"/>
    <w:rsid w:val="004700A4"/>
    <w:rsid w:val="0047012A"/>
    <w:rsid w:val="00470425"/>
    <w:rsid w:val="00470D03"/>
    <w:rsid w:val="0047118D"/>
    <w:rsid w:val="00471D87"/>
    <w:rsid w:val="004721EF"/>
    <w:rsid w:val="00472AC0"/>
    <w:rsid w:val="00474379"/>
    <w:rsid w:val="00475AF1"/>
    <w:rsid w:val="00475B5B"/>
    <w:rsid w:val="0047667B"/>
    <w:rsid w:val="00476BB9"/>
    <w:rsid w:val="00477224"/>
    <w:rsid w:val="0047730C"/>
    <w:rsid w:val="004773BB"/>
    <w:rsid w:val="00480D27"/>
    <w:rsid w:val="004821C8"/>
    <w:rsid w:val="00482CA9"/>
    <w:rsid w:val="00482CE5"/>
    <w:rsid w:val="00482E6A"/>
    <w:rsid w:val="00482E72"/>
    <w:rsid w:val="00483C1D"/>
    <w:rsid w:val="00484795"/>
    <w:rsid w:val="00484A18"/>
    <w:rsid w:val="00484D3F"/>
    <w:rsid w:val="00484E6A"/>
    <w:rsid w:val="004856AA"/>
    <w:rsid w:val="004857AB"/>
    <w:rsid w:val="00490670"/>
    <w:rsid w:val="0049079B"/>
    <w:rsid w:val="004917F1"/>
    <w:rsid w:val="0049235F"/>
    <w:rsid w:val="00492A8C"/>
    <w:rsid w:val="00493E25"/>
    <w:rsid w:val="004940F3"/>
    <w:rsid w:val="004942C1"/>
    <w:rsid w:val="00494CC9"/>
    <w:rsid w:val="00494F7C"/>
    <w:rsid w:val="004950BC"/>
    <w:rsid w:val="00495BEE"/>
    <w:rsid w:val="004969FF"/>
    <w:rsid w:val="00497D74"/>
    <w:rsid w:val="00497FD9"/>
    <w:rsid w:val="004A110E"/>
    <w:rsid w:val="004A18F0"/>
    <w:rsid w:val="004A2554"/>
    <w:rsid w:val="004A41F0"/>
    <w:rsid w:val="004A4B56"/>
    <w:rsid w:val="004A4C64"/>
    <w:rsid w:val="004A4E9A"/>
    <w:rsid w:val="004A64A8"/>
    <w:rsid w:val="004A663F"/>
    <w:rsid w:val="004A694B"/>
    <w:rsid w:val="004A7239"/>
    <w:rsid w:val="004A7F8C"/>
    <w:rsid w:val="004B051F"/>
    <w:rsid w:val="004B06F5"/>
    <w:rsid w:val="004B12B8"/>
    <w:rsid w:val="004B17AE"/>
    <w:rsid w:val="004B1D8F"/>
    <w:rsid w:val="004B20DC"/>
    <w:rsid w:val="004B2E9B"/>
    <w:rsid w:val="004B30B7"/>
    <w:rsid w:val="004B3A12"/>
    <w:rsid w:val="004B440D"/>
    <w:rsid w:val="004B657E"/>
    <w:rsid w:val="004B7118"/>
    <w:rsid w:val="004B7336"/>
    <w:rsid w:val="004B7C2D"/>
    <w:rsid w:val="004C0608"/>
    <w:rsid w:val="004C13A8"/>
    <w:rsid w:val="004C14C5"/>
    <w:rsid w:val="004C1801"/>
    <w:rsid w:val="004C202C"/>
    <w:rsid w:val="004C2128"/>
    <w:rsid w:val="004C21FF"/>
    <w:rsid w:val="004C2250"/>
    <w:rsid w:val="004C2334"/>
    <w:rsid w:val="004C269E"/>
    <w:rsid w:val="004C2F8D"/>
    <w:rsid w:val="004C3172"/>
    <w:rsid w:val="004C334D"/>
    <w:rsid w:val="004C34EB"/>
    <w:rsid w:val="004C3D6B"/>
    <w:rsid w:val="004C3E0F"/>
    <w:rsid w:val="004C52A0"/>
    <w:rsid w:val="004C54B4"/>
    <w:rsid w:val="004C5C42"/>
    <w:rsid w:val="004C60B9"/>
    <w:rsid w:val="004C60EB"/>
    <w:rsid w:val="004C772F"/>
    <w:rsid w:val="004C7AB9"/>
    <w:rsid w:val="004C7F13"/>
    <w:rsid w:val="004D0E52"/>
    <w:rsid w:val="004D13C6"/>
    <w:rsid w:val="004D1482"/>
    <w:rsid w:val="004D1A58"/>
    <w:rsid w:val="004D2177"/>
    <w:rsid w:val="004D2988"/>
    <w:rsid w:val="004D32EF"/>
    <w:rsid w:val="004D3BE3"/>
    <w:rsid w:val="004D3CD3"/>
    <w:rsid w:val="004D4BE4"/>
    <w:rsid w:val="004D548B"/>
    <w:rsid w:val="004D626A"/>
    <w:rsid w:val="004D6335"/>
    <w:rsid w:val="004D655F"/>
    <w:rsid w:val="004D6EF2"/>
    <w:rsid w:val="004D7474"/>
    <w:rsid w:val="004D7900"/>
    <w:rsid w:val="004D7A45"/>
    <w:rsid w:val="004E0130"/>
    <w:rsid w:val="004E020F"/>
    <w:rsid w:val="004E063D"/>
    <w:rsid w:val="004E1764"/>
    <w:rsid w:val="004E2335"/>
    <w:rsid w:val="004E34D8"/>
    <w:rsid w:val="004E3843"/>
    <w:rsid w:val="004E3B37"/>
    <w:rsid w:val="004E3E5A"/>
    <w:rsid w:val="004E4191"/>
    <w:rsid w:val="004E4355"/>
    <w:rsid w:val="004E4D4B"/>
    <w:rsid w:val="004E5900"/>
    <w:rsid w:val="004E5BC7"/>
    <w:rsid w:val="004E6B58"/>
    <w:rsid w:val="004E76F2"/>
    <w:rsid w:val="004E772B"/>
    <w:rsid w:val="004F028D"/>
    <w:rsid w:val="004F0DEF"/>
    <w:rsid w:val="004F1703"/>
    <w:rsid w:val="004F1C4D"/>
    <w:rsid w:val="004F1ED5"/>
    <w:rsid w:val="004F2464"/>
    <w:rsid w:val="004F2BF0"/>
    <w:rsid w:val="004F4F61"/>
    <w:rsid w:val="004F63EA"/>
    <w:rsid w:val="004F641F"/>
    <w:rsid w:val="004F662D"/>
    <w:rsid w:val="004F6BE1"/>
    <w:rsid w:val="004F7C7F"/>
    <w:rsid w:val="0050139C"/>
    <w:rsid w:val="0050246A"/>
    <w:rsid w:val="00502A46"/>
    <w:rsid w:val="00504999"/>
    <w:rsid w:val="00505CB5"/>
    <w:rsid w:val="00505EFA"/>
    <w:rsid w:val="005060C9"/>
    <w:rsid w:val="00506488"/>
    <w:rsid w:val="005065C7"/>
    <w:rsid w:val="00506A9F"/>
    <w:rsid w:val="005078E9"/>
    <w:rsid w:val="00510BF8"/>
    <w:rsid w:val="00510D23"/>
    <w:rsid w:val="00510EA7"/>
    <w:rsid w:val="00511F29"/>
    <w:rsid w:val="00512092"/>
    <w:rsid w:val="00512A85"/>
    <w:rsid w:val="00513851"/>
    <w:rsid w:val="0051386E"/>
    <w:rsid w:val="00513903"/>
    <w:rsid w:val="00513D44"/>
    <w:rsid w:val="00513E79"/>
    <w:rsid w:val="00514176"/>
    <w:rsid w:val="005146D4"/>
    <w:rsid w:val="00514D54"/>
    <w:rsid w:val="00515F5E"/>
    <w:rsid w:val="0051630B"/>
    <w:rsid w:val="005166E2"/>
    <w:rsid w:val="00516DE9"/>
    <w:rsid w:val="00517521"/>
    <w:rsid w:val="00520F01"/>
    <w:rsid w:val="0052161C"/>
    <w:rsid w:val="00521A17"/>
    <w:rsid w:val="005222BA"/>
    <w:rsid w:val="00522515"/>
    <w:rsid w:val="005225F2"/>
    <w:rsid w:val="00522D7B"/>
    <w:rsid w:val="00523173"/>
    <w:rsid w:val="005236EF"/>
    <w:rsid w:val="00523B3C"/>
    <w:rsid w:val="005250CD"/>
    <w:rsid w:val="00525D29"/>
    <w:rsid w:val="00527037"/>
    <w:rsid w:val="0052710E"/>
    <w:rsid w:val="00527519"/>
    <w:rsid w:val="005277CE"/>
    <w:rsid w:val="00527980"/>
    <w:rsid w:val="00531782"/>
    <w:rsid w:val="00532468"/>
    <w:rsid w:val="0053371F"/>
    <w:rsid w:val="0053568F"/>
    <w:rsid w:val="00537753"/>
    <w:rsid w:val="005400E6"/>
    <w:rsid w:val="00542113"/>
    <w:rsid w:val="0054311B"/>
    <w:rsid w:val="00545525"/>
    <w:rsid w:val="00545939"/>
    <w:rsid w:val="00545B94"/>
    <w:rsid w:val="00545CEF"/>
    <w:rsid w:val="00546284"/>
    <w:rsid w:val="00547905"/>
    <w:rsid w:val="00547D67"/>
    <w:rsid w:val="005511A1"/>
    <w:rsid w:val="00551B9D"/>
    <w:rsid w:val="00551F18"/>
    <w:rsid w:val="005524CE"/>
    <w:rsid w:val="00552ACA"/>
    <w:rsid w:val="00552F3F"/>
    <w:rsid w:val="00552F70"/>
    <w:rsid w:val="005531F3"/>
    <w:rsid w:val="005532C3"/>
    <w:rsid w:val="00553714"/>
    <w:rsid w:val="00554684"/>
    <w:rsid w:val="005555C6"/>
    <w:rsid w:val="005555E3"/>
    <w:rsid w:val="00555B04"/>
    <w:rsid w:val="00555CFB"/>
    <w:rsid w:val="00555F4F"/>
    <w:rsid w:val="0055602B"/>
    <w:rsid w:val="00556439"/>
    <w:rsid w:val="00556687"/>
    <w:rsid w:val="00556939"/>
    <w:rsid w:val="0055781D"/>
    <w:rsid w:val="00557D51"/>
    <w:rsid w:val="0056055F"/>
    <w:rsid w:val="00561341"/>
    <w:rsid w:val="00562939"/>
    <w:rsid w:val="005646C6"/>
    <w:rsid w:val="00564B6F"/>
    <w:rsid w:val="00564E93"/>
    <w:rsid w:val="0056505B"/>
    <w:rsid w:val="00565969"/>
    <w:rsid w:val="00566037"/>
    <w:rsid w:val="005671AA"/>
    <w:rsid w:val="00567770"/>
    <w:rsid w:val="00570BF6"/>
    <w:rsid w:val="00572522"/>
    <w:rsid w:val="00572EA3"/>
    <w:rsid w:val="005733BA"/>
    <w:rsid w:val="00574227"/>
    <w:rsid w:val="005745C2"/>
    <w:rsid w:val="00574982"/>
    <w:rsid w:val="00574D5F"/>
    <w:rsid w:val="005758D6"/>
    <w:rsid w:val="00575C87"/>
    <w:rsid w:val="00575DCB"/>
    <w:rsid w:val="00576106"/>
    <w:rsid w:val="00576892"/>
    <w:rsid w:val="00577519"/>
    <w:rsid w:val="00577D01"/>
    <w:rsid w:val="00577E81"/>
    <w:rsid w:val="00577EBE"/>
    <w:rsid w:val="005801C9"/>
    <w:rsid w:val="00581131"/>
    <w:rsid w:val="0058161C"/>
    <w:rsid w:val="005822BF"/>
    <w:rsid w:val="00582E2D"/>
    <w:rsid w:val="00583153"/>
    <w:rsid w:val="005831E6"/>
    <w:rsid w:val="0058488F"/>
    <w:rsid w:val="00584B90"/>
    <w:rsid w:val="00584CC6"/>
    <w:rsid w:val="005860CF"/>
    <w:rsid w:val="00586DEB"/>
    <w:rsid w:val="0058716D"/>
    <w:rsid w:val="005878EA"/>
    <w:rsid w:val="00587A67"/>
    <w:rsid w:val="00587CCA"/>
    <w:rsid w:val="0059023D"/>
    <w:rsid w:val="0059069B"/>
    <w:rsid w:val="005908ED"/>
    <w:rsid w:val="00591FB9"/>
    <w:rsid w:val="00593FEC"/>
    <w:rsid w:val="00594C50"/>
    <w:rsid w:val="005966E0"/>
    <w:rsid w:val="00597FC8"/>
    <w:rsid w:val="005A1117"/>
    <w:rsid w:val="005A11D1"/>
    <w:rsid w:val="005A11ED"/>
    <w:rsid w:val="005A3DF5"/>
    <w:rsid w:val="005A4211"/>
    <w:rsid w:val="005A45F8"/>
    <w:rsid w:val="005A4A7F"/>
    <w:rsid w:val="005A550A"/>
    <w:rsid w:val="005A5524"/>
    <w:rsid w:val="005A6071"/>
    <w:rsid w:val="005A6E44"/>
    <w:rsid w:val="005A7AFE"/>
    <w:rsid w:val="005A7EC9"/>
    <w:rsid w:val="005B08AF"/>
    <w:rsid w:val="005B1270"/>
    <w:rsid w:val="005B24D2"/>
    <w:rsid w:val="005B256D"/>
    <w:rsid w:val="005B329F"/>
    <w:rsid w:val="005B3863"/>
    <w:rsid w:val="005B393E"/>
    <w:rsid w:val="005B3DCE"/>
    <w:rsid w:val="005B4814"/>
    <w:rsid w:val="005B4C6A"/>
    <w:rsid w:val="005B50CA"/>
    <w:rsid w:val="005B5388"/>
    <w:rsid w:val="005B5E2D"/>
    <w:rsid w:val="005B604D"/>
    <w:rsid w:val="005B60BE"/>
    <w:rsid w:val="005B6300"/>
    <w:rsid w:val="005B673D"/>
    <w:rsid w:val="005B6FE9"/>
    <w:rsid w:val="005B7A82"/>
    <w:rsid w:val="005B7C3F"/>
    <w:rsid w:val="005C2428"/>
    <w:rsid w:val="005C26CB"/>
    <w:rsid w:val="005C3B52"/>
    <w:rsid w:val="005C41E3"/>
    <w:rsid w:val="005C4B38"/>
    <w:rsid w:val="005C4FD8"/>
    <w:rsid w:val="005C510A"/>
    <w:rsid w:val="005C53B8"/>
    <w:rsid w:val="005C5B75"/>
    <w:rsid w:val="005C64BE"/>
    <w:rsid w:val="005C79E0"/>
    <w:rsid w:val="005C7FDB"/>
    <w:rsid w:val="005D1BF5"/>
    <w:rsid w:val="005D260E"/>
    <w:rsid w:val="005D261E"/>
    <w:rsid w:val="005D2895"/>
    <w:rsid w:val="005D3279"/>
    <w:rsid w:val="005D37BA"/>
    <w:rsid w:val="005D39C9"/>
    <w:rsid w:val="005D3DBB"/>
    <w:rsid w:val="005D4F66"/>
    <w:rsid w:val="005D5188"/>
    <w:rsid w:val="005D54EF"/>
    <w:rsid w:val="005D55D0"/>
    <w:rsid w:val="005D71EE"/>
    <w:rsid w:val="005D7D3D"/>
    <w:rsid w:val="005E05B0"/>
    <w:rsid w:val="005E06E8"/>
    <w:rsid w:val="005E07B9"/>
    <w:rsid w:val="005E1018"/>
    <w:rsid w:val="005E1E68"/>
    <w:rsid w:val="005E3019"/>
    <w:rsid w:val="005E460A"/>
    <w:rsid w:val="005E46D6"/>
    <w:rsid w:val="005E4D9D"/>
    <w:rsid w:val="005E611A"/>
    <w:rsid w:val="005E6711"/>
    <w:rsid w:val="005E706A"/>
    <w:rsid w:val="005E753B"/>
    <w:rsid w:val="005F08C4"/>
    <w:rsid w:val="005F1427"/>
    <w:rsid w:val="005F16D1"/>
    <w:rsid w:val="005F1841"/>
    <w:rsid w:val="005F1CF2"/>
    <w:rsid w:val="005F208D"/>
    <w:rsid w:val="005F2DCF"/>
    <w:rsid w:val="005F3388"/>
    <w:rsid w:val="005F3ACB"/>
    <w:rsid w:val="005F426A"/>
    <w:rsid w:val="005F445F"/>
    <w:rsid w:val="005F6032"/>
    <w:rsid w:val="005F63EB"/>
    <w:rsid w:val="005F7FA6"/>
    <w:rsid w:val="006000D1"/>
    <w:rsid w:val="00601302"/>
    <w:rsid w:val="006022CE"/>
    <w:rsid w:val="00602EC4"/>
    <w:rsid w:val="00603607"/>
    <w:rsid w:val="00603926"/>
    <w:rsid w:val="00603F49"/>
    <w:rsid w:val="006043C0"/>
    <w:rsid w:val="006044DC"/>
    <w:rsid w:val="00604ECA"/>
    <w:rsid w:val="00605012"/>
    <w:rsid w:val="00605633"/>
    <w:rsid w:val="00606978"/>
    <w:rsid w:val="006069B8"/>
    <w:rsid w:val="00607C64"/>
    <w:rsid w:val="00607E28"/>
    <w:rsid w:val="0061036A"/>
    <w:rsid w:val="0061039D"/>
    <w:rsid w:val="00610975"/>
    <w:rsid w:val="00611688"/>
    <w:rsid w:val="006117A3"/>
    <w:rsid w:val="006131AD"/>
    <w:rsid w:val="00613F1C"/>
    <w:rsid w:val="006142BA"/>
    <w:rsid w:val="00614BFD"/>
    <w:rsid w:val="0061544F"/>
    <w:rsid w:val="00615656"/>
    <w:rsid w:val="00615BFC"/>
    <w:rsid w:val="006160F0"/>
    <w:rsid w:val="0061614C"/>
    <w:rsid w:val="0061644F"/>
    <w:rsid w:val="00616B93"/>
    <w:rsid w:val="00616D8C"/>
    <w:rsid w:val="00617813"/>
    <w:rsid w:val="0062125E"/>
    <w:rsid w:val="00621583"/>
    <w:rsid w:val="0062166A"/>
    <w:rsid w:val="0062180C"/>
    <w:rsid w:val="00621ECD"/>
    <w:rsid w:val="0062212B"/>
    <w:rsid w:val="0062260D"/>
    <w:rsid w:val="00622A73"/>
    <w:rsid w:val="006232ED"/>
    <w:rsid w:val="00623369"/>
    <w:rsid w:val="006234E7"/>
    <w:rsid w:val="00623972"/>
    <w:rsid w:val="006251CE"/>
    <w:rsid w:val="00625247"/>
    <w:rsid w:val="00625FCE"/>
    <w:rsid w:val="0062646C"/>
    <w:rsid w:val="00626C16"/>
    <w:rsid w:val="00627177"/>
    <w:rsid w:val="00627C71"/>
    <w:rsid w:val="006301CB"/>
    <w:rsid w:val="0063161F"/>
    <w:rsid w:val="006319CC"/>
    <w:rsid w:val="0063219A"/>
    <w:rsid w:val="006329B1"/>
    <w:rsid w:val="00634178"/>
    <w:rsid w:val="0063447E"/>
    <w:rsid w:val="006345A9"/>
    <w:rsid w:val="00635660"/>
    <w:rsid w:val="006357E2"/>
    <w:rsid w:val="00635C84"/>
    <w:rsid w:val="006365A0"/>
    <w:rsid w:val="00637069"/>
    <w:rsid w:val="00640EDB"/>
    <w:rsid w:val="00640F6C"/>
    <w:rsid w:val="00641797"/>
    <w:rsid w:val="006421B9"/>
    <w:rsid w:val="00642358"/>
    <w:rsid w:val="006435B5"/>
    <w:rsid w:val="00644032"/>
    <w:rsid w:val="00644CA9"/>
    <w:rsid w:val="0064512A"/>
    <w:rsid w:val="0064514B"/>
    <w:rsid w:val="00645E37"/>
    <w:rsid w:val="006462DB"/>
    <w:rsid w:val="00646E03"/>
    <w:rsid w:val="00647D69"/>
    <w:rsid w:val="006506D0"/>
    <w:rsid w:val="00650779"/>
    <w:rsid w:val="006518DE"/>
    <w:rsid w:val="00654083"/>
    <w:rsid w:val="00654217"/>
    <w:rsid w:val="00655130"/>
    <w:rsid w:val="00655503"/>
    <w:rsid w:val="00655A34"/>
    <w:rsid w:val="00655F37"/>
    <w:rsid w:val="006565FC"/>
    <w:rsid w:val="00656666"/>
    <w:rsid w:val="006570B9"/>
    <w:rsid w:val="0065724E"/>
    <w:rsid w:val="00657B40"/>
    <w:rsid w:val="00660DAE"/>
    <w:rsid w:val="00661134"/>
    <w:rsid w:val="00661D81"/>
    <w:rsid w:val="006621E8"/>
    <w:rsid w:val="00662669"/>
    <w:rsid w:val="00662F14"/>
    <w:rsid w:val="006650C1"/>
    <w:rsid w:val="006663BA"/>
    <w:rsid w:val="00667569"/>
    <w:rsid w:val="00670083"/>
    <w:rsid w:val="006702B3"/>
    <w:rsid w:val="00671968"/>
    <w:rsid w:val="00672224"/>
    <w:rsid w:val="00672767"/>
    <w:rsid w:val="006727F3"/>
    <w:rsid w:val="00672D19"/>
    <w:rsid w:val="00672DE4"/>
    <w:rsid w:val="006733BA"/>
    <w:rsid w:val="00674492"/>
    <w:rsid w:val="00675A9C"/>
    <w:rsid w:val="00676A64"/>
    <w:rsid w:val="006777A1"/>
    <w:rsid w:val="00680312"/>
    <w:rsid w:val="006807E4"/>
    <w:rsid w:val="00681029"/>
    <w:rsid w:val="00681418"/>
    <w:rsid w:val="00681801"/>
    <w:rsid w:val="0068184C"/>
    <w:rsid w:val="00681DA4"/>
    <w:rsid w:val="00682AC9"/>
    <w:rsid w:val="006835FA"/>
    <w:rsid w:val="00683C00"/>
    <w:rsid w:val="00684039"/>
    <w:rsid w:val="00684178"/>
    <w:rsid w:val="00684324"/>
    <w:rsid w:val="006844D1"/>
    <w:rsid w:val="00686119"/>
    <w:rsid w:val="00686CE8"/>
    <w:rsid w:val="00686D2B"/>
    <w:rsid w:val="00690473"/>
    <w:rsid w:val="006904D9"/>
    <w:rsid w:val="00690885"/>
    <w:rsid w:val="00690C66"/>
    <w:rsid w:val="00690CDC"/>
    <w:rsid w:val="00691429"/>
    <w:rsid w:val="00691CF8"/>
    <w:rsid w:val="00692A58"/>
    <w:rsid w:val="00693DA2"/>
    <w:rsid w:val="006941A5"/>
    <w:rsid w:val="00694C3A"/>
    <w:rsid w:val="00695308"/>
    <w:rsid w:val="006964E2"/>
    <w:rsid w:val="006967FA"/>
    <w:rsid w:val="00697D12"/>
    <w:rsid w:val="00697E59"/>
    <w:rsid w:val="006A039D"/>
    <w:rsid w:val="006A0AE1"/>
    <w:rsid w:val="006A1CE7"/>
    <w:rsid w:val="006A1DFE"/>
    <w:rsid w:val="006A2EB4"/>
    <w:rsid w:val="006A3255"/>
    <w:rsid w:val="006A368A"/>
    <w:rsid w:val="006A3FE3"/>
    <w:rsid w:val="006A44C7"/>
    <w:rsid w:val="006A517B"/>
    <w:rsid w:val="006A53F3"/>
    <w:rsid w:val="006A5E12"/>
    <w:rsid w:val="006A6CA7"/>
    <w:rsid w:val="006B03AA"/>
    <w:rsid w:val="006B1BD1"/>
    <w:rsid w:val="006B1DD6"/>
    <w:rsid w:val="006B24E4"/>
    <w:rsid w:val="006B2677"/>
    <w:rsid w:val="006B2ABE"/>
    <w:rsid w:val="006B344A"/>
    <w:rsid w:val="006B41AE"/>
    <w:rsid w:val="006B431C"/>
    <w:rsid w:val="006B45C8"/>
    <w:rsid w:val="006B4C45"/>
    <w:rsid w:val="006B54E0"/>
    <w:rsid w:val="006B5C39"/>
    <w:rsid w:val="006B7EC4"/>
    <w:rsid w:val="006C00C6"/>
    <w:rsid w:val="006C06A9"/>
    <w:rsid w:val="006C1CD6"/>
    <w:rsid w:val="006C358F"/>
    <w:rsid w:val="006C3A36"/>
    <w:rsid w:val="006C45BC"/>
    <w:rsid w:val="006C45EA"/>
    <w:rsid w:val="006C4D57"/>
    <w:rsid w:val="006C5158"/>
    <w:rsid w:val="006C53D6"/>
    <w:rsid w:val="006C5E32"/>
    <w:rsid w:val="006C5EBC"/>
    <w:rsid w:val="006C72B4"/>
    <w:rsid w:val="006C7EE6"/>
    <w:rsid w:val="006D0394"/>
    <w:rsid w:val="006D1B17"/>
    <w:rsid w:val="006D24C9"/>
    <w:rsid w:val="006D255E"/>
    <w:rsid w:val="006D35A1"/>
    <w:rsid w:val="006D4038"/>
    <w:rsid w:val="006D4312"/>
    <w:rsid w:val="006D4E85"/>
    <w:rsid w:val="006D5D42"/>
    <w:rsid w:val="006E026D"/>
    <w:rsid w:val="006E034B"/>
    <w:rsid w:val="006E179B"/>
    <w:rsid w:val="006E23FA"/>
    <w:rsid w:val="006E256D"/>
    <w:rsid w:val="006E2A62"/>
    <w:rsid w:val="006E31B7"/>
    <w:rsid w:val="006E3D06"/>
    <w:rsid w:val="006E55B7"/>
    <w:rsid w:val="006E5768"/>
    <w:rsid w:val="006E5BEA"/>
    <w:rsid w:val="006E5EED"/>
    <w:rsid w:val="006E6160"/>
    <w:rsid w:val="006E63DF"/>
    <w:rsid w:val="006E710E"/>
    <w:rsid w:val="006F0218"/>
    <w:rsid w:val="006F1AC0"/>
    <w:rsid w:val="006F1F91"/>
    <w:rsid w:val="006F387C"/>
    <w:rsid w:val="006F428C"/>
    <w:rsid w:val="006F444A"/>
    <w:rsid w:val="006F4756"/>
    <w:rsid w:val="006F4A35"/>
    <w:rsid w:val="006F55C7"/>
    <w:rsid w:val="006F69AB"/>
    <w:rsid w:val="006F799A"/>
    <w:rsid w:val="006F7AAE"/>
    <w:rsid w:val="00700B30"/>
    <w:rsid w:val="007014BA"/>
    <w:rsid w:val="00701945"/>
    <w:rsid w:val="00702378"/>
    <w:rsid w:val="0070392D"/>
    <w:rsid w:val="00703EE9"/>
    <w:rsid w:val="00704AF9"/>
    <w:rsid w:val="007061B3"/>
    <w:rsid w:val="00706428"/>
    <w:rsid w:val="007117F6"/>
    <w:rsid w:val="00711B41"/>
    <w:rsid w:val="0071309B"/>
    <w:rsid w:val="00713A01"/>
    <w:rsid w:val="00715646"/>
    <w:rsid w:val="007162E1"/>
    <w:rsid w:val="007167E2"/>
    <w:rsid w:val="00716CD2"/>
    <w:rsid w:val="00716EAD"/>
    <w:rsid w:val="007170B2"/>
    <w:rsid w:val="007171B6"/>
    <w:rsid w:val="00717993"/>
    <w:rsid w:val="00720709"/>
    <w:rsid w:val="0072185F"/>
    <w:rsid w:val="00722013"/>
    <w:rsid w:val="00722E93"/>
    <w:rsid w:val="007250BD"/>
    <w:rsid w:val="007256B7"/>
    <w:rsid w:val="00725775"/>
    <w:rsid w:val="00726056"/>
    <w:rsid w:val="0072645D"/>
    <w:rsid w:val="00726BDB"/>
    <w:rsid w:val="007272A0"/>
    <w:rsid w:val="0072745A"/>
    <w:rsid w:val="007305BC"/>
    <w:rsid w:val="00730D79"/>
    <w:rsid w:val="00730FD6"/>
    <w:rsid w:val="0073176E"/>
    <w:rsid w:val="00731DD1"/>
    <w:rsid w:val="00732F5A"/>
    <w:rsid w:val="007341EF"/>
    <w:rsid w:val="00734ACE"/>
    <w:rsid w:val="00735D72"/>
    <w:rsid w:val="0073739F"/>
    <w:rsid w:val="00737931"/>
    <w:rsid w:val="00737D57"/>
    <w:rsid w:val="00737FC4"/>
    <w:rsid w:val="007405CC"/>
    <w:rsid w:val="00741FD2"/>
    <w:rsid w:val="007426B2"/>
    <w:rsid w:val="00742982"/>
    <w:rsid w:val="00743A6C"/>
    <w:rsid w:val="00744006"/>
    <w:rsid w:val="007442C4"/>
    <w:rsid w:val="007447EC"/>
    <w:rsid w:val="0074554E"/>
    <w:rsid w:val="00745A37"/>
    <w:rsid w:val="00745FF5"/>
    <w:rsid w:val="0074649C"/>
    <w:rsid w:val="00746CD2"/>
    <w:rsid w:val="00746E10"/>
    <w:rsid w:val="007473BE"/>
    <w:rsid w:val="007478D2"/>
    <w:rsid w:val="007478EA"/>
    <w:rsid w:val="00747EB3"/>
    <w:rsid w:val="00751A41"/>
    <w:rsid w:val="00751DD8"/>
    <w:rsid w:val="00752255"/>
    <w:rsid w:val="007525DC"/>
    <w:rsid w:val="007526F1"/>
    <w:rsid w:val="00752BE7"/>
    <w:rsid w:val="00752C8A"/>
    <w:rsid w:val="00752E2B"/>
    <w:rsid w:val="007530B1"/>
    <w:rsid w:val="00753B1D"/>
    <w:rsid w:val="0075422B"/>
    <w:rsid w:val="007555D9"/>
    <w:rsid w:val="00755D5F"/>
    <w:rsid w:val="00756214"/>
    <w:rsid w:val="00756C85"/>
    <w:rsid w:val="00757EED"/>
    <w:rsid w:val="00760BFA"/>
    <w:rsid w:val="00760C47"/>
    <w:rsid w:val="00760EF1"/>
    <w:rsid w:val="00761412"/>
    <w:rsid w:val="00761FC1"/>
    <w:rsid w:val="007628AE"/>
    <w:rsid w:val="007630EE"/>
    <w:rsid w:val="00763A86"/>
    <w:rsid w:val="00765DFB"/>
    <w:rsid w:val="00765F75"/>
    <w:rsid w:val="00766080"/>
    <w:rsid w:val="007662E8"/>
    <w:rsid w:val="00770288"/>
    <w:rsid w:val="00770D55"/>
    <w:rsid w:val="00771F76"/>
    <w:rsid w:val="0077324C"/>
    <w:rsid w:val="00773C81"/>
    <w:rsid w:val="00773EB9"/>
    <w:rsid w:val="00774808"/>
    <w:rsid w:val="0077519D"/>
    <w:rsid w:val="00775367"/>
    <w:rsid w:val="00775603"/>
    <w:rsid w:val="00776370"/>
    <w:rsid w:val="00777956"/>
    <w:rsid w:val="00780115"/>
    <w:rsid w:val="00780D6E"/>
    <w:rsid w:val="00781730"/>
    <w:rsid w:val="00781936"/>
    <w:rsid w:val="00781C87"/>
    <w:rsid w:val="00781CFB"/>
    <w:rsid w:val="00781FA1"/>
    <w:rsid w:val="00782CE1"/>
    <w:rsid w:val="00783E27"/>
    <w:rsid w:val="00784182"/>
    <w:rsid w:val="00784210"/>
    <w:rsid w:val="0078421C"/>
    <w:rsid w:val="0078497A"/>
    <w:rsid w:val="00785124"/>
    <w:rsid w:val="007856DC"/>
    <w:rsid w:val="00785957"/>
    <w:rsid w:val="0078698F"/>
    <w:rsid w:val="00786BA0"/>
    <w:rsid w:val="0078775B"/>
    <w:rsid w:val="007879FB"/>
    <w:rsid w:val="0079025A"/>
    <w:rsid w:val="007906A8"/>
    <w:rsid w:val="00790BFB"/>
    <w:rsid w:val="00790D91"/>
    <w:rsid w:val="00791A49"/>
    <w:rsid w:val="00791B01"/>
    <w:rsid w:val="00791C76"/>
    <w:rsid w:val="00793D27"/>
    <w:rsid w:val="00794072"/>
    <w:rsid w:val="00794171"/>
    <w:rsid w:val="00794263"/>
    <w:rsid w:val="00794A33"/>
    <w:rsid w:val="00794FA6"/>
    <w:rsid w:val="00795069"/>
    <w:rsid w:val="007956BB"/>
    <w:rsid w:val="00795C62"/>
    <w:rsid w:val="00796388"/>
    <w:rsid w:val="007971BC"/>
    <w:rsid w:val="007971FB"/>
    <w:rsid w:val="00797959"/>
    <w:rsid w:val="007A03E1"/>
    <w:rsid w:val="007A084F"/>
    <w:rsid w:val="007A0AFB"/>
    <w:rsid w:val="007A0CEE"/>
    <w:rsid w:val="007A0D89"/>
    <w:rsid w:val="007A1386"/>
    <w:rsid w:val="007A3CDC"/>
    <w:rsid w:val="007A4247"/>
    <w:rsid w:val="007A4EDB"/>
    <w:rsid w:val="007A4F47"/>
    <w:rsid w:val="007A5299"/>
    <w:rsid w:val="007A5A97"/>
    <w:rsid w:val="007A5AF5"/>
    <w:rsid w:val="007A61B8"/>
    <w:rsid w:val="007A6763"/>
    <w:rsid w:val="007A71C2"/>
    <w:rsid w:val="007A7268"/>
    <w:rsid w:val="007A7AA1"/>
    <w:rsid w:val="007B003F"/>
    <w:rsid w:val="007B02BA"/>
    <w:rsid w:val="007B0467"/>
    <w:rsid w:val="007B04BF"/>
    <w:rsid w:val="007B0787"/>
    <w:rsid w:val="007B0CAA"/>
    <w:rsid w:val="007B12B1"/>
    <w:rsid w:val="007B135D"/>
    <w:rsid w:val="007B24E5"/>
    <w:rsid w:val="007B26C7"/>
    <w:rsid w:val="007B2B61"/>
    <w:rsid w:val="007B3AD9"/>
    <w:rsid w:val="007B4E19"/>
    <w:rsid w:val="007B5358"/>
    <w:rsid w:val="007B57AB"/>
    <w:rsid w:val="007B5FE1"/>
    <w:rsid w:val="007B6676"/>
    <w:rsid w:val="007B6FC2"/>
    <w:rsid w:val="007B7022"/>
    <w:rsid w:val="007B7AF5"/>
    <w:rsid w:val="007B7FD1"/>
    <w:rsid w:val="007C0D11"/>
    <w:rsid w:val="007C0D69"/>
    <w:rsid w:val="007C0EAF"/>
    <w:rsid w:val="007C14E7"/>
    <w:rsid w:val="007C150C"/>
    <w:rsid w:val="007C257D"/>
    <w:rsid w:val="007C2638"/>
    <w:rsid w:val="007C27E1"/>
    <w:rsid w:val="007C3019"/>
    <w:rsid w:val="007C37CB"/>
    <w:rsid w:val="007C3ADE"/>
    <w:rsid w:val="007C4857"/>
    <w:rsid w:val="007C58D1"/>
    <w:rsid w:val="007C5EBB"/>
    <w:rsid w:val="007C679F"/>
    <w:rsid w:val="007D07F2"/>
    <w:rsid w:val="007D0F5E"/>
    <w:rsid w:val="007D2343"/>
    <w:rsid w:val="007D351D"/>
    <w:rsid w:val="007D5DA8"/>
    <w:rsid w:val="007D72BA"/>
    <w:rsid w:val="007D786E"/>
    <w:rsid w:val="007E02D8"/>
    <w:rsid w:val="007E11A7"/>
    <w:rsid w:val="007E315C"/>
    <w:rsid w:val="007E348D"/>
    <w:rsid w:val="007E359B"/>
    <w:rsid w:val="007E4321"/>
    <w:rsid w:val="007E4953"/>
    <w:rsid w:val="007E4E5C"/>
    <w:rsid w:val="007E5E5C"/>
    <w:rsid w:val="007E66CE"/>
    <w:rsid w:val="007E67CC"/>
    <w:rsid w:val="007E7630"/>
    <w:rsid w:val="007E76F6"/>
    <w:rsid w:val="007E7B53"/>
    <w:rsid w:val="007F06FC"/>
    <w:rsid w:val="007F0E5E"/>
    <w:rsid w:val="007F1014"/>
    <w:rsid w:val="007F14D4"/>
    <w:rsid w:val="007F165A"/>
    <w:rsid w:val="007F17BF"/>
    <w:rsid w:val="007F27D8"/>
    <w:rsid w:val="007F2BDA"/>
    <w:rsid w:val="007F2E5B"/>
    <w:rsid w:val="007F30C5"/>
    <w:rsid w:val="007F4723"/>
    <w:rsid w:val="007F6492"/>
    <w:rsid w:val="007F690C"/>
    <w:rsid w:val="007F698A"/>
    <w:rsid w:val="007F6F0B"/>
    <w:rsid w:val="007F77FA"/>
    <w:rsid w:val="0080043C"/>
    <w:rsid w:val="00800464"/>
    <w:rsid w:val="00800504"/>
    <w:rsid w:val="00802FE9"/>
    <w:rsid w:val="008030D9"/>
    <w:rsid w:val="008031E1"/>
    <w:rsid w:val="0080582E"/>
    <w:rsid w:val="00807330"/>
    <w:rsid w:val="00807584"/>
    <w:rsid w:val="00807B71"/>
    <w:rsid w:val="00810778"/>
    <w:rsid w:val="008107AF"/>
    <w:rsid w:val="0081157D"/>
    <w:rsid w:val="00811E21"/>
    <w:rsid w:val="00812129"/>
    <w:rsid w:val="008125C7"/>
    <w:rsid w:val="00812731"/>
    <w:rsid w:val="00812E1B"/>
    <w:rsid w:val="00813A8D"/>
    <w:rsid w:val="0081440F"/>
    <w:rsid w:val="00814708"/>
    <w:rsid w:val="00815180"/>
    <w:rsid w:val="00816157"/>
    <w:rsid w:val="00816E4B"/>
    <w:rsid w:val="00817E86"/>
    <w:rsid w:val="00820899"/>
    <w:rsid w:val="0082191E"/>
    <w:rsid w:val="00821EF7"/>
    <w:rsid w:val="0082260A"/>
    <w:rsid w:val="00823068"/>
    <w:rsid w:val="00823F3A"/>
    <w:rsid w:val="00824ED2"/>
    <w:rsid w:val="0082675F"/>
    <w:rsid w:val="00826999"/>
    <w:rsid w:val="00826A54"/>
    <w:rsid w:val="00826E83"/>
    <w:rsid w:val="00827512"/>
    <w:rsid w:val="008307F5"/>
    <w:rsid w:val="00830852"/>
    <w:rsid w:val="008323BF"/>
    <w:rsid w:val="00832835"/>
    <w:rsid w:val="00832C22"/>
    <w:rsid w:val="00832EC4"/>
    <w:rsid w:val="008358EE"/>
    <w:rsid w:val="00835E00"/>
    <w:rsid w:val="00835FA6"/>
    <w:rsid w:val="0083614F"/>
    <w:rsid w:val="0083630A"/>
    <w:rsid w:val="00837FCF"/>
    <w:rsid w:val="00840683"/>
    <w:rsid w:val="008406EE"/>
    <w:rsid w:val="00840865"/>
    <w:rsid w:val="00841344"/>
    <w:rsid w:val="008415AA"/>
    <w:rsid w:val="0084164E"/>
    <w:rsid w:val="0084167A"/>
    <w:rsid w:val="00841878"/>
    <w:rsid w:val="00841B30"/>
    <w:rsid w:val="0084392B"/>
    <w:rsid w:val="00843AB1"/>
    <w:rsid w:val="0084431C"/>
    <w:rsid w:val="008445D7"/>
    <w:rsid w:val="00844AF3"/>
    <w:rsid w:val="00845516"/>
    <w:rsid w:val="0084690F"/>
    <w:rsid w:val="00846CE8"/>
    <w:rsid w:val="00847334"/>
    <w:rsid w:val="00847B07"/>
    <w:rsid w:val="00850EBE"/>
    <w:rsid w:val="008510B0"/>
    <w:rsid w:val="00853725"/>
    <w:rsid w:val="0085527F"/>
    <w:rsid w:val="0085548C"/>
    <w:rsid w:val="0085553C"/>
    <w:rsid w:val="00855893"/>
    <w:rsid w:val="00855C6B"/>
    <w:rsid w:val="00855F99"/>
    <w:rsid w:val="00856F2A"/>
    <w:rsid w:val="00857D42"/>
    <w:rsid w:val="00857D92"/>
    <w:rsid w:val="00861A70"/>
    <w:rsid w:val="00862106"/>
    <w:rsid w:val="0086284B"/>
    <w:rsid w:val="00863CAD"/>
    <w:rsid w:val="008653ED"/>
    <w:rsid w:val="008673DB"/>
    <w:rsid w:val="0086746B"/>
    <w:rsid w:val="00867664"/>
    <w:rsid w:val="00867A02"/>
    <w:rsid w:val="00867BCE"/>
    <w:rsid w:val="008714F7"/>
    <w:rsid w:val="008722B7"/>
    <w:rsid w:val="0087485B"/>
    <w:rsid w:val="00875548"/>
    <w:rsid w:val="00880861"/>
    <w:rsid w:val="00880C67"/>
    <w:rsid w:val="0088159C"/>
    <w:rsid w:val="0088190F"/>
    <w:rsid w:val="00881E8A"/>
    <w:rsid w:val="0088232A"/>
    <w:rsid w:val="00882D06"/>
    <w:rsid w:val="00883163"/>
    <w:rsid w:val="008836AE"/>
    <w:rsid w:val="00883EC5"/>
    <w:rsid w:val="008848C2"/>
    <w:rsid w:val="00884E8A"/>
    <w:rsid w:val="00885E77"/>
    <w:rsid w:val="0088638A"/>
    <w:rsid w:val="0088661E"/>
    <w:rsid w:val="00886670"/>
    <w:rsid w:val="008876C2"/>
    <w:rsid w:val="00887E4C"/>
    <w:rsid w:val="00892484"/>
    <w:rsid w:val="0089290E"/>
    <w:rsid w:val="00893204"/>
    <w:rsid w:val="00894C0C"/>
    <w:rsid w:val="008958B7"/>
    <w:rsid w:val="008959D8"/>
    <w:rsid w:val="00895D61"/>
    <w:rsid w:val="008961DD"/>
    <w:rsid w:val="008962ED"/>
    <w:rsid w:val="00897B9F"/>
    <w:rsid w:val="008A051A"/>
    <w:rsid w:val="008A0AE8"/>
    <w:rsid w:val="008A1AF1"/>
    <w:rsid w:val="008A33E0"/>
    <w:rsid w:val="008A4379"/>
    <w:rsid w:val="008A46F4"/>
    <w:rsid w:val="008A52A3"/>
    <w:rsid w:val="008A54D1"/>
    <w:rsid w:val="008A570D"/>
    <w:rsid w:val="008A5AD7"/>
    <w:rsid w:val="008A646F"/>
    <w:rsid w:val="008A6890"/>
    <w:rsid w:val="008A7382"/>
    <w:rsid w:val="008B0EE7"/>
    <w:rsid w:val="008B1097"/>
    <w:rsid w:val="008B1A33"/>
    <w:rsid w:val="008B2806"/>
    <w:rsid w:val="008B2F8E"/>
    <w:rsid w:val="008B3A71"/>
    <w:rsid w:val="008B3C3D"/>
    <w:rsid w:val="008B4BA3"/>
    <w:rsid w:val="008B4DA0"/>
    <w:rsid w:val="008B5273"/>
    <w:rsid w:val="008B5430"/>
    <w:rsid w:val="008B5533"/>
    <w:rsid w:val="008B637F"/>
    <w:rsid w:val="008B7271"/>
    <w:rsid w:val="008C071C"/>
    <w:rsid w:val="008C0799"/>
    <w:rsid w:val="008C0A38"/>
    <w:rsid w:val="008C0C31"/>
    <w:rsid w:val="008C2590"/>
    <w:rsid w:val="008C2827"/>
    <w:rsid w:val="008C3BCA"/>
    <w:rsid w:val="008C3C0E"/>
    <w:rsid w:val="008C499E"/>
    <w:rsid w:val="008C49D3"/>
    <w:rsid w:val="008C4E9D"/>
    <w:rsid w:val="008C5021"/>
    <w:rsid w:val="008C5B36"/>
    <w:rsid w:val="008C6A90"/>
    <w:rsid w:val="008C6CFC"/>
    <w:rsid w:val="008C72A2"/>
    <w:rsid w:val="008C72B9"/>
    <w:rsid w:val="008D0551"/>
    <w:rsid w:val="008D0800"/>
    <w:rsid w:val="008D098D"/>
    <w:rsid w:val="008D0F72"/>
    <w:rsid w:val="008D2B26"/>
    <w:rsid w:val="008D2B3C"/>
    <w:rsid w:val="008D599A"/>
    <w:rsid w:val="008D64F8"/>
    <w:rsid w:val="008D6D25"/>
    <w:rsid w:val="008E1020"/>
    <w:rsid w:val="008E1189"/>
    <w:rsid w:val="008E178D"/>
    <w:rsid w:val="008E1E6C"/>
    <w:rsid w:val="008E2A8C"/>
    <w:rsid w:val="008E4571"/>
    <w:rsid w:val="008E4FB6"/>
    <w:rsid w:val="008E60B0"/>
    <w:rsid w:val="008E6AAB"/>
    <w:rsid w:val="008E7CA1"/>
    <w:rsid w:val="008E7E92"/>
    <w:rsid w:val="008E7F88"/>
    <w:rsid w:val="008F105C"/>
    <w:rsid w:val="008F1884"/>
    <w:rsid w:val="008F1E07"/>
    <w:rsid w:val="008F3669"/>
    <w:rsid w:val="008F38E5"/>
    <w:rsid w:val="008F3BA9"/>
    <w:rsid w:val="008F3D90"/>
    <w:rsid w:val="008F4B48"/>
    <w:rsid w:val="008F6723"/>
    <w:rsid w:val="008F6DF2"/>
    <w:rsid w:val="008F706B"/>
    <w:rsid w:val="008F737E"/>
    <w:rsid w:val="00901BA0"/>
    <w:rsid w:val="00901BFC"/>
    <w:rsid w:val="009027AF"/>
    <w:rsid w:val="009033FC"/>
    <w:rsid w:val="0090416B"/>
    <w:rsid w:val="00904673"/>
    <w:rsid w:val="009054FA"/>
    <w:rsid w:val="00905CB2"/>
    <w:rsid w:val="00907C5F"/>
    <w:rsid w:val="00911A08"/>
    <w:rsid w:val="00912959"/>
    <w:rsid w:val="00912CF1"/>
    <w:rsid w:val="00913AD5"/>
    <w:rsid w:val="0091455D"/>
    <w:rsid w:val="0091469C"/>
    <w:rsid w:val="00914903"/>
    <w:rsid w:val="00914B8B"/>
    <w:rsid w:val="0091601F"/>
    <w:rsid w:val="009169FA"/>
    <w:rsid w:val="00916A6A"/>
    <w:rsid w:val="00917609"/>
    <w:rsid w:val="00917E47"/>
    <w:rsid w:val="00920F79"/>
    <w:rsid w:val="00921F09"/>
    <w:rsid w:val="00922F42"/>
    <w:rsid w:val="00922FEC"/>
    <w:rsid w:val="0092501C"/>
    <w:rsid w:val="009253D6"/>
    <w:rsid w:val="00926F17"/>
    <w:rsid w:val="00926F67"/>
    <w:rsid w:val="0092710A"/>
    <w:rsid w:val="0092721E"/>
    <w:rsid w:val="00931A80"/>
    <w:rsid w:val="00932B30"/>
    <w:rsid w:val="00932F1F"/>
    <w:rsid w:val="00932F3D"/>
    <w:rsid w:val="00932FA2"/>
    <w:rsid w:val="009336C8"/>
    <w:rsid w:val="00933C43"/>
    <w:rsid w:val="00935908"/>
    <w:rsid w:val="009361EB"/>
    <w:rsid w:val="0093648C"/>
    <w:rsid w:val="0093763F"/>
    <w:rsid w:val="00937D5D"/>
    <w:rsid w:val="00940943"/>
    <w:rsid w:val="00940969"/>
    <w:rsid w:val="00940B51"/>
    <w:rsid w:val="0094111A"/>
    <w:rsid w:val="00941999"/>
    <w:rsid w:val="00942A5A"/>
    <w:rsid w:val="00942E89"/>
    <w:rsid w:val="0094309C"/>
    <w:rsid w:val="0094361E"/>
    <w:rsid w:val="00943D80"/>
    <w:rsid w:val="00943E97"/>
    <w:rsid w:val="00945824"/>
    <w:rsid w:val="00945B95"/>
    <w:rsid w:val="00945BC4"/>
    <w:rsid w:val="00945F83"/>
    <w:rsid w:val="00945F96"/>
    <w:rsid w:val="0094696D"/>
    <w:rsid w:val="00946BF2"/>
    <w:rsid w:val="00946C44"/>
    <w:rsid w:val="009507D4"/>
    <w:rsid w:val="00950FBB"/>
    <w:rsid w:val="0095155D"/>
    <w:rsid w:val="009515A8"/>
    <w:rsid w:val="00951EF6"/>
    <w:rsid w:val="00952CD7"/>
    <w:rsid w:val="00952F1B"/>
    <w:rsid w:val="0095383D"/>
    <w:rsid w:val="00953856"/>
    <w:rsid w:val="00954308"/>
    <w:rsid w:val="00954FEB"/>
    <w:rsid w:val="00956CF8"/>
    <w:rsid w:val="00956E40"/>
    <w:rsid w:val="0095700E"/>
    <w:rsid w:val="009578E1"/>
    <w:rsid w:val="00957D5C"/>
    <w:rsid w:val="00960247"/>
    <w:rsid w:val="00962D6E"/>
    <w:rsid w:val="0096329C"/>
    <w:rsid w:val="00963F01"/>
    <w:rsid w:val="0096498C"/>
    <w:rsid w:val="0096534D"/>
    <w:rsid w:val="0096543B"/>
    <w:rsid w:val="00965DAA"/>
    <w:rsid w:val="009660E0"/>
    <w:rsid w:val="00966A25"/>
    <w:rsid w:val="0096749B"/>
    <w:rsid w:val="00970010"/>
    <w:rsid w:val="0097031F"/>
    <w:rsid w:val="00970A9E"/>
    <w:rsid w:val="00971455"/>
    <w:rsid w:val="0097174A"/>
    <w:rsid w:val="00971BE1"/>
    <w:rsid w:val="00971D84"/>
    <w:rsid w:val="009737E4"/>
    <w:rsid w:val="009745B8"/>
    <w:rsid w:val="00975217"/>
    <w:rsid w:val="00975E55"/>
    <w:rsid w:val="0097609C"/>
    <w:rsid w:val="00976113"/>
    <w:rsid w:val="00976874"/>
    <w:rsid w:val="0097750C"/>
    <w:rsid w:val="00977BFA"/>
    <w:rsid w:val="00982129"/>
    <w:rsid w:val="0098352D"/>
    <w:rsid w:val="00983FED"/>
    <w:rsid w:val="0098423E"/>
    <w:rsid w:val="00986AEC"/>
    <w:rsid w:val="00986FD0"/>
    <w:rsid w:val="00987FEC"/>
    <w:rsid w:val="00990429"/>
    <w:rsid w:val="00990B82"/>
    <w:rsid w:val="00990B8F"/>
    <w:rsid w:val="00990C1C"/>
    <w:rsid w:val="0099171F"/>
    <w:rsid w:val="00991773"/>
    <w:rsid w:val="00991939"/>
    <w:rsid w:val="00991ACF"/>
    <w:rsid w:val="009927A3"/>
    <w:rsid w:val="0099287A"/>
    <w:rsid w:val="009933D9"/>
    <w:rsid w:val="00993579"/>
    <w:rsid w:val="00993A0F"/>
    <w:rsid w:val="00995EDC"/>
    <w:rsid w:val="00997BC4"/>
    <w:rsid w:val="009A08BB"/>
    <w:rsid w:val="009A3283"/>
    <w:rsid w:val="009A337D"/>
    <w:rsid w:val="009A415B"/>
    <w:rsid w:val="009A54A8"/>
    <w:rsid w:val="009A5606"/>
    <w:rsid w:val="009A5D20"/>
    <w:rsid w:val="009A62C6"/>
    <w:rsid w:val="009A630F"/>
    <w:rsid w:val="009A6502"/>
    <w:rsid w:val="009A65B1"/>
    <w:rsid w:val="009A6914"/>
    <w:rsid w:val="009A72C7"/>
    <w:rsid w:val="009A781C"/>
    <w:rsid w:val="009B0371"/>
    <w:rsid w:val="009B0FBB"/>
    <w:rsid w:val="009B1647"/>
    <w:rsid w:val="009B166F"/>
    <w:rsid w:val="009B27D3"/>
    <w:rsid w:val="009B2EC5"/>
    <w:rsid w:val="009B3293"/>
    <w:rsid w:val="009B3841"/>
    <w:rsid w:val="009B3DEE"/>
    <w:rsid w:val="009B5318"/>
    <w:rsid w:val="009B5DD1"/>
    <w:rsid w:val="009B6720"/>
    <w:rsid w:val="009B6985"/>
    <w:rsid w:val="009B6A9E"/>
    <w:rsid w:val="009B79AC"/>
    <w:rsid w:val="009B7F45"/>
    <w:rsid w:val="009C0890"/>
    <w:rsid w:val="009C0DCF"/>
    <w:rsid w:val="009C15F6"/>
    <w:rsid w:val="009C19ED"/>
    <w:rsid w:val="009C35D9"/>
    <w:rsid w:val="009C3CFE"/>
    <w:rsid w:val="009C3ED2"/>
    <w:rsid w:val="009C45A9"/>
    <w:rsid w:val="009C48E2"/>
    <w:rsid w:val="009C5636"/>
    <w:rsid w:val="009C5989"/>
    <w:rsid w:val="009C69B9"/>
    <w:rsid w:val="009C6AB2"/>
    <w:rsid w:val="009C7A54"/>
    <w:rsid w:val="009D0410"/>
    <w:rsid w:val="009D1B3D"/>
    <w:rsid w:val="009D1F2F"/>
    <w:rsid w:val="009D2CFF"/>
    <w:rsid w:val="009D34BA"/>
    <w:rsid w:val="009D3B80"/>
    <w:rsid w:val="009D4A82"/>
    <w:rsid w:val="009D4B28"/>
    <w:rsid w:val="009D571B"/>
    <w:rsid w:val="009D590B"/>
    <w:rsid w:val="009D67A4"/>
    <w:rsid w:val="009D6A41"/>
    <w:rsid w:val="009D7515"/>
    <w:rsid w:val="009E1F41"/>
    <w:rsid w:val="009E2432"/>
    <w:rsid w:val="009E28B5"/>
    <w:rsid w:val="009E34B3"/>
    <w:rsid w:val="009E3FFF"/>
    <w:rsid w:val="009E46B5"/>
    <w:rsid w:val="009E5524"/>
    <w:rsid w:val="009E55F7"/>
    <w:rsid w:val="009E5FA8"/>
    <w:rsid w:val="009E62B5"/>
    <w:rsid w:val="009E6A6A"/>
    <w:rsid w:val="009E78D5"/>
    <w:rsid w:val="009E78FB"/>
    <w:rsid w:val="009E7C3C"/>
    <w:rsid w:val="009E7EFF"/>
    <w:rsid w:val="009F0EC6"/>
    <w:rsid w:val="009F1167"/>
    <w:rsid w:val="009F11A5"/>
    <w:rsid w:val="009F14CE"/>
    <w:rsid w:val="009F156D"/>
    <w:rsid w:val="009F185D"/>
    <w:rsid w:val="009F18C5"/>
    <w:rsid w:val="009F1C68"/>
    <w:rsid w:val="009F2391"/>
    <w:rsid w:val="009F3518"/>
    <w:rsid w:val="009F3FD0"/>
    <w:rsid w:val="009F53D8"/>
    <w:rsid w:val="009F5D0F"/>
    <w:rsid w:val="009F5E00"/>
    <w:rsid w:val="009F6069"/>
    <w:rsid w:val="009F60B2"/>
    <w:rsid w:val="009F6A19"/>
    <w:rsid w:val="009F6FE2"/>
    <w:rsid w:val="009F7051"/>
    <w:rsid w:val="00A00158"/>
    <w:rsid w:val="00A011CD"/>
    <w:rsid w:val="00A012C6"/>
    <w:rsid w:val="00A01774"/>
    <w:rsid w:val="00A01CBA"/>
    <w:rsid w:val="00A0213A"/>
    <w:rsid w:val="00A0302B"/>
    <w:rsid w:val="00A03275"/>
    <w:rsid w:val="00A0410C"/>
    <w:rsid w:val="00A044C9"/>
    <w:rsid w:val="00A046E6"/>
    <w:rsid w:val="00A0478D"/>
    <w:rsid w:val="00A0565B"/>
    <w:rsid w:val="00A05EFF"/>
    <w:rsid w:val="00A0621D"/>
    <w:rsid w:val="00A07BFD"/>
    <w:rsid w:val="00A102AD"/>
    <w:rsid w:val="00A11B64"/>
    <w:rsid w:val="00A11C38"/>
    <w:rsid w:val="00A12941"/>
    <w:rsid w:val="00A12DE6"/>
    <w:rsid w:val="00A138C0"/>
    <w:rsid w:val="00A13C3D"/>
    <w:rsid w:val="00A1455D"/>
    <w:rsid w:val="00A14AF8"/>
    <w:rsid w:val="00A14B7F"/>
    <w:rsid w:val="00A15CAC"/>
    <w:rsid w:val="00A15D08"/>
    <w:rsid w:val="00A16D33"/>
    <w:rsid w:val="00A171FB"/>
    <w:rsid w:val="00A17681"/>
    <w:rsid w:val="00A17BB8"/>
    <w:rsid w:val="00A20CA9"/>
    <w:rsid w:val="00A20E84"/>
    <w:rsid w:val="00A21DC1"/>
    <w:rsid w:val="00A220FA"/>
    <w:rsid w:val="00A23CED"/>
    <w:rsid w:val="00A24163"/>
    <w:rsid w:val="00A24E3E"/>
    <w:rsid w:val="00A2528C"/>
    <w:rsid w:val="00A25878"/>
    <w:rsid w:val="00A25D28"/>
    <w:rsid w:val="00A267BE"/>
    <w:rsid w:val="00A26810"/>
    <w:rsid w:val="00A26A05"/>
    <w:rsid w:val="00A26ED7"/>
    <w:rsid w:val="00A2721E"/>
    <w:rsid w:val="00A274B6"/>
    <w:rsid w:val="00A276AE"/>
    <w:rsid w:val="00A278DE"/>
    <w:rsid w:val="00A30A95"/>
    <w:rsid w:val="00A31DC0"/>
    <w:rsid w:val="00A325CE"/>
    <w:rsid w:val="00A32BC0"/>
    <w:rsid w:val="00A32F90"/>
    <w:rsid w:val="00A336E0"/>
    <w:rsid w:val="00A354A5"/>
    <w:rsid w:val="00A356AA"/>
    <w:rsid w:val="00A36183"/>
    <w:rsid w:val="00A379E7"/>
    <w:rsid w:val="00A41947"/>
    <w:rsid w:val="00A41E2B"/>
    <w:rsid w:val="00A42F52"/>
    <w:rsid w:val="00A42F68"/>
    <w:rsid w:val="00A430A3"/>
    <w:rsid w:val="00A43938"/>
    <w:rsid w:val="00A44AD4"/>
    <w:rsid w:val="00A45A5E"/>
    <w:rsid w:val="00A45A71"/>
    <w:rsid w:val="00A469C7"/>
    <w:rsid w:val="00A474FD"/>
    <w:rsid w:val="00A47F53"/>
    <w:rsid w:val="00A5002F"/>
    <w:rsid w:val="00A509F1"/>
    <w:rsid w:val="00A511BD"/>
    <w:rsid w:val="00A51646"/>
    <w:rsid w:val="00A519DF"/>
    <w:rsid w:val="00A5261B"/>
    <w:rsid w:val="00A52C65"/>
    <w:rsid w:val="00A52E52"/>
    <w:rsid w:val="00A5331C"/>
    <w:rsid w:val="00A53ACB"/>
    <w:rsid w:val="00A53F57"/>
    <w:rsid w:val="00A54045"/>
    <w:rsid w:val="00A543B5"/>
    <w:rsid w:val="00A5471A"/>
    <w:rsid w:val="00A5637D"/>
    <w:rsid w:val="00A5648C"/>
    <w:rsid w:val="00A6037E"/>
    <w:rsid w:val="00A6330F"/>
    <w:rsid w:val="00A63741"/>
    <w:rsid w:val="00A63BAB"/>
    <w:rsid w:val="00A64F97"/>
    <w:rsid w:val="00A6524E"/>
    <w:rsid w:val="00A65723"/>
    <w:rsid w:val="00A65EEE"/>
    <w:rsid w:val="00A66587"/>
    <w:rsid w:val="00A6660D"/>
    <w:rsid w:val="00A70495"/>
    <w:rsid w:val="00A70508"/>
    <w:rsid w:val="00A7103B"/>
    <w:rsid w:val="00A7182E"/>
    <w:rsid w:val="00A71966"/>
    <w:rsid w:val="00A71A62"/>
    <w:rsid w:val="00A72630"/>
    <w:rsid w:val="00A7363C"/>
    <w:rsid w:val="00A73A9B"/>
    <w:rsid w:val="00A73BED"/>
    <w:rsid w:val="00A743F1"/>
    <w:rsid w:val="00A74F80"/>
    <w:rsid w:val="00A757C9"/>
    <w:rsid w:val="00A75ABD"/>
    <w:rsid w:val="00A75CF3"/>
    <w:rsid w:val="00A7640E"/>
    <w:rsid w:val="00A777C7"/>
    <w:rsid w:val="00A77AF6"/>
    <w:rsid w:val="00A77F61"/>
    <w:rsid w:val="00A8098C"/>
    <w:rsid w:val="00A813B2"/>
    <w:rsid w:val="00A83585"/>
    <w:rsid w:val="00A83FD6"/>
    <w:rsid w:val="00A84831"/>
    <w:rsid w:val="00A84884"/>
    <w:rsid w:val="00A84E11"/>
    <w:rsid w:val="00A86554"/>
    <w:rsid w:val="00A8691B"/>
    <w:rsid w:val="00A87E0A"/>
    <w:rsid w:val="00A90466"/>
    <w:rsid w:val="00A90A57"/>
    <w:rsid w:val="00A91724"/>
    <w:rsid w:val="00A91FC7"/>
    <w:rsid w:val="00A92976"/>
    <w:rsid w:val="00A93464"/>
    <w:rsid w:val="00A93643"/>
    <w:rsid w:val="00A94347"/>
    <w:rsid w:val="00A944EB"/>
    <w:rsid w:val="00A94A64"/>
    <w:rsid w:val="00A95530"/>
    <w:rsid w:val="00A965E9"/>
    <w:rsid w:val="00A9747B"/>
    <w:rsid w:val="00A9786B"/>
    <w:rsid w:val="00AA0039"/>
    <w:rsid w:val="00AA0587"/>
    <w:rsid w:val="00AA1B1C"/>
    <w:rsid w:val="00AA1E92"/>
    <w:rsid w:val="00AA20CF"/>
    <w:rsid w:val="00AA23D5"/>
    <w:rsid w:val="00AA2949"/>
    <w:rsid w:val="00AA2B72"/>
    <w:rsid w:val="00AA2C17"/>
    <w:rsid w:val="00AA44A9"/>
    <w:rsid w:val="00AA5CD1"/>
    <w:rsid w:val="00AA5E34"/>
    <w:rsid w:val="00AA62EF"/>
    <w:rsid w:val="00AA761E"/>
    <w:rsid w:val="00AA76F3"/>
    <w:rsid w:val="00AB0024"/>
    <w:rsid w:val="00AB0E7F"/>
    <w:rsid w:val="00AB0F6A"/>
    <w:rsid w:val="00AB1142"/>
    <w:rsid w:val="00AB1284"/>
    <w:rsid w:val="00AB14F4"/>
    <w:rsid w:val="00AB241B"/>
    <w:rsid w:val="00AB3BD9"/>
    <w:rsid w:val="00AB3EA6"/>
    <w:rsid w:val="00AB50CF"/>
    <w:rsid w:val="00AB5869"/>
    <w:rsid w:val="00AB6BB4"/>
    <w:rsid w:val="00AB73A7"/>
    <w:rsid w:val="00AB7C9D"/>
    <w:rsid w:val="00AC0692"/>
    <w:rsid w:val="00AC093D"/>
    <w:rsid w:val="00AC0D3B"/>
    <w:rsid w:val="00AC11D1"/>
    <w:rsid w:val="00AC11DB"/>
    <w:rsid w:val="00AC139C"/>
    <w:rsid w:val="00AC23EB"/>
    <w:rsid w:val="00AC403F"/>
    <w:rsid w:val="00AC4D90"/>
    <w:rsid w:val="00AC4E83"/>
    <w:rsid w:val="00AC5C09"/>
    <w:rsid w:val="00AC60AF"/>
    <w:rsid w:val="00AC640A"/>
    <w:rsid w:val="00AC68C7"/>
    <w:rsid w:val="00AC6B5B"/>
    <w:rsid w:val="00AC6C24"/>
    <w:rsid w:val="00AC7362"/>
    <w:rsid w:val="00AC75CD"/>
    <w:rsid w:val="00AC7B8F"/>
    <w:rsid w:val="00AC7E29"/>
    <w:rsid w:val="00AD0106"/>
    <w:rsid w:val="00AD0A3A"/>
    <w:rsid w:val="00AD1790"/>
    <w:rsid w:val="00AD19A1"/>
    <w:rsid w:val="00AD1D64"/>
    <w:rsid w:val="00AD2418"/>
    <w:rsid w:val="00AD3444"/>
    <w:rsid w:val="00AD45EF"/>
    <w:rsid w:val="00AD4CC8"/>
    <w:rsid w:val="00AD4FB6"/>
    <w:rsid w:val="00AD5047"/>
    <w:rsid w:val="00AD54B6"/>
    <w:rsid w:val="00AD586C"/>
    <w:rsid w:val="00AD59D4"/>
    <w:rsid w:val="00AD5E45"/>
    <w:rsid w:val="00AD62AC"/>
    <w:rsid w:val="00AD6B3D"/>
    <w:rsid w:val="00AD732A"/>
    <w:rsid w:val="00AD7A21"/>
    <w:rsid w:val="00AE0E97"/>
    <w:rsid w:val="00AE1253"/>
    <w:rsid w:val="00AE2211"/>
    <w:rsid w:val="00AE286F"/>
    <w:rsid w:val="00AE2DE4"/>
    <w:rsid w:val="00AE3D2F"/>
    <w:rsid w:val="00AE4B53"/>
    <w:rsid w:val="00AE5246"/>
    <w:rsid w:val="00AE5977"/>
    <w:rsid w:val="00AE6DB7"/>
    <w:rsid w:val="00AE7FA3"/>
    <w:rsid w:val="00AF06AD"/>
    <w:rsid w:val="00AF07EC"/>
    <w:rsid w:val="00AF0F28"/>
    <w:rsid w:val="00AF100B"/>
    <w:rsid w:val="00AF11B0"/>
    <w:rsid w:val="00AF2B18"/>
    <w:rsid w:val="00AF2B99"/>
    <w:rsid w:val="00AF2D33"/>
    <w:rsid w:val="00AF395F"/>
    <w:rsid w:val="00AF45C0"/>
    <w:rsid w:val="00AF4A9F"/>
    <w:rsid w:val="00AF4F05"/>
    <w:rsid w:val="00AF56F3"/>
    <w:rsid w:val="00AF617C"/>
    <w:rsid w:val="00B000EB"/>
    <w:rsid w:val="00B00181"/>
    <w:rsid w:val="00B004A7"/>
    <w:rsid w:val="00B0065E"/>
    <w:rsid w:val="00B00F4B"/>
    <w:rsid w:val="00B010DA"/>
    <w:rsid w:val="00B01424"/>
    <w:rsid w:val="00B01AA9"/>
    <w:rsid w:val="00B01B10"/>
    <w:rsid w:val="00B024C1"/>
    <w:rsid w:val="00B02A32"/>
    <w:rsid w:val="00B030CC"/>
    <w:rsid w:val="00B03352"/>
    <w:rsid w:val="00B0395D"/>
    <w:rsid w:val="00B03D31"/>
    <w:rsid w:val="00B04299"/>
    <w:rsid w:val="00B0623E"/>
    <w:rsid w:val="00B06394"/>
    <w:rsid w:val="00B066CD"/>
    <w:rsid w:val="00B07715"/>
    <w:rsid w:val="00B1057E"/>
    <w:rsid w:val="00B11117"/>
    <w:rsid w:val="00B1116F"/>
    <w:rsid w:val="00B12D96"/>
    <w:rsid w:val="00B12FDE"/>
    <w:rsid w:val="00B1334C"/>
    <w:rsid w:val="00B1385E"/>
    <w:rsid w:val="00B14D11"/>
    <w:rsid w:val="00B16118"/>
    <w:rsid w:val="00B17A59"/>
    <w:rsid w:val="00B20BF2"/>
    <w:rsid w:val="00B220AC"/>
    <w:rsid w:val="00B2249C"/>
    <w:rsid w:val="00B22B9E"/>
    <w:rsid w:val="00B233CA"/>
    <w:rsid w:val="00B236A6"/>
    <w:rsid w:val="00B23837"/>
    <w:rsid w:val="00B24091"/>
    <w:rsid w:val="00B2473A"/>
    <w:rsid w:val="00B24CDD"/>
    <w:rsid w:val="00B25F83"/>
    <w:rsid w:val="00B26411"/>
    <w:rsid w:val="00B2686C"/>
    <w:rsid w:val="00B3066A"/>
    <w:rsid w:val="00B307CA"/>
    <w:rsid w:val="00B309CF"/>
    <w:rsid w:val="00B31D23"/>
    <w:rsid w:val="00B327CC"/>
    <w:rsid w:val="00B334D9"/>
    <w:rsid w:val="00B35B8E"/>
    <w:rsid w:val="00B36080"/>
    <w:rsid w:val="00B37C85"/>
    <w:rsid w:val="00B4038B"/>
    <w:rsid w:val="00B40D33"/>
    <w:rsid w:val="00B40D8B"/>
    <w:rsid w:val="00B41D45"/>
    <w:rsid w:val="00B421A6"/>
    <w:rsid w:val="00B42917"/>
    <w:rsid w:val="00B42942"/>
    <w:rsid w:val="00B4386B"/>
    <w:rsid w:val="00B44ABF"/>
    <w:rsid w:val="00B47675"/>
    <w:rsid w:val="00B47897"/>
    <w:rsid w:val="00B47B44"/>
    <w:rsid w:val="00B47DEC"/>
    <w:rsid w:val="00B50155"/>
    <w:rsid w:val="00B502CC"/>
    <w:rsid w:val="00B50445"/>
    <w:rsid w:val="00B508CE"/>
    <w:rsid w:val="00B5096A"/>
    <w:rsid w:val="00B50C0A"/>
    <w:rsid w:val="00B50DE2"/>
    <w:rsid w:val="00B51418"/>
    <w:rsid w:val="00B51E95"/>
    <w:rsid w:val="00B52266"/>
    <w:rsid w:val="00B52399"/>
    <w:rsid w:val="00B52A0A"/>
    <w:rsid w:val="00B531F3"/>
    <w:rsid w:val="00B53351"/>
    <w:rsid w:val="00B53AB7"/>
    <w:rsid w:val="00B53B2B"/>
    <w:rsid w:val="00B54330"/>
    <w:rsid w:val="00B54389"/>
    <w:rsid w:val="00B55683"/>
    <w:rsid w:val="00B5646B"/>
    <w:rsid w:val="00B5697D"/>
    <w:rsid w:val="00B56AC8"/>
    <w:rsid w:val="00B572DA"/>
    <w:rsid w:val="00B57B44"/>
    <w:rsid w:val="00B57D27"/>
    <w:rsid w:val="00B60E64"/>
    <w:rsid w:val="00B61612"/>
    <w:rsid w:val="00B623C0"/>
    <w:rsid w:val="00B62894"/>
    <w:rsid w:val="00B62D9F"/>
    <w:rsid w:val="00B63AED"/>
    <w:rsid w:val="00B654D7"/>
    <w:rsid w:val="00B657EF"/>
    <w:rsid w:val="00B65ACC"/>
    <w:rsid w:val="00B6615A"/>
    <w:rsid w:val="00B664D3"/>
    <w:rsid w:val="00B67D39"/>
    <w:rsid w:val="00B707B7"/>
    <w:rsid w:val="00B70ACD"/>
    <w:rsid w:val="00B70B04"/>
    <w:rsid w:val="00B70BD3"/>
    <w:rsid w:val="00B721B8"/>
    <w:rsid w:val="00B73941"/>
    <w:rsid w:val="00B74143"/>
    <w:rsid w:val="00B74513"/>
    <w:rsid w:val="00B74637"/>
    <w:rsid w:val="00B746BA"/>
    <w:rsid w:val="00B75C7C"/>
    <w:rsid w:val="00B76172"/>
    <w:rsid w:val="00B7656E"/>
    <w:rsid w:val="00B76F41"/>
    <w:rsid w:val="00B80F06"/>
    <w:rsid w:val="00B81238"/>
    <w:rsid w:val="00B8227B"/>
    <w:rsid w:val="00B830C6"/>
    <w:rsid w:val="00B83788"/>
    <w:rsid w:val="00B84B3E"/>
    <w:rsid w:val="00B85ABB"/>
    <w:rsid w:val="00B862E4"/>
    <w:rsid w:val="00B901BB"/>
    <w:rsid w:val="00B90AFC"/>
    <w:rsid w:val="00B91082"/>
    <w:rsid w:val="00B921E6"/>
    <w:rsid w:val="00B927BD"/>
    <w:rsid w:val="00B92881"/>
    <w:rsid w:val="00B92CA9"/>
    <w:rsid w:val="00B92FE1"/>
    <w:rsid w:val="00B93ADB"/>
    <w:rsid w:val="00B944CC"/>
    <w:rsid w:val="00B94780"/>
    <w:rsid w:val="00B94970"/>
    <w:rsid w:val="00B94DAF"/>
    <w:rsid w:val="00B94E81"/>
    <w:rsid w:val="00B96274"/>
    <w:rsid w:val="00B96559"/>
    <w:rsid w:val="00B977AE"/>
    <w:rsid w:val="00B97BEF"/>
    <w:rsid w:val="00BA0BF0"/>
    <w:rsid w:val="00BA0FA4"/>
    <w:rsid w:val="00BA27BC"/>
    <w:rsid w:val="00BA3BF6"/>
    <w:rsid w:val="00BA4160"/>
    <w:rsid w:val="00BA450E"/>
    <w:rsid w:val="00BA4DB4"/>
    <w:rsid w:val="00BA58E7"/>
    <w:rsid w:val="00BA5922"/>
    <w:rsid w:val="00BA65AF"/>
    <w:rsid w:val="00BA6798"/>
    <w:rsid w:val="00BA71C8"/>
    <w:rsid w:val="00BA764E"/>
    <w:rsid w:val="00BB059B"/>
    <w:rsid w:val="00BB0734"/>
    <w:rsid w:val="00BB0846"/>
    <w:rsid w:val="00BB091C"/>
    <w:rsid w:val="00BB2F44"/>
    <w:rsid w:val="00BB3D95"/>
    <w:rsid w:val="00BB66AB"/>
    <w:rsid w:val="00BB78C0"/>
    <w:rsid w:val="00BC15F7"/>
    <w:rsid w:val="00BC1E83"/>
    <w:rsid w:val="00BC1EAB"/>
    <w:rsid w:val="00BC220D"/>
    <w:rsid w:val="00BC26B3"/>
    <w:rsid w:val="00BC2A55"/>
    <w:rsid w:val="00BC372C"/>
    <w:rsid w:val="00BC3F36"/>
    <w:rsid w:val="00BC3F4B"/>
    <w:rsid w:val="00BC41EA"/>
    <w:rsid w:val="00BC420C"/>
    <w:rsid w:val="00BC4437"/>
    <w:rsid w:val="00BC58C0"/>
    <w:rsid w:val="00BC5B83"/>
    <w:rsid w:val="00BC7512"/>
    <w:rsid w:val="00BD026A"/>
    <w:rsid w:val="00BD0CD6"/>
    <w:rsid w:val="00BD0FB6"/>
    <w:rsid w:val="00BD105D"/>
    <w:rsid w:val="00BD1D4D"/>
    <w:rsid w:val="00BD25EB"/>
    <w:rsid w:val="00BD3FDD"/>
    <w:rsid w:val="00BD429C"/>
    <w:rsid w:val="00BD5EF6"/>
    <w:rsid w:val="00BD60E7"/>
    <w:rsid w:val="00BD79EE"/>
    <w:rsid w:val="00BE0158"/>
    <w:rsid w:val="00BE0295"/>
    <w:rsid w:val="00BE106C"/>
    <w:rsid w:val="00BE182E"/>
    <w:rsid w:val="00BE2752"/>
    <w:rsid w:val="00BE2874"/>
    <w:rsid w:val="00BE2D35"/>
    <w:rsid w:val="00BE3A36"/>
    <w:rsid w:val="00BE3FDA"/>
    <w:rsid w:val="00BE4898"/>
    <w:rsid w:val="00BE5B15"/>
    <w:rsid w:val="00BE5DF7"/>
    <w:rsid w:val="00BE633B"/>
    <w:rsid w:val="00BE6513"/>
    <w:rsid w:val="00BE69CF"/>
    <w:rsid w:val="00BE6BEF"/>
    <w:rsid w:val="00BE7E35"/>
    <w:rsid w:val="00BF0E06"/>
    <w:rsid w:val="00BF1D42"/>
    <w:rsid w:val="00BF2057"/>
    <w:rsid w:val="00BF2C43"/>
    <w:rsid w:val="00BF3174"/>
    <w:rsid w:val="00BF3A0D"/>
    <w:rsid w:val="00BF3B51"/>
    <w:rsid w:val="00BF3E71"/>
    <w:rsid w:val="00BF43AD"/>
    <w:rsid w:val="00BF441D"/>
    <w:rsid w:val="00BF4662"/>
    <w:rsid w:val="00BF4713"/>
    <w:rsid w:val="00BF4FA3"/>
    <w:rsid w:val="00BF5A64"/>
    <w:rsid w:val="00BF66AD"/>
    <w:rsid w:val="00BF7841"/>
    <w:rsid w:val="00BF7C6E"/>
    <w:rsid w:val="00BF7D4C"/>
    <w:rsid w:val="00C004B6"/>
    <w:rsid w:val="00C00818"/>
    <w:rsid w:val="00C0240D"/>
    <w:rsid w:val="00C02909"/>
    <w:rsid w:val="00C03304"/>
    <w:rsid w:val="00C03632"/>
    <w:rsid w:val="00C03C34"/>
    <w:rsid w:val="00C05358"/>
    <w:rsid w:val="00C053D5"/>
    <w:rsid w:val="00C054E3"/>
    <w:rsid w:val="00C069AC"/>
    <w:rsid w:val="00C07F2C"/>
    <w:rsid w:val="00C10BC3"/>
    <w:rsid w:val="00C114B4"/>
    <w:rsid w:val="00C11584"/>
    <w:rsid w:val="00C11A7C"/>
    <w:rsid w:val="00C123A2"/>
    <w:rsid w:val="00C1260B"/>
    <w:rsid w:val="00C129EB"/>
    <w:rsid w:val="00C12EA0"/>
    <w:rsid w:val="00C12F79"/>
    <w:rsid w:val="00C13212"/>
    <w:rsid w:val="00C141B9"/>
    <w:rsid w:val="00C14319"/>
    <w:rsid w:val="00C14D2F"/>
    <w:rsid w:val="00C14F0D"/>
    <w:rsid w:val="00C15CA9"/>
    <w:rsid w:val="00C16B32"/>
    <w:rsid w:val="00C16D26"/>
    <w:rsid w:val="00C16FA5"/>
    <w:rsid w:val="00C17102"/>
    <w:rsid w:val="00C17119"/>
    <w:rsid w:val="00C20FEC"/>
    <w:rsid w:val="00C22677"/>
    <w:rsid w:val="00C235CD"/>
    <w:rsid w:val="00C2403B"/>
    <w:rsid w:val="00C306B1"/>
    <w:rsid w:val="00C3072C"/>
    <w:rsid w:val="00C309A7"/>
    <w:rsid w:val="00C30E01"/>
    <w:rsid w:val="00C311C4"/>
    <w:rsid w:val="00C31935"/>
    <w:rsid w:val="00C32892"/>
    <w:rsid w:val="00C32BCF"/>
    <w:rsid w:val="00C32C23"/>
    <w:rsid w:val="00C3347B"/>
    <w:rsid w:val="00C33865"/>
    <w:rsid w:val="00C33870"/>
    <w:rsid w:val="00C33D67"/>
    <w:rsid w:val="00C3492F"/>
    <w:rsid w:val="00C34F47"/>
    <w:rsid w:val="00C363BE"/>
    <w:rsid w:val="00C409E3"/>
    <w:rsid w:val="00C40C2B"/>
    <w:rsid w:val="00C40D78"/>
    <w:rsid w:val="00C4161A"/>
    <w:rsid w:val="00C4228D"/>
    <w:rsid w:val="00C42768"/>
    <w:rsid w:val="00C4288C"/>
    <w:rsid w:val="00C428F1"/>
    <w:rsid w:val="00C43618"/>
    <w:rsid w:val="00C44E4B"/>
    <w:rsid w:val="00C451ED"/>
    <w:rsid w:val="00C4566C"/>
    <w:rsid w:val="00C47509"/>
    <w:rsid w:val="00C47A95"/>
    <w:rsid w:val="00C50D9C"/>
    <w:rsid w:val="00C51D94"/>
    <w:rsid w:val="00C53318"/>
    <w:rsid w:val="00C533C0"/>
    <w:rsid w:val="00C5352B"/>
    <w:rsid w:val="00C54B0E"/>
    <w:rsid w:val="00C55DCD"/>
    <w:rsid w:val="00C560F4"/>
    <w:rsid w:val="00C56B00"/>
    <w:rsid w:val="00C56DBA"/>
    <w:rsid w:val="00C60660"/>
    <w:rsid w:val="00C61111"/>
    <w:rsid w:val="00C62012"/>
    <w:rsid w:val="00C62336"/>
    <w:rsid w:val="00C631DE"/>
    <w:rsid w:val="00C63914"/>
    <w:rsid w:val="00C63F50"/>
    <w:rsid w:val="00C64A41"/>
    <w:rsid w:val="00C65610"/>
    <w:rsid w:val="00C66315"/>
    <w:rsid w:val="00C67202"/>
    <w:rsid w:val="00C70B10"/>
    <w:rsid w:val="00C71398"/>
    <w:rsid w:val="00C713FF"/>
    <w:rsid w:val="00C716C3"/>
    <w:rsid w:val="00C718DD"/>
    <w:rsid w:val="00C72081"/>
    <w:rsid w:val="00C73A6F"/>
    <w:rsid w:val="00C73F11"/>
    <w:rsid w:val="00C73FF0"/>
    <w:rsid w:val="00C746B1"/>
    <w:rsid w:val="00C7500A"/>
    <w:rsid w:val="00C75221"/>
    <w:rsid w:val="00C75BE8"/>
    <w:rsid w:val="00C801E4"/>
    <w:rsid w:val="00C8392E"/>
    <w:rsid w:val="00C83CF6"/>
    <w:rsid w:val="00C84A64"/>
    <w:rsid w:val="00C8605F"/>
    <w:rsid w:val="00C862AA"/>
    <w:rsid w:val="00C8683D"/>
    <w:rsid w:val="00C86B7F"/>
    <w:rsid w:val="00C8762E"/>
    <w:rsid w:val="00C900E1"/>
    <w:rsid w:val="00C9016F"/>
    <w:rsid w:val="00C90BA0"/>
    <w:rsid w:val="00C915BE"/>
    <w:rsid w:val="00C91784"/>
    <w:rsid w:val="00C91A48"/>
    <w:rsid w:val="00C92739"/>
    <w:rsid w:val="00C92BAA"/>
    <w:rsid w:val="00C92C1E"/>
    <w:rsid w:val="00C934DA"/>
    <w:rsid w:val="00C9438D"/>
    <w:rsid w:val="00C94A50"/>
    <w:rsid w:val="00C94ACF"/>
    <w:rsid w:val="00C94D1C"/>
    <w:rsid w:val="00C95509"/>
    <w:rsid w:val="00C96876"/>
    <w:rsid w:val="00C971AD"/>
    <w:rsid w:val="00C97308"/>
    <w:rsid w:val="00CA173D"/>
    <w:rsid w:val="00CA1C7E"/>
    <w:rsid w:val="00CA3063"/>
    <w:rsid w:val="00CA342B"/>
    <w:rsid w:val="00CA3478"/>
    <w:rsid w:val="00CA3500"/>
    <w:rsid w:val="00CA3BD2"/>
    <w:rsid w:val="00CA4D67"/>
    <w:rsid w:val="00CA5A70"/>
    <w:rsid w:val="00CA5C2B"/>
    <w:rsid w:val="00CA5FFB"/>
    <w:rsid w:val="00CA6E57"/>
    <w:rsid w:val="00CA7681"/>
    <w:rsid w:val="00CA7EA4"/>
    <w:rsid w:val="00CB1E9B"/>
    <w:rsid w:val="00CB3B9B"/>
    <w:rsid w:val="00CB4034"/>
    <w:rsid w:val="00CB4EF7"/>
    <w:rsid w:val="00CB51D3"/>
    <w:rsid w:val="00CB5EE3"/>
    <w:rsid w:val="00CB6056"/>
    <w:rsid w:val="00CB7362"/>
    <w:rsid w:val="00CB7407"/>
    <w:rsid w:val="00CB75EC"/>
    <w:rsid w:val="00CB7BC1"/>
    <w:rsid w:val="00CC0113"/>
    <w:rsid w:val="00CC1778"/>
    <w:rsid w:val="00CC1EFC"/>
    <w:rsid w:val="00CC2EE8"/>
    <w:rsid w:val="00CC36FE"/>
    <w:rsid w:val="00CC3B5B"/>
    <w:rsid w:val="00CC44DD"/>
    <w:rsid w:val="00CC4912"/>
    <w:rsid w:val="00CC59B7"/>
    <w:rsid w:val="00CC5C80"/>
    <w:rsid w:val="00CC5D2F"/>
    <w:rsid w:val="00CC6673"/>
    <w:rsid w:val="00CC66C4"/>
    <w:rsid w:val="00CC7A86"/>
    <w:rsid w:val="00CC7D22"/>
    <w:rsid w:val="00CD08EA"/>
    <w:rsid w:val="00CD0E99"/>
    <w:rsid w:val="00CD1788"/>
    <w:rsid w:val="00CD17E3"/>
    <w:rsid w:val="00CD222A"/>
    <w:rsid w:val="00CD2400"/>
    <w:rsid w:val="00CD2A74"/>
    <w:rsid w:val="00CD33C3"/>
    <w:rsid w:val="00CD33E9"/>
    <w:rsid w:val="00CD35E2"/>
    <w:rsid w:val="00CD3A9D"/>
    <w:rsid w:val="00CD40D7"/>
    <w:rsid w:val="00CD4323"/>
    <w:rsid w:val="00CD4EC1"/>
    <w:rsid w:val="00CD5335"/>
    <w:rsid w:val="00CD56F0"/>
    <w:rsid w:val="00CD6AC8"/>
    <w:rsid w:val="00CD79E9"/>
    <w:rsid w:val="00CE03B7"/>
    <w:rsid w:val="00CE0629"/>
    <w:rsid w:val="00CE18AE"/>
    <w:rsid w:val="00CE21C0"/>
    <w:rsid w:val="00CE2646"/>
    <w:rsid w:val="00CE2BB7"/>
    <w:rsid w:val="00CE4F9F"/>
    <w:rsid w:val="00CE5333"/>
    <w:rsid w:val="00CE5D05"/>
    <w:rsid w:val="00CE609A"/>
    <w:rsid w:val="00CE7136"/>
    <w:rsid w:val="00CE73CE"/>
    <w:rsid w:val="00CE79BA"/>
    <w:rsid w:val="00CF115E"/>
    <w:rsid w:val="00CF128C"/>
    <w:rsid w:val="00CF21C5"/>
    <w:rsid w:val="00CF3A87"/>
    <w:rsid w:val="00CF5D13"/>
    <w:rsid w:val="00CF6F29"/>
    <w:rsid w:val="00D000A9"/>
    <w:rsid w:val="00D002F6"/>
    <w:rsid w:val="00D004E8"/>
    <w:rsid w:val="00D01647"/>
    <w:rsid w:val="00D01B68"/>
    <w:rsid w:val="00D01B7B"/>
    <w:rsid w:val="00D027F3"/>
    <w:rsid w:val="00D030C3"/>
    <w:rsid w:val="00D03239"/>
    <w:rsid w:val="00D036B1"/>
    <w:rsid w:val="00D03DB1"/>
    <w:rsid w:val="00D04402"/>
    <w:rsid w:val="00D0460D"/>
    <w:rsid w:val="00D04AC0"/>
    <w:rsid w:val="00D05E33"/>
    <w:rsid w:val="00D06B99"/>
    <w:rsid w:val="00D06D51"/>
    <w:rsid w:val="00D074C5"/>
    <w:rsid w:val="00D07825"/>
    <w:rsid w:val="00D07C0A"/>
    <w:rsid w:val="00D07F3F"/>
    <w:rsid w:val="00D10494"/>
    <w:rsid w:val="00D11437"/>
    <w:rsid w:val="00D11514"/>
    <w:rsid w:val="00D1192B"/>
    <w:rsid w:val="00D12157"/>
    <w:rsid w:val="00D13245"/>
    <w:rsid w:val="00D13B33"/>
    <w:rsid w:val="00D13DAD"/>
    <w:rsid w:val="00D13DDE"/>
    <w:rsid w:val="00D1437D"/>
    <w:rsid w:val="00D144F7"/>
    <w:rsid w:val="00D15AD5"/>
    <w:rsid w:val="00D161B4"/>
    <w:rsid w:val="00D16B18"/>
    <w:rsid w:val="00D171EC"/>
    <w:rsid w:val="00D1781C"/>
    <w:rsid w:val="00D205C3"/>
    <w:rsid w:val="00D20928"/>
    <w:rsid w:val="00D20C35"/>
    <w:rsid w:val="00D21D24"/>
    <w:rsid w:val="00D21E9D"/>
    <w:rsid w:val="00D22200"/>
    <w:rsid w:val="00D22470"/>
    <w:rsid w:val="00D226FC"/>
    <w:rsid w:val="00D22852"/>
    <w:rsid w:val="00D22C58"/>
    <w:rsid w:val="00D23E41"/>
    <w:rsid w:val="00D240D0"/>
    <w:rsid w:val="00D263A9"/>
    <w:rsid w:val="00D26A26"/>
    <w:rsid w:val="00D26C97"/>
    <w:rsid w:val="00D27999"/>
    <w:rsid w:val="00D302D5"/>
    <w:rsid w:val="00D30B33"/>
    <w:rsid w:val="00D311D5"/>
    <w:rsid w:val="00D31CDD"/>
    <w:rsid w:val="00D3238E"/>
    <w:rsid w:val="00D328D7"/>
    <w:rsid w:val="00D328E9"/>
    <w:rsid w:val="00D3333D"/>
    <w:rsid w:val="00D34356"/>
    <w:rsid w:val="00D35932"/>
    <w:rsid w:val="00D35A35"/>
    <w:rsid w:val="00D363C1"/>
    <w:rsid w:val="00D36596"/>
    <w:rsid w:val="00D37BD4"/>
    <w:rsid w:val="00D40031"/>
    <w:rsid w:val="00D4023C"/>
    <w:rsid w:val="00D40D9F"/>
    <w:rsid w:val="00D422E3"/>
    <w:rsid w:val="00D4254E"/>
    <w:rsid w:val="00D42689"/>
    <w:rsid w:val="00D429FD"/>
    <w:rsid w:val="00D43155"/>
    <w:rsid w:val="00D438A5"/>
    <w:rsid w:val="00D43995"/>
    <w:rsid w:val="00D44065"/>
    <w:rsid w:val="00D448D1"/>
    <w:rsid w:val="00D44A17"/>
    <w:rsid w:val="00D4524F"/>
    <w:rsid w:val="00D457CE"/>
    <w:rsid w:val="00D45FF6"/>
    <w:rsid w:val="00D45FF9"/>
    <w:rsid w:val="00D4662D"/>
    <w:rsid w:val="00D46CBC"/>
    <w:rsid w:val="00D4711B"/>
    <w:rsid w:val="00D47AE5"/>
    <w:rsid w:val="00D507A7"/>
    <w:rsid w:val="00D50FAA"/>
    <w:rsid w:val="00D513A4"/>
    <w:rsid w:val="00D51499"/>
    <w:rsid w:val="00D51A6D"/>
    <w:rsid w:val="00D51B32"/>
    <w:rsid w:val="00D51D5E"/>
    <w:rsid w:val="00D521D5"/>
    <w:rsid w:val="00D5280E"/>
    <w:rsid w:val="00D52B15"/>
    <w:rsid w:val="00D52C58"/>
    <w:rsid w:val="00D52C96"/>
    <w:rsid w:val="00D52CE8"/>
    <w:rsid w:val="00D52E22"/>
    <w:rsid w:val="00D5303D"/>
    <w:rsid w:val="00D534E4"/>
    <w:rsid w:val="00D536B3"/>
    <w:rsid w:val="00D5396F"/>
    <w:rsid w:val="00D54B15"/>
    <w:rsid w:val="00D54E2B"/>
    <w:rsid w:val="00D55532"/>
    <w:rsid w:val="00D55DF6"/>
    <w:rsid w:val="00D5690D"/>
    <w:rsid w:val="00D573B5"/>
    <w:rsid w:val="00D5748E"/>
    <w:rsid w:val="00D5757F"/>
    <w:rsid w:val="00D6021B"/>
    <w:rsid w:val="00D609F7"/>
    <w:rsid w:val="00D60A0E"/>
    <w:rsid w:val="00D60F7B"/>
    <w:rsid w:val="00D6109C"/>
    <w:rsid w:val="00D6173F"/>
    <w:rsid w:val="00D61B9D"/>
    <w:rsid w:val="00D626B8"/>
    <w:rsid w:val="00D63882"/>
    <w:rsid w:val="00D647A9"/>
    <w:rsid w:val="00D64F67"/>
    <w:rsid w:val="00D66241"/>
    <w:rsid w:val="00D66300"/>
    <w:rsid w:val="00D66710"/>
    <w:rsid w:val="00D67CBD"/>
    <w:rsid w:val="00D67F0E"/>
    <w:rsid w:val="00D7060D"/>
    <w:rsid w:val="00D720B7"/>
    <w:rsid w:val="00D72684"/>
    <w:rsid w:val="00D73721"/>
    <w:rsid w:val="00D73FD9"/>
    <w:rsid w:val="00D75244"/>
    <w:rsid w:val="00D761F6"/>
    <w:rsid w:val="00D762E6"/>
    <w:rsid w:val="00D76638"/>
    <w:rsid w:val="00D77672"/>
    <w:rsid w:val="00D77F20"/>
    <w:rsid w:val="00D77FC1"/>
    <w:rsid w:val="00D80CE6"/>
    <w:rsid w:val="00D81427"/>
    <w:rsid w:val="00D817AA"/>
    <w:rsid w:val="00D82076"/>
    <w:rsid w:val="00D82BD9"/>
    <w:rsid w:val="00D82D33"/>
    <w:rsid w:val="00D82FBD"/>
    <w:rsid w:val="00D843D1"/>
    <w:rsid w:val="00D845F1"/>
    <w:rsid w:val="00D8544A"/>
    <w:rsid w:val="00D85969"/>
    <w:rsid w:val="00D869BC"/>
    <w:rsid w:val="00D8706A"/>
    <w:rsid w:val="00D8752C"/>
    <w:rsid w:val="00D911D0"/>
    <w:rsid w:val="00D91A77"/>
    <w:rsid w:val="00D91DF9"/>
    <w:rsid w:val="00D93333"/>
    <w:rsid w:val="00D93413"/>
    <w:rsid w:val="00D93698"/>
    <w:rsid w:val="00D93850"/>
    <w:rsid w:val="00D93B20"/>
    <w:rsid w:val="00D93C2F"/>
    <w:rsid w:val="00D9606D"/>
    <w:rsid w:val="00D964BD"/>
    <w:rsid w:val="00D96B76"/>
    <w:rsid w:val="00D97153"/>
    <w:rsid w:val="00D9756E"/>
    <w:rsid w:val="00DA0EEF"/>
    <w:rsid w:val="00DA2987"/>
    <w:rsid w:val="00DA373A"/>
    <w:rsid w:val="00DA3A20"/>
    <w:rsid w:val="00DA57B7"/>
    <w:rsid w:val="00DA5935"/>
    <w:rsid w:val="00DA66B2"/>
    <w:rsid w:val="00DA6748"/>
    <w:rsid w:val="00DA6915"/>
    <w:rsid w:val="00DA727F"/>
    <w:rsid w:val="00DA7A33"/>
    <w:rsid w:val="00DB07E0"/>
    <w:rsid w:val="00DB0D78"/>
    <w:rsid w:val="00DB0F78"/>
    <w:rsid w:val="00DB1809"/>
    <w:rsid w:val="00DB1AD0"/>
    <w:rsid w:val="00DB25F1"/>
    <w:rsid w:val="00DB2894"/>
    <w:rsid w:val="00DB29E8"/>
    <w:rsid w:val="00DB2A43"/>
    <w:rsid w:val="00DB37F7"/>
    <w:rsid w:val="00DB392E"/>
    <w:rsid w:val="00DB3A25"/>
    <w:rsid w:val="00DB3DF3"/>
    <w:rsid w:val="00DB4FAF"/>
    <w:rsid w:val="00DB5AAB"/>
    <w:rsid w:val="00DB6D85"/>
    <w:rsid w:val="00DB7569"/>
    <w:rsid w:val="00DB7CF2"/>
    <w:rsid w:val="00DC072E"/>
    <w:rsid w:val="00DC0AA9"/>
    <w:rsid w:val="00DC1305"/>
    <w:rsid w:val="00DC136D"/>
    <w:rsid w:val="00DC1BCF"/>
    <w:rsid w:val="00DC336E"/>
    <w:rsid w:val="00DC347E"/>
    <w:rsid w:val="00DC3AD7"/>
    <w:rsid w:val="00DC4A0E"/>
    <w:rsid w:val="00DC5D0B"/>
    <w:rsid w:val="00DC60F2"/>
    <w:rsid w:val="00DC656F"/>
    <w:rsid w:val="00DC6A9F"/>
    <w:rsid w:val="00DC7648"/>
    <w:rsid w:val="00DC7767"/>
    <w:rsid w:val="00DD0784"/>
    <w:rsid w:val="00DD0941"/>
    <w:rsid w:val="00DD0ABC"/>
    <w:rsid w:val="00DD1696"/>
    <w:rsid w:val="00DD2311"/>
    <w:rsid w:val="00DD24A9"/>
    <w:rsid w:val="00DD291D"/>
    <w:rsid w:val="00DD2BDF"/>
    <w:rsid w:val="00DD4CA4"/>
    <w:rsid w:val="00DD5102"/>
    <w:rsid w:val="00DD5237"/>
    <w:rsid w:val="00DD68C9"/>
    <w:rsid w:val="00DD75F9"/>
    <w:rsid w:val="00DD78F5"/>
    <w:rsid w:val="00DD7C6C"/>
    <w:rsid w:val="00DE033F"/>
    <w:rsid w:val="00DE08BC"/>
    <w:rsid w:val="00DE0D0A"/>
    <w:rsid w:val="00DE1317"/>
    <w:rsid w:val="00DE14DB"/>
    <w:rsid w:val="00DE1B8F"/>
    <w:rsid w:val="00DE2106"/>
    <w:rsid w:val="00DE2B62"/>
    <w:rsid w:val="00DE33BB"/>
    <w:rsid w:val="00DE413C"/>
    <w:rsid w:val="00DE42A8"/>
    <w:rsid w:val="00DE4334"/>
    <w:rsid w:val="00DE498C"/>
    <w:rsid w:val="00DE55E7"/>
    <w:rsid w:val="00DE56B6"/>
    <w:rsid w:val="00DE5845"/>
    <w:rsid w:val="00DE5BC8"/>
    <w:rsid w:val="00DE67CD"/>
    <w:rsid w:val="00DE6A14"/>
    <w:rsid w:val="00DE787B"/>
    <w:rsid w:val="00DE792C"/>
    <w:rsid w:val="00DE7A63"/>
    <w:rsid w:val="00DF0292"/>
    <w:rsid w:val="00DF120D"/>
    <w:rsid w:val="00DF13EC"/>
    <w:rsid w:val="00DF1E0B"/>
    <w:rsid w:val="00DF3100"/>
    <w:rsid w:val="00DF33F0"/>
    <w:rsid w:val="00DF4879"/>
    <w:rsid w:val="00DF5823"/>
    <w:rsid w:val="00DF5D54"/>
    <w:rsid w:val="00DF5DA7"/>
    <w:rsid w:val="00DF5E16"/>
    <w:rsid w:val="00DF5E41"/>
    <w:rsid w:val="00DF5FBC"/>
    <w:rsid w:val="00DF6410"/>
    <w:rsid w:val="00DF6F5F"/>
    <w:rsid w:val="00DF72C2"/>
    <w:rsid w:val="00DF7D97"/>
    <w:rsid w:val="00E00034"/>
    <w:rsid w:val="00E002FE"/>
    <w:rsid w:val="00E0054F"/>
    <w:rsid w:val="00E0069E"/>
    <w:rsid w:val="00E00A84"/>
    <w:rsid w:val="00E00BC9"/>
    <w:rsid w:val="00E01494"/>
    <w:rsid w:val="00E01A10"/>
    <w:rsid w:val="00E02661"/>
    <w:rsid w:val="00E031FC"/>
    <w:rsid w:val="00E03591"/>
    <w:rsid w:val="00E0397C"/>
    <w:rsid w:val="00E04B8E"/>
    <w:rsid w:val="00E04F61"/>
    <w:rsid w:val="00E04FBA"/>
    <w:rsid w:val="00E0612C"/>
    <w:rsid w:val="00E062F1"/>
    <w:rsid w:val="00E06985"/>
    <w:rsid w:val="00E06C27"/>
    <w:rsid w:val="00E0768C"/>
    <w:rsid w:val="00E10196"/>
    <w:rsid w:val="00E10A83"/>
    <w:rsid w:val="00E117A4"/>
    <w:rsid w:val="00E1223B"/>
    <w:rsid w:val="00E123EC"/>
    <w:rsid w:val="00E127B9"/>
    <w:rsid w:val="00E13EC4"/>
    <w:rsid w:val="00E16038"/>
    <w:rsid w:val="00E17225"/>
    <w:rsid w:val="00E21F5F"/>
    <w:rsid w:val="00E24667"/>
    <w:rsid w:val="00E250ED"/>
    <w:rsid w:val="00E2581F"/>
    <w:rsid w:val="00E27233"/>
    <w:rsid w:val="00E30C88"/>
    <w:rsid w:val="00E31114"/>
    <w:rsid w:val="00E31197"/>
    <w:rsid w:val="00E316A5"/>
    <w:rsid w:val="00E326A7"/>
    <w:rsid w:val="00E32849"/>
    <w:rsid w:val="00E32C11"/>
    <w:rsid w:val="00E32E9D"/>
    <w:rsid w:val="00E33EA7"/>
    <w:rsid w:val="00E34521"/>
    <w:rsid w:val="00E34599"/>
    <w:rsid w:val="00E346E6"/>
    <w:rsid w:val="00E34B4B"/>
    <w:rsid w:val="00E3555D"/>
    <w:rsid w:val="00E35929"/>
    <w:rsid w:val="00E35957"/>
    <w:rsid w:val="00E3754D"/>
    <w:rsid w:val="00E37630"/>
    <w:rsid w:val="00E40D89"/>
    <w:rsid w:val="00E42AAA"/>
    <w:rsid w:val="00E42B4E"/>
    <w:rsid w:val="00E434CE"/>
    <w:rsid w:val="00E44B09"/>
    <w:rsid w:val="00E44D0F"/>
    <w:rsid w:val="00E45239"/>
    <w:rsid w:val="00E452B5"/>
    <w:rsid w:val="00E4541E"/>
    <w:rsid w:val="00E45816"/>
    <w:rsid w:val="00E45B48"/>
    <w:rsid w:val="00E45C51"/>
    <w:rsid w:val="00E46AAC"/>
    <w:rsid w:val="00E47DF1"/>
    <w:rsid w:val="00E50826"/>
    <w:rsid w:val="00E5175D"/>
    <w:rsid w:val="00E51D00"/>
    <w:rsid w:val="00E5260D"/>
    <w:rsid w:val="00E534CD"/>
    <w:rsid w:val="00E53619"/>
    <w:rsid w:val="00E5401B"/>
    <w:rsid w:val="00E54147"/>
    <w:rsid w:val="00E544A1"/>
    <w:rsid w:val="00E54513"/>
    <w:rsid w:val="00E5457A"/>
    <w:rsid w:val="00E559AB"/>
    <w:rsid w:val="00E56FC4"/>
    <w:rsid w:val="00E5797B"/>
    <w:rsid w:val="00E57DD4"/>
    <w:rsid w:val="00E609C2"/>
    <w:rsid w:val="00E60E8D"/>
    <w:rsid w:val="00E61189"/>
    <w:rsid w:val="00E61500"/>
    <w:rsid w:val="00E6214C"/>
    <w:rsid w:val="00E62893"/>
    <w:rsid w:val="00E62BC9"/>
    <w:rsid w:val="00E62BE2"/>
    <w:rsid w:val="00E64546"/>
    <w:rsid w:val="00E64E0B"/>
    <w:rsid w:val="00E65718"/>
    <w:rsid w:val="00E6586D"/>
    <w:rsid w:val="00E6617F"/>
    <w:rsid w:val="00E6657B"/>
    <w:rsid w:val="00E6687A"/>
    <w:rsid w:val="00E67AF0"/>
    <w:rsid w:val="00E67C74"/>
    <w:rsid w:val="00E67DFC"/>
    <w:rsid w:val="00E702B6"/>
    <w:rsid w:val="00E70B13"/>
    <w:rsid w:val="00E71AF9"/>
    <w:rsid w:val="00E72109"/>
    <w:rsid w:val="00E7266D"/>
    <w:rsid w:val="00E7364B"/>
    <w:rsid w:val="00E73711"/>
    <w:rsid w:val="00E74032"/>
    <w:rsid w:val="00E74980"/>
    <w:rsid w:val="00E755E2"/>
    <w:rsid w:val="00E75D42"/>
    <w:rsid w:val="00E77D4C"/>
    <w:rsid w:val="00E80B67"/>
    <w:rsid w:val="00E80E7E"/>
    <w:rsid w:val="00E8179F"/>
    <w:rsid w:val="00E81B72"/>
    <w:rsid w:val="00E82033"/>
    <w:rsid w:val="00E82A29"/>
    <w:rsid w:val="00E82FE7"/>
    <w:rsid w:val="00E8325A"/>
    <w:rsid w:val="00E84324"/>
    <w:rsid w:val="00E843EB"/>
    <w:rsid w:val="00E847FE"/>
    <w:rsid w:val="00E84ED3"/>
    <w:rsid w:val="00E84EE6"/>
    <w:rsid w:val="00E86130"/>
    <w:rsid w:val="00E86362"/>
    <w:rsid w:val="00E87209"/>
    <w:rsid w:val="00E903F8"/>
    <w:rsid w:val="00E90D12"/>
    <w:rsid w:val="00E9137F"/>
    <w:rsid w:val="00E914F5"/>
    <w:rsid w:val="00E9173C"/>
    <w:rsid w:val="00E91C00"/>
    <w:rsid w:val="00E91CCB"/>
    <w:rsid w:val="00E93437"/>
    <w:rsid w:val="00E937AA"/>
    <w:rsid w:val="00E94256"/>
    <w:rsid w:val="00E94825"/>
    <w:rsid w:val="00E94CDD"/>
    <w:rsid w:val="00E95088"/>
    <w:rsid w:val="00E9576A"/>
    <w:rsid w:val="00E95D2D"/>
    <w:rsid w:val="00E97564"/>
    <w:rsid w:val="00E97BE4"/>
    <w:rsid w:val="00E97CD7"/>
    <w:rsid w:val="00EA010D"/>
    <w:rsid w:val="00EA0EFA"/>
    <w:rsid w:val="00EA1A99"/>
    <w:rsid w:val="00EA24E1"/>
    <w:rsid w:val="00EA2BAB"/>
    <w:rsid w:val="00EA3A62"/>
    <w:rsid w:val="00EA4510"/>
    <w:rsid w:val="00EA475D"/>
    <w:rsid w:val="00EA51BD"/>
    <w:rsid w:val="00EA5B0C"/>
    <w:rsid w:val="00EA5BB2"/>
    <w:rsid w:val="00EA5DA6"/>
    <w:rsid w:val="00EA6346"/>
    <w:rsid w:val="00EA6617"/>
    <w:rsid w:val="00EA7B8D"/>
    <w:rsid w:val="00EB04EF"/>
    <w:rsid w:val="00EB14B6"/>
    <w:rsid w:val="00EB3596"/>
    <w:rsid w:val="00EB3FDF"/>
    <w:rsid w:val="00EB4012"/>
    <w:rsid w:val="00EB4507"/>
    <w:rsid w:val="00EB4617"/>
    <w:rsid w:val="00EB468A"/>
    <w:rsid w:val="00EB5017"/>
    <w:rsid w:val="00EB57FA"/>
    <w:rsid w:val="00EB6673"/>
    <w:rsid w:val="00EB6F33"/>
    <w:rsid w:val="00EB70E7"/>
    <w:rsid w:val="00EB75B7"/>
    <w:rsid w:val="00EB7BEB"/>
    <w:rsid w:val="00EC149B"/>
    <w:rsid w:val="00EC20F6"/>
    <w:rsid w:val="00EC24B0"/>
    <w:rsid w:val="00EC25C0"/>
    <w:rsid w:val="00EC29F6"/>
    <w:rsid w:val="00EC36CF"/>
    <w:rsid w:val="00EC3A3A"/>
    <w:rsid w:val="00EC4B7B"/>
    <w:rsid w:val="00EC5D68"/>
    <w:rsid w:val="00EC60E8"/>
    <w:rsid w:val="00EC785A"/>
    <w:rsid w:val="00EC7BED"/>
    <w:rsid w:val="00ED065B"/>
    <w:rsid w:val="00ED2029"/>
    <w:rsid w:val="00ED2DED"/>
    <w:rsid w:val="00ED3121"/>
    <w:rsid w:val="00ED31E7"/>
    <w:rsid w:val="00ED5790"/>
    <w:rsid w:val="00ED5C5E"/>
    <w:rsid w:val="00ED5DD3"/>
    <w:rsid w:val="00ED63AE"/>
    <w:rsid w:val="00ED6DED"/>
    <w:rsid w:val="00ED7549"/>
    <w:rsid w:val="00ED7E67"/>
    <w:rsid w:val="00EE1BF2"/>
    <w:rsid w:val="00EE1DE6"/>
    <w:rsid w:val="00EE3DE5"/>
    <w:rsid w:val="00EE47C9"/>
    <w:rsid w:val="00EE5C4F"/>
    <w:rsid w:val="00EE5DC9"/>
    <w:rsid w:val="00EE6F32"/>
    <w:rsid w:val="00EE6FE1"/>
    <w:rsid w:val="00EE70D7"/>
    <w:rsid w:val="00EE72A9"/>
    <w:rsid w:val="00EE7DE7"/>
    <w:rsid w:val="00EE7EE9"/>
    <w:rsid w:val="00EF02E0"/>
    <w:rsid w:val="00EF1432"/>
    <w:rsid w:val="00EF1C61"/>
    <w:rsid w:val="00EF37B7"/>
    <w:rsid w:val="00EF3D1D"/>
    <w:rsid w:val="00EF3EC7"/>
    <w:rsid w:val="00EF4332"/>
    <w:rsid w:val="00EF4F7A"/>
    <w:rsid w:val="00EF5377"/>
    <w:rsid w:val="00EF557F"/>
    <w:rsid w:val="00EF5C3C"/>
    <w:rsid w:val="00EF7078"/>
    <w:rsid w:val="00EF7352"/>
    <w:rsid w:val="00EF788E"/>
    <w:rsid w:val="00EF7B83"/>
    <w:rsid w:val="00F009AD"/>
    <w:rsid w:val="00F00A72"/>
    <w:rsid w:val="00F00F5F"/>
    <w:rsid w:val="00F01A2D"/>
    <w:rsid w:val="00F01C53"/>
    <w:rsid w:val="00F01D8F"/>
    <w:rsid w:val="00F02AC1"/>
    <w:rsid w:val="00F02CFC"/>
    <w:rsid w:val="00F03338"/>
    <w:rsid w:val="00F04196"/>
    <w:rsid w:val="00F048A0"/>
    <w:rsid w:val="00F04BC7"/>
    <w:rsid w:val="00F05C29"/>
    <w:rsid w:val="00F05D06"/>
    <w:rsid w:val="00F07632"/>
    <w:rsid w:val="00F100BC"/>
    <w:rsid w:val="00F101DD"/>
    <w:rsid w:val="00F103D0"/>
    <w:rsid w:val="00F104DE"/>
    <w:rsid w:val="00F10936"/>
    <w:rsid w:val="00F11013"/>
    <w:rsid w:val="00F11357"/>
    <w:rsid w:val="00F125B0"/>
    <w:rsid w:val="00F13471"/>
    <w:rsid w:val="00F13BA7"/>
    <w:rsid w:val="00F145ED"/>
    <w:rsid w:val="00F15515"/>
    <w:rsid w:val="00F15ECF"/>
    <w:rsid w:val="00F211FD"/>
    <w:rsid w:val="00F21613"/>
    <w:rsid w:val="00F2170B"/>
    <w:rsid w:val="00F21C27"/>
    <w:rsid w:val="00F22333"/>
    <w:rsid w:val="00F22680"/>
    <w:rsid w:val="00F229B3"/>
    <w:rsid w:val="00F22D59"/>
    <w:rsid w:val="00F23AA4"/>
    <w:rsid w:val="00F23C14"/>
    <w:rsid w:val="00F23E93"/>
    <w:rsid w:val="00F24C5B"/>
    <w:rsid w:val="00F24EC2"/>
    <w:rsid w:val="00F260BD"/>
    <w:rsid w:val="00F260D5"/>
    <w:rsid w:val="00F26E67"/>
    <w:rsid w:val="00F30CC2"/>
    <w:rsid w:val="00F3106C"/>
    <w:rsid w:val="00F31147"/>
    <w:rsid w:val="00F32317"/>
    <w:rsid w:val="00F32F5D"/>
    <w:rsid w:val="00F34DA0"/>
    <w:rsid w:val="00F35A3D"/>
    <w:rsid w:val="00F35EB1"/>
    <w:rsid w:val="00F35EB5"/>
    <w:rsid w:val="00F363E8"/>
    <w:rsid w:val="00F36877"/>
    <w:rsid w:val="00F36A13"/>
    <w:rsid w:val="00F36CCA"/>
    <w:rsid w:val="00F3711A"/>
    <w:rsid w:val="00F373FB"/>
    <w:rsid w:val="00F37457"/>
    <w:rsid w:val="00F379A2"/>
    <w:rsid w:val="00F37C26"/>
    <w:rsid w:val="00F405D9"/>
    <w:rsid w:val="00F4129F"/>
    <w:rsid w:val="00F4234A"/>
    <w:rsid w:val="00F424BF"/>
    <w:rsid w:val="00F43AC1"/>
    <w:rsid w:val="00F450AB"/>
    <w:rsid w:val="00F45EF7"/>
    <w:rsid w:val="00F4752A"/>
    <w:rsid w:val="00F4778B"/>
    <w:rsid w:val="00F47821"/>
    <w:rsid w:val="00F5079A"/>
    <w:rsid w:val="00F519D3"/>
    <w:rsid w:val="00F51AD8"/>
    <w:rsid w:val="00F5247A"/>
    <w:rsid w:val="00F52F1E"/>
    <w:rsid w:val="00F53192"/>
    <w:rsid w:val="00F531A5"/>
    <w:rsid w:val="00F54675"/>
    <w:rsid w:val="00F54D47"/>
    <w:rsid w:val="00F55A7F"/>
    <w:rsid w:val="00F57417"/>
    <w:rsid w:val="00F60CC5"/>
    <w:rsid w:val="00F60FD8"/>
    <w:rsid w:val="00F6112E"/>
    <w:rsid w:val="00F61807"/>
    <w:rsid w:val="00F61A6B"/>
    <w:rsid w:val="00F61B67"/>
    <w:rsid w:val="00F61B68"/>
    <w:rsid w:val="00F61C26"/>
    <w:rsid w:val="00F61EEE"/>
    <w:rsid w:val="00F62E90"/>
    <w:rsid w:val="00F62F87"/>
    <w:rsid w:val="00F631C2"/>
    <w:rsid w:val="00F63336"/>
    <w:rsid w:val="00F6389B"/>
    <w:rsid w:val="00F63A90"/>
    <w:rsid w:val="00F63A9A"/>
    <w:rsid w:val="00F63B6B"/>
    <w:rsid w:val="00F63DBC"/>
    <w:rsid w:val="00F64031"/>
    <w:rsid w:val="00F646EC"/>
    <w:rsid w:val="00F64D77"/>
    <w:rsid w:val="00F6514D"/>
    <w:rsid w:val="00F651C8"/>
    <w:rsid w:val="00F65A25"/>
    <w:rsid w:val="00F65EBC"/>
    <w:rsid w:val="00F660FC"/>
    <w:rsid w:val="00F6636E"/>
    <w:rsid w:val="00F66DDB"/>
    <w:rsid w:val="00F67286"/>
    <w:rsid w:val="00F67623"/>
    <w:rsid w:val="00F67887"/>
    <w:rsid w:val="00F67B53"/>
    <w:rsid w:val="00F701C4"/>
    <w:rsid w:val="00F70481"/>
    <w:rsid w:val="00F71E45"/>
    <w:rsid w:val="00F7281F"/>
    <w:rsid w:val="00F72932"/>
    <w:rsid w:val="00F72AC0"/>
    <w:rsid w:val="00F73188"/>
    <w:rsid w:val="00F75480"/>
    <w:rsid w:val="00F754F1"/>
    <w:rsid w:val="00F75831"/>
    <w:rsid w:val="00F760A6"/>
    <w:rsid w:val="00F76E00"/>
    <w:rsid w:val="00F76F89"/>
    <w:rsid w:val="00F7750B"/>
    <w:rsid w:val="00F77D64"/>
    <w:rsid w:val="00F81104"/>
    <w:rsid w:val="00F8129A"/>
    <w:rsid w:val="00F81345"/>
    <w:rsid w:val="00F814CD"/>
    <w:rsid w:val="00F815F4"/>
    <w:rsid w:val="00F823BE"/>
    <w:rsid w:val="00F82AEC"/>
    <w:rsid w:val="00F83D26"/>
    <w:rsid w:val="00F8403F"/>
    <w:rsid w:val="00F8456B"/>
    <w:rsid w:val="00F9099E"/>
    <w:rsid w:val="00F90FE0"/>
    <w:rsid w:val="00F90FFF"/>
    <w:rsid w:val="00F9113D"/>
    <w:rsid w:val="00F92426"/>
    <w:rsid w:val="00F92742"/>
    <w:rsid w:val="00F92B1A"/>
    <w:rsid w:val="00F94807"/>
    <w:rsid w:val="00F9480D"/>
    <w:rsid w:val="00F94D57"/>
    <w:rsid w:val="00F950C7"/>
    <w:rsid w:val="00F969AB"/>
    <w:rsid w:val="00F97003"/>
    <w:rsid w:val="00F9726E"/>
    <w:rsid w:val="00F976DD"/>
    <w:rsid w:val="00F97922"/>
    <w:rsid w:val="00F97A44"/>
    <w:rsid w:val="00FA05F9"/>
    <w:rsid w:val="00FA0A64"/>
    <w:rsid w:val="00FA0B75"/>
    <w:rsid w:val="00FA19CE"/>
    <w:rsid w:val="00FA1B5B"/>
    <w:rsid w:val="00FA2DE0"/>
    <w:rsid w:val="00FA5383"/>
    <w:rsid w:val="00FA5404"/>
    <w:rsid w:val="00FA66E1"/>
    <w:rsid w:val="00FA72FC"/>
    <w:rsid w:val="00FA7616"/>
    <w:rsid w:val="00FB1ED6"/>
    <w:rsid w:val="00FB1FE2"/>
    <w:rsid w:val="00FB2ACC"/>
    <w:rsid w:val="00FB2D6B"/>
    <w:rsid w:val="00FB370B"/>
    <w:rsid w:val="00FB3DC2"/>
    <w:rsid w:val="00FB3FE1"/>
    <w:rsid w:val="00FB4132"/>
    <w:rsid w:val="00FB461E"/>
    <w:rsid w:val="00FB4F60"/>
    <w:rsid w:val="00FB523E"/>
    <w:rsid w:val="00FB6140"/>
    <w:rsid w:val="00FB634A"/>
    <w:rsid w:val="00FB681A"/>
    <w:rsid w:val="00FB69DE"/>
    <w:rsid w:val="00FB6A1F"/>
    <w:rsid w:val="00FB6DFB"/>
    <w:rsid w:val="00FB73CE"/>
    <w:rsid w:val="00FC08B9"/>
    <w:rsid w:val="00FC2896"/>
    <w:rsid w:val="00FC3118"/>
    <w:rsid w:val="00FC4359"/>
    <w:rsid w:val="00FC4606"/>
    <w:rsid w:val="00FC4D98"/>
    <w:rsid w:val="00FC5203"/>
    <w:rsid w:val="00FC5E4F"/>
    <w:rsid w:val="00FC6768"/>
    <w:rsid w:val="00FC6E95"/>
    <w:rsid w:val="00FC7A25"/>
    <w:rsid w:val="00FC7AE7"/>
    <w:rsid w:val="00FD0366"/>
    <w:rsid w:val="00FD0A3F"/>
    <w:rsid w:val="00FD0ADD"/>
    <w:rsid w:val="00FD0D5C"/>
    <w:rsid w:val="00FD1029"/>
    <w:rsid w:val="00FD2D6C"/>
    <w:rsid w:val="00FD3BAD"/>
    <w:rsid w:val="00FD40EB"/>
    <w:rsid w:val="00FD452A"/>
    <w:rsid w:val="00FD4F3A"/>
    <w:rsid w:val="00FD5266"/>
    <w:rsid w:val="00FD6140"/>
    <w:rsid w:val="00FD7759"/>
    <w:rsid w:val="00FD7B2A"/>
    <w:rsid w:val="00FD7C0B"/>
    <w:rsid w:val="00FE03E1"/>
    <w:rsid w:val="00FE06E4"/>
    <w:rsid w:val="00FE0B54"/>
    <w:rsid w:val="00FE140F"/>
    <w:rsid w:val="00FE2A28"/>
    <w:rsid w:val="00FE371F"/>
    <w:rsid w:val="00FE3FE0"/>
    <w:rsid w:val="00FE4E38"/>
    <w:rsid w:val="00FE4FA7"/>
    <w:rsid w:val="00FE5D98"/>
    <w:rsid w:val="00FE5DA8"/>
    <w:rsid w:val="00FE638B"/>
    <w:rsid w:val="00FE69DE"/>
    <w:rsid w:val="00FE6D3D"/>
    <w:rsid w:val="00FE71DF"/>
    <w:rsid w:val="00FE7F48"/>
    <w:rsid w:val="00FF09B4"/>
    <w:rsid w:val="00FF1227"/>
    <w:rsid w:val="00FF19EE"/>
    <w:rsid w:val="00FF1F25"/>
    <w:rsid w:val="00FF2E2F"/>
    <w:rsid w:val="00FF3314"/>
    <w:rsid w:val="00FF3666"/>
    <w:rsid w:val="00FF3BC3"/>
    <w:rsid w:val="00FF447A"/>
    <w:rsid w:val="00FF4813"/>
    <w:rsid w:val="00FF4A9D"/>
    <w:rsid w:val="00FF5572"/>
    <w:rsid w:val="00FF5654"/>
    <w:rsid w:val="00FF5777"/>
    <w:rsid w:val="01611F49"/>
    <w:rsid w:val="021F7DC1"/>
    <w:rsid w:val="027F4D04"/>
    <w:rsid w:val="02D61B95"/>
    <w:rsid w:val="04AC792F"/>
    <w:rsid w:val="0560706F"/>
    <w:rsid w:val="060B6FA9"/>
    <w:rsid w:val="061F4C33"/>
    <w:rsid w:val="084B6DA5"/>
    <w:rsid w:val="092C03DC"/>
    <w:rsid w:val="0A111E32"/>
    <w:rsid w:val="0B9335CE"/>
    <w:rsid w:val="0E5F3BA7"/>
    <w:rsid w:val="0E9E29B6"/>
    <w:rsid w:val="0EF77800"/>
    <w:rsid w:val="0F8751F8"/>
    <w:rsid w:val="0FB87F53"/>
    <w:rsid w:val="11551A52"/>
    <w:rsid w:val="11B35296"/>
    <w:rsid w:val="125D09E5"/>
    <w:rsid w:val="1336143E"/>
    <w:rsid w:val="13824654"/>
    <w:rsid w:val="13B238FC"/>
    <w:rsid w:val="14C03300"/>
    <w:rsid w:val="15F621B4"/>
    <w:rsid w:val="162941F2"/>
    <w:rsid w:val="1799326E"/>
    <w:rsid w:val="1977452F"/>
    <w:rsid w:val="19782558"/>
    <w:rsid w:val="1AA46F5E"/>
    <w:rsid w:val="1B5A5081"/>
    <w:rsid w:val="1B896313"/>
    <w:rsid w:val="1D295A04"/>
    <w:rsid w:val="1F4D3D68"/>
    <w:rsid w:val="20597E46"/>
    <w:rsid w:val="2481036F"/>
    <w:rsid w:val="250942FF"/>
    <w:rsid w:val="25F52091"/>
    <w:rsid w:val="26321C01"/>
    <w:rsid w:val="2D3570E0"/>
    <w:rsid w:val="30795A82"/>
    <w:rsid w:val="309605D0"/>
    <w:rsid w:val="30960ACB"/>
    <w:rsid w:val="31C969C2"/>
    <w:rsid w:val="32DD31FD"/>
    <w:rsid w:val="332B21BB"/>
    <w:rsid w:val="33C16E8D"/>
    <w:rsid w:val="34136342"/>
    <w:rsid w:val="349B6ECC"/>
    <w:rsid w:val="36C766F4"/>
    <w:rsid w:val="3AFC50E0"/>
    <w:rsid w:val="3B3A2402"/>
    <w:rsid w:val="3ED8393F"/>
    <w:rsid w:val="40015B6F"/>
    <w:rsid w:val="40A65D1E"/>
    <w:rsid w:val="42F75E0B"/>
    <w:rsid w:val="443818AD"/>
    <w:rsid w:val="44B62FBD"/>
    <w:rsid w:val="44EC61EE"/>
    <w:rsid w:val="47C616EE"/>
    <w:rsid w:val="49902920"/>
    <w:rsid w:val="4AA45C04"/>
    <w:rsid w:val="4B675475"/>
    <w:rsid w:val="4C1942E0"/>
    <w:rsid w:val="4E586946"/>
    <w:rsid w:val="4EF07BE5"/>
    <w:rsid w:val="4F343D4D"/>
    <w:rsid w:val="50120532"/>
    <w:rsid w:val="502069C3"/>
    <w:rsid w:val="51142088"/>
    <w:rsid w:val="539D43B8"/>
    <w:rsid w:val="53E2021C"/>
    <w:rsid w:val="54605F49"/>
    <w:rsid w:val="54962AB8"/>
    <w:rsid w:val="553F5893"/>
    <w:rsid w:val="55441147"/>
    <w:rsid w:val="56377850"/>
    <w:rsid w:val="569F31F6"/>
    <w:rsid w:val="57151371"/>
    <w:rsid w:val="573E2536"/>
    <w:rsid w:val="5DFE7D0E"/>
    <w:rsid w:val="645D206F"/>
    <w:rsid w:val="645E38EF"/>
    <w:rsid w:val="65975EE4"/>
    <w:rsid w:val="68297AFA"/>
    <w:rsid w:val="686D54A1"/>
    <w:rsid w:val="69A51678"/>
    <w:rsid w:val="6A4140F8"/>
    <w:rsid w:val="6B044A1B"/>
    <w:rsid w:val="6B57350A"/>
    <w:rsid w:val="6B8579B3"/>
    <w:rsid w:val="6C327B3B"/>
    <w:rsid w:val="6FE85DEF"/>
    <w:rsid w:val="70EB6F9A"/>
    <w:rsid w:val="719170B1"/>
    <w:rsid w:val="71C31235"/>
    <w:rsid w:val="722469FC"/>
    <w:rsid w:val="736600CA"/>
    <w:rsid w:val="742835D1"/>
    <w:rsid w:val="78B13B95"/>
    <w:rsid w:val="7B095F0A"/>
    <w:rsid w:val="7B881CDE"/>
    <w:rsid w:val="7C321D37"/>
    <w:rsid w:val="7E6B2A38"/>
    <w:rsid w:val="7F5F24F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paragraph" w:styleId="2">
    <w:name w:val="heading 1"/>
    <w:basedOn w:val="1"/>
    <w:next w:val="1"/>
    <w:link w:val="49"/>
    <w:qFormat/>
    <w:uiPriority w:val="0"/>
    <w:pPr>
      <w:keepNext/>
      <w:widowControl/>
      <w:jc w:val="left"/>
      <w:outlineLvl w:val="0"/>
    </w:pPr>
    <w:rPr>
      <w:b/>
      <w:bCs/>
      <w:sz w:val="24"/>
    </w:rPr>
  </w:style>
  <w:style w:type="paragraph" w:styleId="3">
    <w:name w:val="heading 2"/>
    <w:basedOn w:val="1"/>
    <w:next w:val="1"/>
    <w:link w:val="5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1"/>
    <w:qFormat/>
    <w:uiPriority w:val="0"/>
    <w:pPr>
      <w:keepNext/>
      <w:outlineLvl w:val="2"/>
    </w:pPr>
    <w:rPr>
      <w:rFonts w:ascii="楷体_GB2312" w:hAnsi="宋体" w:eastAsia="楷体_GB2312"/>
      <w:b/>
      <w:bCs/>
      <w:sz w:val="32"/>
    </w:rPr>
  </w:style>
  <w:style w:type="paragraph" w:styleId="5">
    <w:name w:val="heading 4"/>
    <w:basedOn w:val="1"/>
    <w:next w:val="1"/>
    <w:link w:val="52"/>
    <w:qFormat/>
    <w:uiPriority w:val="0"/>
    <w:pPr>
      <w:keepNext/>
      <w:keepLines/>
      <w:widowControl/>
      <w:spacing w:before="280" w:after="290" w:line="376" w:lineRule="auto"/>
      <w:jc w:val="left"/>
      <w:outlineLvl w:val="3"/>
    </w:pPr>
    <w:rPr>
      <w:rFonts w:ascii="Arial" w:hAnsi="Arial" w:eastAsia="黑体"/>
      <w:b/>
      <w:bCs/>
      <w:sz w:val="28"/>
      <w:szCs w:val="28"/>
    </w:rPr>
  </w:style>
  <w:style w:type="paragraph" w:styleId="6">
    <w:name w:val="heading 5"/>
    <w:basedOn w:val="1"/>
    <w:next w:val="1"/>
    <w:link w:val="53"/>
    <w:qFormat/>
    <w:uiPriority w:val="0"/>
    <w:pPr>
      <w:keepNext/>
      <w:keepLines/>
      <w:widowControl/>
      <w:spacing w:before="280" w:after="290" w:line="376" w:lineRule="auto"/>
      <w:jc w:val="left"/>
      <w:outlineLvl w:val="4"/>
    </w:pPr>
    <w:rPr>
      <w:b/>
      <w:bCs/>
      <w:sz w:val="28"/>
      <w:szCs w:val="28"/>
    </w:rPr>
  </w:style>
  <w:style w:type="paragraph" w:styleId="7">
    <w:name w:val="heading 6"/>
    <w:basedOn w:val="1"/>
    <w:next w:val="1"/>
    <w:link w:val="54"/>
    <w:qFormat/>
    <w:uiPriority w:val="0"/>
    <w:pPr>
      <w:keepNext/>
      <w:keepLines/>
      <w:widowControl/>
      <w:spacing w:before="240" w:after="64" w:line="320" w:lineRule="auto"/>
      <w:jc w:val="left"/>
      <w:outlineLvl w:val="5"/>
    </w:pPr>
    <w:rPr>
      <w:rFonts w:ascii="Arial" w:hAnsi="Arial" w:eastAsia="黑体"/>
      <w:b/>
      <w:bCs/>
      <w:sz w:val="24"/>
    </w:rPr>
  </w:style>
  <w:style w:type="paragraph" w:styleId="8">
    <w:name w:val="heading 7"/>
    <w:basedOn w:val="1"/>
    <w:next w:val="1"/>
    <w:link w:val="55"/>
    <w:qFormat/>
    <w:uiPriority w:val="0"/>
    <w:pPr>
      <w:keepNext/>
      <w:keepLines/>
      <w:widowControl/>
      <w:spacing w:before="240" w:after="64" w:line="320" w:lineRule="auto"/>
      <w:jc w:val="left"/>
      <w:outlineLvl w:val="6"/>
    </w:pPr>
    <w:rPr>
      <w:b/>
      <w:bCs/>
      <w:sz w:val="24"/>
    </w:rPr>
  </w:style>
  <w:style w:type="paragraph" w:styleId="9">
    <w:name w:val="heading 8"/>
    <w:basedOn w:val="1"/>
    <w:next w:val="1"/>
    <w:link w:val="56"/>
    <w:qFormat/>
    <w:uiPriority w:val="0"/>
    <w:pPr>
      <w:keepNext/>
      <w:keepLines/>
      <w:widowControl/>
      <w:spacing w:before="240" w:after="64" w:line="320" w:lineRule="auto"/>
      <w:jc w:val="left"/>
      <w:outlineLvl w:val="7"/>
    </w:pPr>
    <w:rPr>
      <w:rFonts w:ascii="Arial" w:hAnsi="Arial" w:eastAsia="黑体"/>
      <w:sz w:val="24"/>
    </w:rPr>
  </w:style>
  <w:style w:type="paragraph" w:styleId="10">
    <w:name w:val="heading 9"/>
    <w:basedOn w:val="1"/>
    <w:next w:val="1"/>
    <w:link w:val="57"/>
    <w:qFormat/>
    <w:uiPriority w:val="0"/>
    <w:pPr>
      <w:keepNext/>
      <w:keepLines/>
      <w:widowControl/>
      <w:spacing w:before="240" w:after="64" w:line="320" w:lineRule="auto"/>
      <w:jc w:val="left"/>
      <w:outlineLvl w:val="8"/>
    </w:pPr>
    <w:rPr>
      <w:rFonts w:ascii="Arial" w:hAnsi="Arial" w:eastAsia="黑体"/>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107"/>
    <w:qFormat/>
    <w:uiPriority w:val="0"/>
    <w:pPr>
      <w:ind w:firstLine="420" w:firstLineChars="200"/>
    </w:pPr>
    <w:rPr>
      <w:szCs w:val="21"/>
    </w:rPr>
  </w:style>
  <w:style w:type="paragraph" w:styleId="13">
    <w:name w:val="Document Map"/>
    <w:basedOn w:val="1"/>
    <w:link w:val="89"/>
    <w:qFormat/>
    <w:uiPriority w:val="0"/>
    <w:pPr>
      <w:shd w:val="clear" w:color="auto" w:fill="000080"/>
    </w:pPr>
    <w:rPr>
      <w:szCs w:val="20"/>
    </w:rPr>
  </w:style>
  <w:style w:type="paragraph" w:styleId="14">
    <w:name w:val="annotation text"/>
    <w:basedOn w:val="1"/>
    <w:link w:val="64"/>
    <w:qFormat/>
    <w:uiPriority w:val="0"/>
    <w:pPr>
      <w:jc w:val="left"/>
    </w:pPr>
    <w:rPr>
      <w:rFonts w:asciiTheme="minorHAnsi" w:hAnsiTheme="minorHAnsi" w:eastAsiaTheme="minorEastAsia" w:cstheme="minorBidi"/>
    </w:rPr>
  </w:style>
  <w:style w:type="paragraph" w:styleId="15">
    <w:name w:val="Body Text 3"/>
    <w:basedOn w:val="1"/>
    <w:link w:val="82"/>
    <w:qFormat/>
    <w:uiPriority w:val="0"/>
    <w:pPr>
      <w:spacing w:after="120"/>
    </w:pPr>
    <w:rPr>
      <w:sz w:val="16"/>
      <w:szCs w:val="16"/>
    </w:rPr>
  </w:style>
  <w:style w:type="paragraph" w:styleId="16">
    <w:name w:val="Body Text"/>
    <w:basedOn w:val="1"/>
    <w:link w:val="92"/>
    <w:qFormat/>
    <w:uiPriority w:val="0"/>
    <w:pPr>
      <w:spacing w:after="120"/>
    </w:pPr>
  </w:style>
  <w:style w:type="paragraph" w:styleId="17">
    <w:name w:val="Body Text Indent"/>
    <w:basedOn w:val="1"/>
    <w:link w:val="77"/>
    <w:qFormat/>
    <w:uiPriority w:val="0"/>
    <w:pPr>
      <w:spacing w:line="560" w:lineRule="exact"/>
      <w:ind w:left="300"/>
    </w:pPr>
    <w:rPr>
      <w:sz w:val="24"/>
    </w:rPr>
  </w:style>
  <w:style w:type="paragraph" w:styleId="18">
    <w:name w:val="toc 5"/>
    <w:basedOn w:val="1"/>
    <w:next w:val="1"/>
    <w:qFormat/>
    <w:uiPriority w:val="39"/>
    <w:pPr>
      <w:ind w:left="840"/>
      <w:jc w:val="left"/>
    </w:pPr>
    <w:rPr>
      <w:rFonts w:ascii="Calibri" w:hAnsi="Calibri" w:cs="Calibri"/>
      <w:sz w:val="18"/>
      <w:szCs w:val="18"/>
    </w:rPr>
  </w:style>
  <w:style w:type="paragraph" w:styleId="19">
    <w:name w:val="toc 3"/>
    <w:basedOn w:val="1"/>
    <w:next w:val="1"/>
    <w:qFormat/>
    <w:uiPriority w:val="39"/>
    <w:pPr>
      <w:spacing w:before="120" w:after="120"/>
      <w:ind w:left="420"/>
      <w:jc w:val="left"/>
    </w:pPr>
    <w:rPr>
      <w:rFonts w:ascii="Calibri" w:hAnsi="Calibri" w:cs="Calibri"/>
      <w:iCs/>
      <w:szCs w:val="20"/>
    </w:rPr>
  </w:style>
  <w:style w:type="paragraph" w:styleId="20">
    <w:name w:val="Plain Text"/>
    <w:basedOn w:val="1"/>
    <w:link w:val="63"/>
    <w:qFormat/>
    <w:uiPriority w:val="0"/>
    <w:rPr>
      <w:rFonts w:ascii="宋体" w:hAnsi="Courier New" w:cs="Courier New" w:eastAsiaTheme="minorEastAsia"/>
      <w:szCs w:val="21"/>
    </w:rPr>
  </w:style>
  <w:style w:type="paragraph" w:styleId="21">
    <w:name w:val="toc 8"/>
    <w:basedOn w:val="1"/>
    <w:next w:val="1"/>
    <w:qFormat/>
    <w:uiPriority w:val="39"/>
    <w:pPr>
      <w:ind w:left="1470"/>
      <w:jc w:val="left"/>
    </w:pPr>
    <w:rPr>
      <w:rFonts w:ascii="Calibri" w:hAnsi="Calibri" w:cs="Calibri"/>
      <w:sz w:val="18"/>
      <w:szCs w:val="18"/>
    </w:rPr>
  </w:style>
  <w:style w:type="paragraph" w:styleId="22">
    <w:name w:val="Date"/>
    <w:basedOn w:val="1"/>
    <w:next w:val="1"/>
    <w:link w:val="95"/>
    <w:qFormat/>
    <w:uiPriority w:val="0"/>
    <w:pPr>
      <w:widowControl/>
    </w:pPr>
    <w:rPr>
      <w:rFonts w:ascii="宋体"/>
      <w:szCs w:val="20"/>
    </w:rPr>
  </w:style>
  <w:style w:type="paragraph" w:styleId="23">
    <w:name w:val="Body Text Indent 2"/>
    <w:basedOn w:val="1"/>
    <w:link w:val="93"/>
    <w:qFormat/>
    <w:uiPriority w:val="0"/>
    <w:pPr>
      <w:spacing w:line="540" w:lineRule="exact"/>
      <w:ind w:left="462" w:leftChars="220"/>
    </w:pPr>
    <w:rPr>
      <w:sz w:val="24"/>
    </w:rPr>
  </w:style>
  <w:style w:type="paragraph" w:styleId="24">
    <w:name w:val="endnote text"/>
    <w:basedOn w:val="1"/>
    <w:link w:val="139"/>
    <w:unhideWhenUsed/>
    <w:qFormat/>
    <w:uiPriority w:val="99"/>
    <w:pPr>
      <w:adjustRightInd/>
      <w:snapToGrid w:val="0"/>
      <w:spacing w:line="240" w:lineRule="auto"/>
      <w:jc w:val="left"/>
      <w:textAlignment w:val="auto"/>
    </w:pPr>
    <w:rPr>
      <w:rFonts w:ascii="宋体" w:hAnsi="宋体"/>
      <w:sz w:val="28"/>
      <w:szCs w:val="28"/>
    </w:rPr>
  </w:style>
  <w:style w:type="paragraph" w:styleId="25">
    <w:name w:val="Balloon Text"/>
    <w:basedOn w:val="1"/>
    <w:link w:val="60"/>
    <w:qFormat/>
    <w:uiPriority w:val="0"/>
    <w:rPr>
      <w:rFonts w:asciiTheme="minorHAnsi" w:hAnsiTheme="minorHAnsi" w:cstheme="minorBidi"/>
      <w:sz w:val="18"/>
      <w:szCs w:val="22"/>
    </w:rPr>
  </w:style>
  <w:style w:type="paragraph" w:styleId="26">
    <w:name w:val="footer"/>
    <w:basedOn w:val="1"/>
    <w:link w:val="48"/>
    <w:unhideWhenUsed/>
    <w:qFormat/>
    <w:uiPriority w:val="0"/>
    <w:pPr>
      <w:tabs>
        <w:tab w:val="center" w:pos="4153"/>
        <w:tab w:val="right" w:pos="8306"/>
      </w:tabs>
      <w:snapToGrid w:val="0"/>
      <w:jc w:val="left"/>
    </w:pPr>
    <w:rPr>
      <w:sz w:val="18"/>
      <w:szCs w:val="18"/>
    </w:rPr>
  </w:style>
  <w:style w:type="paragraph" w:styleId="27">
    <w:name w:val="header"/>
    <w:basedOn w:val="1"/>
    <w:link w:val="47"/>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toc 6"/>
    <w:basedOn w:val="1"/>
    <w:next w:val="1"/>
    <w:qFormat/>
    <w:uiPriority w:val="39"/>
    <w:pPr>
      <w:ind w:left="1050"/>
      <w:jc w:val="left"/>
    </w:pPr>
    <w:rPr>
      <w:rFonts w:ascii="Calibri" w:hAnsi="Calibri" w:cs="Calibri"/>
      <w:sz w:val="18"/>
      <w:szCs w:val="18"/>
    </w:rPr>
  </w:style>
  <w:style w:type="paragraph" w:styleId="31">
    <w:name w:val="Body Text Indent 3"/>
    <w:basedOn w:val="1"/>
    <w:link w:val="98"/>
    <w:qFormat/>
    <w:uiPriority w:val="0"/>
    <w:pPr>
      <w:spacing w:after="120"/>
      <w:ind w:left="420" w:leftChars="200"/>
    </w:pPr>
    <w:rPr>
      <w:sz w:val="16"/>
      <w:szCs w:val="16"/>
    </w:rPr>
  </w:style>
  <w:style w:type="paragraph" w:styleId="32">
    <w:name w:val="toc 2"/>
    <w:basedOn w:val="1"/>
    <w:next w:val="1"/>
    <w:qFormat/>
    <w:uiPriority w:val="39"/>
    <w:pPr>
      <w:spacing w:before="120" w:after="120"/>
      <w:ind w:left="210"/>
      <w:jc w:val="left"/>
    </w:pPr>
    <w:rPr>
      <w:rFonts w:ascii="Calibri" w:hAnsi="Calibri" w:cs="Calibri"/>
      <w:smallCaps/>
      <w:szCs w:val="20"/>
    </w:rPr>
  </w:style>
  <w:style w:type="paragraph" w:styleId="33">
    <w:name w:val="toc 9"/>
    <w:basedOn w:val="1"/>
    <w:next w:val="1"/>
    <w:qFormat/>
    <w:uiPriority w:val="39"/>
    <w:pPr>
      <w:ind w:left="1680"/>
      <w:jc w:val="left"/>
    </w:pPr>
    <w:rPr>
      <w:rFonts w:ascii="Calibri" w:hAnsi="Calibri" w:cs="Calibri"/>
      <w:sz w:val="18"/>
      <w:szCs w:val="18"/>
    </w:rPr>
  </w:style>
  <w:style w:type="paragraph" w:styleId="34">
    <w:name w:val="HTML Preformatted"/>
    <w:basedOn w:val="1"/>
    <w:link w:val="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Cs w:val="20"/>
    </w:rPr>
  </w:style>
  <w:style w:type="paragraph" w:styleId="35">
    <w:name w:val="Normal (Web)"/>
    <w:basedOn w:val="1"/>
    <w:qFormat/>
    <w:uiPriority w:val="99"/>
    <w:pPr>
      <w:widowControl/>
      <w:spacing w:before="100" w:beforeAutospacing="1" w:after="100" w:afterAutospacing="1"/>
      <w:jc w:val="left"/>
    </w:pPr>
    <w:rPr>
      <w:rFonts w:ascii="宋体" w:hAnsi="宋体"/>
      <w:sz w:val="24"/>
    </w:rPr>
  </w:style>
  <w:style w:type="paragraph" w:styleId="36">
    <w:name w:val="annotation subject"/>
    <w:basedOn w:val="14"/>
    <w:next w:val="14"/>
    <w:link w:val="88"/>
    <w:semiHidden/>
    <w:qFormat/>
    <w:uiPriority w:val="0"/>
    <w:rPr>
      <w:b/>
      <w:bCs/>
    </w:rPr>
  </w:style>
  <w:style w:type="paragraph" w:styleId="37">
    <w:name w:val="Body Text First Indent"/>
    <w:basedOn w:val="16"/>
    <w:link w:val="116"/>
    <w:unhideWhenUsed/>
    <w:qFormat/>
    <w:uiPriority w:val="99"/>
    <w:pPr>
      <w:ind w:firstLine="420" w:firstLineChars="100"/>
    </w:p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basedOn w:val="40"/>
    <w:qFormat/>
    <w:uiPriority w:val="0"/>
  </w:style>
  <w:style w:type="character" w:styleId="43">
    <w:name w:val="FollowedHyperlink"/>
    <w:basedOn w:val="40"/>
    <w:semiHidden/>
    <w:unhideWhenUsed/>
    <w:qFormat/>
    <w:uiPriority w:val="99"/>
    <w:rPr>
      <w:color w:val="800080" w:themeColor="followedHyperlink"/>
      <w:u w:val="single"/>
      <w14:textFill>
        <w14:solidFill>
          <w14:schemeClr w14:val="folHlink"/>
        </w14:solidFill>
      </w14:textFill>
    </w:rPr>
  </w:style>
  <w:style w:type="character" w:styleId="44">
    <w:name w:val="Emphasis"/>
    <w:qFormat/>
    <w:uiPriority w:val="0"/>
    <w:rPr>
      <w:color w:val="CC0000"/>
    </w:rPr>
  </w:style>
  <w:style w:type="character" w:styleId="45">
    <w:name w:val="Hyperlink"/>
    <w:qFormat/>
    <w:uiPriority w:val="99"/>
    <w:rPr>
      <w:rFonts w:eastAsia="宋体"/>
      <w:color w:val="0000FF"/>
      <w:sz w:val="28"/>
      <w:u w:val="single"/>
    </w:rPr>
  </w:style>
  <w:style w:type="character" w:styleId="46">
    <w:name w:val="annotation reference"/>
    <w:qFormat/>
    <w:uiPriority w:val="0"/>
    <w:rPr>
      <w:sz w:val="21"/>
      <w:szCs w:val="21"/>
    </w:rPr>
  </w:style>
  <w:style w:type="character" w:customStyle="1" w:styleId="47">
    <w:name w:val="页眉 字符"/>
    <w:basedOn w:val="40"/>
    <w:link w:val="27"/>
    <w:qFormat/>
    <w:uiPriority w:val="0"/>
    <w:rPr>
      <w:sz w:val="18"/>
      <w:szCs w:val="18"/>
    </w:rPr>
  </w:style>
  <w:style w:type="character" w:customStyle="1" w:styleId="48">
    <w:name w:val="页脚 字符"/>
    <w:basedOn w:val="40"/>
    <w:link w:val="26"/>
    <w:qFormat/>
    <w:uiPriority w:val="0"/>
    <w:rPr>
      <w:sz w:val="18"/>
      <w:szCs w:val="18"/>
    </w:rPr>
  </w:style>
  <w:style w:type="character" w:customStyle="1" w:styleId="49">
    <w:name w:val="标题 1 字符"/>
    <w:basedOn w:val="40"/>
    <w:link w:val="2"/>
    <w:qFormat/>
    <w:uiPriority w:val="0"/>
    <w:rPr>
      <w:rFonts w:ascii="Times New Roman" w:hAnsi="Times New Roman" w:eastAsia="宋体" w:cs="Times New Roman"/>
      <w:b/>
      <w:bCs/>
      <w:kern w:val="0"/>
      <w:sz w:val="24"/>
      <w:szCs w:val="24"/>
    </w:rPr>
  </w:style>
  <w:style w:type="character" w:customStyle="1" w:styleId="50">
    <w:name w:val="标题 2 字符"/>
    <w:basedOn w:val="40"/>
    <w:link w:val="3"/>
    <w:qFormat/>
    <w:uiPriority w:val="0"/>
    <w:rPr>
      <w:rFonts w:ascii="Arial" w:hAnsi="Arial" w:eastAsia="黑体" w:cs="Times New Roman"/>
      <w:b/>
      <w:bCs/>
      <w:sz w:val="32"/>
      <w:szCs w:val="32"/>
    </w:rPr>
  </w:style>
  <w:style w:type="character" w:customStyle="1" w:styleId="51">
    <w:name w:val="标题 3 字符"/>
    <w:basedOn w:val="40"/>
    <w:link w:val="4"/>
    <w:qFormat/>
    <w:uiPriority w:val="0"/>
    <w:rPr>
      <w:rFonts w:ascii="楷体_GB2312" w:hAnsi="宋体" w:eastAsia="楷体_GB2312" w:cs="Times New Roman"/>
      <w:b/>
      <w:bCs/>
      <w:sz w:val="32"/>
      <w:szCs w:val="24"/>
    </w:rPr>
  </w:style>
  <w:style w:type="character" w:customStyle="1" w:styleId="52">
    <w:name w:val="标题 4 字符"/>
    <w:basedOn w:val="40"/>
    <w:link w:val="5"/>
    <w:qFormat/>
    <w:uiPriority w:val="0"/>
    <w:rPr>
      <w:rFonts w:ascii="Arial" w:hAnsi="Arial" w:eastAsia="黑体" w:cs="Times New Roman"/>
      <w:b/>
      <w:bCs/>
      <w:kern w:val="0"/>
      <w:sz w:val="28"/>
      <w:szCs w:val="28"/>
    </w:rPr>
  </w:style>
  <w:style w:type="character" w:customStyle="1" w:styleId="53">
    <w:name w:val="标题 5 字符"/>
    <w:basedOn w:val="40"/>
    <w:link w:val="6"/>
    <w:qFormat/>
    <w:uiPriority w:val="0"/>
    <w:rPr>
      <w:rFonts w:ascii="Times New Roman" w:hAnsi="Times New Roman" w:eastAsia="宋体" w:cs="Times New Roman"/>
      <w:b/>
      <w:bCs/>
      <w:kern w:val="0"/>
      <w:sz w:val="28"/>
      <w:szCs w:val="28"/>
    </w:rPr>
  </w:style>
  <w:style w:type="character" w:customStyle="1" w:styleId="54">
    <w:name w:val="标题 6 字符"/>
    <w:basedOn w:val="40"/>
    <w:link w:val="7"/>
    <w:qFormat/>
    <w:uiPriority w:val="0"/>
    <w:rPr>
      <w:rFonts w:ascii="Arial" w:hAnsi="Arial" w:eastAsia="黑体" w:cs="Times New Roman"/>
      <w:b/>
      <w:bCs/>
      <w:kern w:val="0"/>
      <w:sz w:val="24"/>
      <w:szCs w:val="24"/>
    </w:rPr>
  </w:style>
  <w:style w:type="character" w:customStyle="1" w:styleId="55">
    <w:name w:val="标题 7 字符"/>
    <w:basedOn w:val="40"/>
    <w:link w:val="8"/>
    <w:qFormat/>
    <w:uiPriority w:val="0"/>
    <w:rPr>
      <w:rFonts w:ascii="Times New Roman" w:hAnsi="Times New Roman" w:eastAsia="宋体" w:cs="Times New Roman"/>
      <w:b/>
      <w:bCs/>
      <w:kern w:val="0"/>
      <w:sz w:val="24"/>
      <w:szCs w:val="24"/>
    </w:rPr>
  </w:style>
  <w:style w:type="character" w:customStyle="1" w:styleId="56">
    <w:name w:val="标题 8 字符"/>
    <w:basedOn w:val="40"/>
    <w:link w:val="9"/>
    <w:qFormat/>
    <w:uiPriority w:val="0"/>
    <w:rPr>
      <w:rFonts w:ascii="Arial" w:hAnsi="Arial" w:eastAsia="黑体" w:cs="Times New Roman"/>
      <w:kern w:val="0"/>
      <w:sz w:val="24"/>
      <w:szCs w:val="24"/>
    </w:rPr>
  </w:style>
  <w:style w:type="character" w:customStyle="1" w:styleId="57">
    <w:name w:val="标题 9 字符"/>
    <w:basedOn w:val="40"/>
    <w:link w:val="10"/>
    <w:qFormat/>
    <w:uiPriority w:val="0"/>
    <w:rPr>
      <w:rFonts w:ascii="Arial" w:hAnsi="Arial" w:eastAsia="黑体" w:cs="Times New Roman"/>
      <w:kern w:val="0"/>
      <w:szCs w:val="21"/>
    </w:rPr>
  </w:style>
  <w:style w:type="character" w:customStyle="1" w:styleId="58">
    <w:name w:val="f141"/>
    <w:qFormat/>
    <w:uiPriority w:val="0"/>
    <w:rPr>
      <w:sz w:val="21"/>
      <w:szCs w:val="21"/>
    </w:rPr>
  </w:style>
  <w:style w:type="character" w:customStyle="1" w:styleId="59">
    <w:name w:val="p141"/>
    <w:qFormat/>
    <w:uiPriority w:val="0"/>
    <w:rPr>
      <w:sz w:val="21"/>
      <w:szCs w:val="21"/>
    </w:rPr>
  </w:style>
  <w:style w:type="character" w:customStyle="1" w:styleId="60">
    <w:name w:val="批注框文本 字符"/>
    <w:link w:val="25"/>
    <w:qFormat/>
    <w:locked/>
    <w:uiPriority w:val="0"/>
    <w:rPr>
      <w:rFonts w:eastAsia="宋体"/>
      <w:sz w:val="18"/>
    </w:rPr>
  </w:style>
  <w:style w:type="paragraph" w:customStyle="1" w:styleId="61">
    <w:name w:val="_Style 33"/>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customStyle="1" w:styleId="62">
    <w:name w:val="s10pv000000"/>
    <w:basedOn w:val="40"/>
    <w:qFormat/>
    <w:uiPriority w:val="0"/>
  </w:style>
  <w:style w:type="character" w:customStyle="1" w:styleId="63">
    <w:name w:val="纯文本 字符"/>
    <w:link w:val="20"/>
    <w:qFormat/>
    <w:uiPriority w:val="0"/>
    <w:rPr>
      <w:rFonts w:ascii="宋体" w:hAnsi="Courier New" w:cs="Courier New"/>
      <w:szCs w:val="21"/>
    </w:rPr>
  </w:style>
  <w:style w:type="character" w:customStyle="1" w:styleId="64">
    <w:name w:val="批注文字 字符"/>
    <w:link w:val="14"/>
    <w:qFormat/>
    <w:uiPriority w:val="0"/>
    <w:rPr>
      <w:szCs w:val="24"/>
    </w:rPr>
  </w:style>
  <w:style w:type="paragraph" w:customStyle="1" w:styleId="65">
    <w:name w:val="样式 标题 4 + 段前: 5 磅 段后: 5 磅 行距: 单倍行距"/>
    <w:basedOn w:val="5"/>
    <w:qFormat/>
    <w:uiPriority w:val="0"/>
    <w:pPr>
      <w:widowControl w:val="0"/>
      <w:tabs>
        <w:tab w:val="left" w:pos="1680"/>
      </w:tabs>
      <w:spacing w:before="100" w:after="100" w:line="240" w:lineRule="auto"/>
      <w:ind w:left="1680" w:hanging="420"/>
    </w:pPr>
    <w:rPr>
      <w:bCs w:val="0"/>
      <w:szCs w:val="20"/>
    </w:rPr>
  </w:style>
  <w:style w:type="paragraph" w:customStyle="1" w:styleId="66">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67">
    <w:name w:val="基准标题"/>
    <w:basedOn w:val="16"/>
    <w:next w:val="16"/>
    <w:qFormat/>
    <w:uiPriority w:val="0"/>
    <w:pPr>
      <w:keepNext/>
      <w:keepLines/>
      <w:widowControl/>
      <w:spacing w:after="0" w:line="240" w:lineRule="atLeast"/>
      <w:jc w:val="left"/>
    </w:pPr>
    <w:rPr>
      <w:rFonts w:ascii="Garamond" w:hAnsi="Garamond"/>
      <w:kern w:val="20"/>
      <w:sz w:val="22"/>
      <w:szCs w:val="20"/>
      <w:lang w:bidi="he-IL"/>
    </w:rPr>
  </w:style>
  <w:style w:type="paragraph" w:customStyle="1" w:styleId="68">
    <w:name w:val="表格"/>
    <w:basedOn w:val="1"/>
    <w:qFormat/>
    <w:uiPriority w:val="0"/>
    <w:pPr>
      <w:spacing w:line="420" w:lineRule="exact"/>
      <w:ind w:left="84" w:leftChars="40"/>
      <w:jc w:val="center"/>
    </w:pPr>
    <w:rPr>
      <w:rFonts w:ascii="宋体" w:hAnsi="宋体"/>
      <w:bCs/>
      <w:spacing w:val="-12"/>
    </w:rPr>
  </w:style>
  <w:style w:type="paragraph" w:customStyle="1" w:styleId="69">
    <w:name w:val="font6"/>
    <w:basedOn w:val="1"/>
    <w:qFormat/>
    <w:uiPriority w:val="0"/>
    <w:pPr>
      <w:widowControl/>
      <w:spacing w:before="100" w:beforeAutospacing="1" w:after="100" w:afterAutospacing="1"/>
      <w:jc w:val="left"/>
    </w:pPr>
    <w:rPr>
      <w:rFonts w:hint="eastAsia" w:ascii="宋体" w:hAnsi="宋体"/>
      <w:sz w:val="24"/>
    </w:rPr>
  </w:style>
  <w:style w:type="paragraph" w:customStyle="1" w:styleId="70">
    <w:name w:val="样式4"/>
    <w:basedOn w:val="1"/>
    <w:qFormat/>
    <w:uiPriority w:val="0"/>
    <w:pPr>
      <w:tabs>
        <w:tab w:val="left" w:pos="2328"/>
      </w:tabs>
      <w:ind w:left="2328" w:hanging="708"/>
    </w:pPr>
  </w:style>
  <w:style w:type="paragraph" w:customStyle="1" w:styleId="7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72">
    <w:name w:val="3 Char"/>
    <w:basedOn w:val="1"/>
    <w:qFormat/>
    <w:uiPriority w:val="0"/>
    <w:pPr>
      <w:widowControl/>
      <w:spacing w:line="400" w:lineRule="exact"/>
      <w:jc w:val="center"/>
    </w:pPr>
    <w:rPr>
      <w:rFonts w:ascii="Verdana" w:hAnsi="Verdana"/>
      <w:szCs w:val="20"/>
      <w:lang w:eastAsia="en-US"/>
    </w:rPr>
  </w:style>
  <w:style w:type="character" w:customStyle="1" w:styleId="73">
    <w:name w:val="批注文字 Char1"/>
    <w:basedOn w:val="40"/>
    <w:semiHidden/>
    <w:qFormat/>
    <w:uiPriority w:val="99"/>
    <w:rPr>
      <w:rFonts w:ascii="Times New Roman" w:hAnsi="Times New Roman" w:eastAsia="宋体" w:cs="Times New Roman"/>
      <w:szCs w:val="24"/>
    </w:rPr>
  </w:style>
  <w:style w:type="paragraph" w:customStyle="1" w:styleId="74">
    <w:name w:val="样式 标题 2 + 宋体 五号 非加粗 黑色"/>
    <w:basedOn w:val="3"/>
    <w:qFormat/>
    <w:uiPriority w:val="0"/>
    <w:pPr>
      <w:tabs>
        <w:tab w:val="left" w:pos="840"/>
      </w:tabs>
      <w:spacing w:line="416" w:lineRule="atLeast"/>
      <w:ind w:left="840" w:hanging="420"/>
      <w:jc w:val="left"/>
    </w:pPr>
    <w:rPr>
      <w:rFonts w:ascii="宋体" w:hAnsi="宋体" w:eastAsia="宋体"/>
      <w:b w:val="0"/>
      <w:bCs w:val="0"/>
      <w:color w:val="000000"/>
      <w:sz w:val="21"/>
      <w:szCs w:val="20"/>
    </w:rPr>
  </w:style>
  <w:style w:type="paragraph" w:customStyle="1" w:styleId="75">
    <w:name w:val="xl29"/>
    <w:basedOn w:val="1"/>
    <w:qFormat/>
    <w:uiPriority w:val="0"/>
    <w:pPr>
      <w:widowControl/>
      <w:spacing w:before="100" w:beforeAutospacing="1" w:after="100" w:afterAutospacing="1"/>
      <w:jc w:val="center"/>
    </w:pPr>
    <w:rPr>
      <w:rFonts w:ascii="宋体" w:hAnsi="宋体"/>
      <w:sz w:val="28"/>
      <w:szCs w:val="28"/>
    </w:rPr>
  </w:style>
  <w:style w:type="paragraph" w:customStyle="1" w:styleId="76">
    <w:name w:val="图"/>
    <w:basedOn w:val="1"/>
    <w:qFormat/>
    <w:uiPriority w:val="0"/>
    <w:pPr>
      <w:keepNext/>
      <w:spacing w:before="60" w:after="60" w:line="300" w:lineRule="auto"/>
      <w:jc w:val="center"/>
      <w:textAlignment w:val="center"/>
    </w:pPr>
    <w:rPr>
      <w:snapToGrid w:val="0"/>
      <w:spacing w:val="20"/>
      <w:sz w:val="24"/>
      <w:szCs w:val="20"/>
    </w:rPr>
  </w:style>
  <w:style w:type="character" w:customStyle="1" w:styleId="77">
    <w:name w:val="正文文本缩进 字符"/>
    <w:basedOn w:val="40"/>
    <w:link w:val="17"/>
    <w:qFormat/>
    <w:uiPriority w:val="0"/>
    <w:rPr>
      <w:rFonts w:ascii="Times New Roman" w:hAnsi="Times New Roman" w:eastAsia="宋体" w:cs="Times New Roman"/>
      <w:sz w:val="24"/>
      <w:szCs w:val="24"/>
    </w:rPr>
  </w:style>
  <w:style w:type="paragraph" w:customStyle="1" w:styleId="78">
    <w:name w:val="设计方案"/>
    <w:basedOn w:val="1"/>
    <w:qFormat/>
    <w:uiPriority w:val="0"/>
    <w:pPr>
      <w:widowControl/>
      <w:tabs>
        <w:tab w:val="left" w:pos="425"/>
      </w:tabs>
      <w:spacing w:after="160" w:line="240" w:lineRule="exact"/>
      <w:ind w:left="425" w:hanging="425"/>
      <w:jc w:val="left"/>
    </w:pPr>
    <w:rPr>
      <w:rFonts w:ascii="Verdana" w:hAnsi="Verdana"/>
      <w:szCs w:val="20"/>
      <w:lang w:eastAsia="en-US"/>
    </w:rPr>
  </w:style>
  <w:style w:type="paragraph" w:customStyle="1" w:styleId="79">
    <w:name w:val="Char1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4"/>
    </w:rPr>
  </w:style>
  <w:style w:type="paragraph" w:customStyle="1" w:styleId="81">
    <w:name w:val="样式1"/>
    <w:basedOn w:val="1"/>
    <w:qFormat/>
    <w:uiPriority w:val="0"/>
    <w:pPr>
      <w:tabs>
        <w:tab w:val="left" w:pos="425"/>
        <w:tab w:val="left" w:pos="709"/>
      </w:tabs>
      <w:ind w:left="425" w:hanging="425"/>
    </w:pPr>
    <w:rPr>
      <w:rFonts w:ascii="宋体" w:hAnsi="宋体"/>
      <w:szCs w:val="20"/>
    </w:rPr>
  </w:style>
  <w:style w:type="character" w:customStyle="1" w:styleId="82">
    <w:name w:val="正文文本 3 字符"/>
    <w:basedOn w:val="40"/>
    <w:link w:val="15"/>
    <w:qFormat/>
    <w:uiPriority w:val="0"/>
    <w:rPr>
      <w:rFonts w:ascii="Times New Roman" w:hAnsi="Times New Roman" w:eastAsia="宋体" w:cs="Times New Roman"/>
      <w:sz w:val="16"/>
      <w:szCs w:val="16"/>
    </w:rPr>
  </w:style>
  <w:style w:type="paragraph" w:customStyle="1" w:styleId="83">
    <w:name w:val="head"/>
    <w:basedOn w:val="1"/>
    <w:qFormat/>
    <w:uiPriority w:val="0"/>
    <w:pPr>
      <w:widowControl/>
      <w:spacing w:before="100" w:beforeAutospacing="1" w:after="100" w:afterAutospacing="1"/>
      <w:jc w:val="center"/>
    </w:pPr>
    <w:rPr>
      <w:rFonts w:hint="eastAsia" w:ascii="黑体" w:hAnsi="宋体" w:eastAsia="黑体"/>
      <w:b/>
      <w:bCs/>
      <w:sz w:val="28"/>
      <w:szCs w:val="28"/>
    </w:rPr>
  </w:style>
  <w:style w:type="paragraph" w:styleId="84">
    <w:name w:val="List Paragraph"/>
    <w:basedOn w:val="1"/>
    <w:link w:val="115"/>
    <w:qFormat/>
    <w:uiPriority w:val="0"/>
    <w:pPr>
      <w:ind w:firstLine="420" w:firstLineChars="200"/>
    </w:pPr>
  </w:style>
  <w:style w:type="paragraph" w:customStyle="1" w:styleId="85">
    <w:name w:val="默认段落字体 Para Char Char Char Char"/>
    <w:basedOn w:val="1"/>
    <w:qFormat/>
    <w:uiPriority w:val="0"/>
    <w:rPr>
      <w:szCs w:val="20"/>
    </w:rPr>
  </w:style>
  <w:style w:type="paragraph" w:customStyle="1" w:styleId="86">
    <w:name w:val="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87">
    <w:name w:val="font0"/>
    <w:basedOn w:val="1"/>
    <w:qFormat/>
    <w:uiPriority w:val="0"/>
    <w:pPr>
      <w:widowControl/>
      <w:spacing w:before="100" w:beforeAutospacing="1" w:after="100" w:afterAutospacing="1"/>
      <w:jc w:val="left"/>
    </w:pPr>
    <w:rPr>
      <w:rFonts w:hint="eastAsia" w:ascii="宋体" w:hAnsi="宋体"/>
      <w:sz w:val="24"/>
    </w:rPr>
  </w:style>
  <w:style w:type="character" w:customStyle="1" w:styleId="88">
    <w:name w:val="批注主题 字符"/>
    <w:basedOn w:val="73"/>
    <w:link w:val="36"/>
    <w:semiHidden/>
    <w:qFormat/>
    <w:uiPriority w:val="0"/>
    <w:rPr>
      <w:rFonts w:ascii="Times New Roman" w:hAnsi="Times New Roman" w:eastAsia="宋体" w:cs="Times New Roman"/>
      <w:b/>
      <w:bCs/>
      <w:szCs w:val="24"/>
    </w:rPr>
  </w:style>
  <w:style w:type="character" w:customStyle="1" w:styleId="89">
    <w:name w:val="文档结构图 字符"/>
    <w:basedOn w:val="40"/>
    <w:link w:val="13"/>
    <w:qFormat/>
    <w:uiPriority w:val="0"/>
    <w:rPr>
      <w:rFonts w:ascii="Times New Roman" w:hAnsi="Times New Roman" w:eastAsia="宋体" w:cs="Times New Roman"/>
      <w:szCs w:val="20"/>
      <w:shd w:val="clear" w:color="auto" w:fill="000080"/>
    </w:rPr>
  </w:style>
  <w:style w:type="paragraph" w:customStyle="1" w:styleId="90">
    <w:name w:val="Char Char Char Char Char Char Char"/>
    <w:basedOn w:val="1"/>
    <w:qFormat/>
    <w:uiPriority w:val="0"/>
    <w:rPr>
      <w:rFonts w:ascii="Tahoma" w:hAnsi="Tahoma" w:cs="Tahoma"/>
      <w:sz w:val="30"/>
      <w:szCs w:val="30"/>
    </w:rPr>
  </w:style>
  <w:style w:type="paragraph" w:customStyle="1" w:styleId="91">
    <w:name w:val="样式 标题 3h3H3sect1.2.3 + 五号 段前: 6 磅 段后: 6 磅 行距: 单倍行距"/>
    <w:basedOn w:val="4"/>
    <w:qFormat/>
    <w:uiPriority w:val="0"/>
    <w:pPr>
      <w:keepLines/>
      <w:tabs>
        <w:tab w:val="left" w:pos="1260"/>
      </w:tabs>
      <w:spacing w:before="120" w:after="120"/>
      <w:ind w:left="1260" w:hanging="420"/>
      <w:jc w:val="left"/>
    </w:pPr>
    <w:rPr>
      <w:rFonts w:ascii="Times New Roman" w:hAnsi="Times New Roman" w:eastAsia="宋体"/>
      <w:bCs w:val="0"/>
      <w:sz w:val="21"/>
      <w:szCs w:val="20"/>
    </w:rPr>
  </w:style>
  <w:style w:type="character" w:customStyle="1" w:styleId="92">
    <w:name w:val="正文文本 字符"/>
    <w:basedOn w:val="40"/>
    <w:link w:val="16"/>
    <w:qFormat/>
    <w:uiPriority w:val="0"/>
    <w:rPr>
      <w:rFonts w:ascii="Times New Roman" w:hAnsi="Times New Roman" w:eastAsia="宋体" w:cs="Times New Roman"/>
      <w:szCs w:val="24"/>
    </w:rPr>
  </w:style>
  <w:style w:type="character" w:customStyle="1" w:styleId="93">
    <w:name w:val="正文文本缩进 2 字符"/>
    <w:basedOn w:val="40"/>
    <w:link w:val="23"/>
    <w:qFormat/>
    <w:uiPriority w:val="0"/>
    <w:rPr>
      <w:rFonts w:ascii="Times New Roman" w:hAnsi="Times New Roman" w:eastAsia="宋体" w:cs="Times New Roman"/>
      <w:sz w:val="24"/>
      <w:szCs w:val="24"/>
    </w:rPr>
  </w:style>
  <w:style w:type="character" w:customStyle="1" w:styleId="94">
    <w:name w:val="纯文本 Char1"/>
    <w:basedOn w:val="40"/>
    <w:qFormat/>
    <w:uiPriority w:val="0"/>
    <w:rPr>
      <w:rFonts w:ascii="宋体" w:hAnsi="Courier New" w:eastAsia="宋体" w:cs="Courier New"/>
      <w:szCs w:val="21"/>
    </w:rPr>
  </w:style>
  <w:style w:type="character" w:customStyle="1" w:styleId="95">
    <w:name w:val="日期 字符"/>
    <w:basedOn w:val="40"/>
    <w:link w:val="22"/>
    <w:qFormat/>
    <w:uiPriority w:val="0"/>
    <w:rPr>
      <w:rFonts w:ascii="宋体" w:hAnsi="Times New Roman" w:eastAsia="宋体" w:cs="Times New Roman"/>
      <w:kern w:val="0"/>
      <w:szCs w:val="20"/>
    </w:rPr>
  </w:style>
  <w:style w:type="character" w:customStyle="1" w:styleId="96">
    <w:name w:val="批注框文本 Char1"/>
    <w:basedOn w:val="40"/>
    <w:semiHidden/>
    <w:qFormat/>
    <w:uiPriority w:val="99"/>
    <w:rPr>
      <w:rFonts w:ascii="Times New Roman" w:hAnsi="Times New Roman" w:eastAsia="宋体" w:cs="Times New Roman"/>
      <w:sz w:val="18"/>
      <w:szCs w:val="18"/>
    </w:rPr>
  </w:style>
  <w:style w:type="character" w:customStyle="1" w:styleId="97">
    <w:name w:val="HTML 预设格式 字符"/>
    <w:basedOn w:val="40"/>
    <w:link w:val="34"/>
    <w:qFormat/>
    <w:uiPriority w:val="0"/>
    <w:rPr>
      <w:rFonts w:ascii="黑体" w:hAnsi="Courier New" w:eastAsia="黑体" w:cs="Courier New"/>
      <w:kern w:val="0"/>
      <w:sz w:val="20"/>
      <w:szCs w:val="20"/>
    </w:rPr>
  </w:style>
  <w:style w:type="character" w:customStyle="1" w:styleId="98">
    <w:name w:val="正文文本缩进 3 字符"/>
    <w:basedOn w:val="40"/>
    <w:link w:val="31"/>
    <w:qFormat/>
    <w:uiPriority w:val="0"/>
    <w:rPr>
      <w:rFonts w:ascii="Times New Roman" w:hAnsi="Times New Roman" w:eastAsia="宋体" w:cs="Times New Roman"/>
      <w:sz w:val="16"/>
      <w:szCs w:val="16"/>
    </w:rPr>
  </w:style>
  <w:style w:type="paragraph" w:customStyle="1" w:styleId="99">
    <w:name w:val="Char1 Char Char Char"/>
    <w:basedOn w:val="1"/>
    <w:qFormat/>
    <w:uiPriority w:val="0"/>
    <w:rPr>
      <w:szCs w:val="20"/>
    </w:rPr>
  </w:style>
  <w:style w:type="paragraph" w:customStyle="1" w:styleId="100">
    <w:name w:val="Char1"/>
    <w:basedOn w:val="1"/>
    <w:qFormat/>
    <w:uiPriority w:val="0"/>
    <w:pPr>
      <w:widowControl/>
      <w:spacing w:after="160" w:line="240" w:lineRule="exact"/>
      <w:jc w:val="left"/>
    </w:pPr>
    <w:rPr>
      <w:sz w:val="24"/>
    </w:rPr>
  </w:style>
  <w:style w:type="paragraph" w:customStyle="1" w:styleId="101">
    <w:name w:val="默认段落字体 Para Char"/>
    <w:basedOn w:val="1"/>
    <w:qFormat/>
    <w:uiPriority w:val="0"/>
  </w:style>
  <w:style w:type="paragraph" w:customStyle="1" w:styleId="102">
    <w:name w:val="Char1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103">
    <w:name w:val="TOC 标题1"/>
    <w:basedOn w:val="2"/>
    <w:next w:val="1"/>
    <w:qFormat/>
    <w:uiPriority w:val="39"/>
    <w:pPr>
      <w:keepLines/>
      <w:spacing w:before="480" w:line="276" w:lineRule="auto"/>
      <w:outlineLvl w:val="9"/>
    </w:pPr>
    <w:rPr>
      <w:rFonts w:ascii="Cambria" w:hAnsi="Cambria"/>
      <w:color w:val="365F91"/>
      <w:sz w:val="28"/>
      <w:szCs w:val="28"/>
    </w:rPr>
  </w:style>
  <w:style w:type="paragraph" w:customStyle="1" w:styleId="104">
    <w:name w:val="Default"/>
    <w:qFormat/>
    <w:uiPriority w:val="0"/>
    <w:pPr>
      <w:widowControl w:val="0"/>
      <w:autoSpaceDE w:val="0"/>
      <w:autoSpaceDN w:val="0"/>
      <w:adjustRightInd w:val="0"/>
      <w:spacing w:line="360" w:lineRule="atLeast"/>
      <w:jc w:val="both"/>
      <w:textAlignment w:val="baseline"/>
    </w:pPr>
    <w:rPr>
      <w:rFonts w:ascii="宋体" w:hAnsi="Calibri" w:eastAsia="宋体" w:cs="Times New Roman"/>
      <w:color w:val="000000"/>
      <w:sz w:val="24"/>
      <w:szCs w:val="24"/>
      <w:lang w:val="en-US" w:eastAsia="zh-CN" w:bidi="ar-SA"/>
    </w:rPr>
  </w:style>
  <w:style w:type="paragraph" w:customStyle="1" w:styleId="105">
    <w:name w:val="普通(网站)1"/>
    <w:basedOn w:val="1"/>
    <w:qFormat/>
    <w:uiPriority w:val="0"/>
    <w:pPr>
      <w:widowControl/>
      <w:spacing w:before="100" w:beforeAutospacing="1" w:after="100" w:afterAutospacing="1"/>
      <w:jc w:val="left"/>
    </w:pPr>
    <w:rPr>
      <w:rFonts w:ascii="宋体" w:hAnsi="宋体"/>
      <w:sz w:val="24"/>
    </w:rPr>
  </w:style>
  <w:style w:type="paragraph" w:customStyle="1" w:styleId="106">
    <w:name w:val="Char Char2 Char"/>
    <w:basedOn w:val="1"/>
    <w:qFormat/>
    <w:uiPriority w:val="0"/>
    <w:rPr>
      <w:rFonts w:ascii="宋体" w:hAnsi="宋体"/>
      <w:b/>
      <w:sz w:val="28"/>
      <w:szCs w:val="28"/>
    </w:rPr>
  </w:style>
  <w:style w:type="character" w:customStyle="1" w:styleId="107">
    <w:name w:val="正文缩进 字符"/>
    <w:link w:val="12"/>
    <w:qFormat/>
    <w:uiPriority w:val="0"/>
    <w:rPr>
      <w:rFonts w:ascii="Times New Roman" w:hAnsi="Times New Roman" w:eastAsia="宋体" w:cs="Times New Roman"/>
      <w:szCs w:val="21"/>
    </w:rPr>
  </w:style>
  <w:style w:type="paragraph" w:customStyle="1" w:styleId="108">
    <w:name w:val="Char Char Char"/>
    <w:basedOn w:val="1"/>
    <w:qFormat/>
    <w:uiPriority w:val="0"/>
    <w:rPr>
      <w:rFonts w:ascii="宋体" w:hAnsi="宋体"/>
      <w:b/>
      <w:sz w:val="28"/>
      <w:szCs w:val="28"/>
    </w:rPr>
  </w:style>
  <w:style w:type="paragraph" w:customStyle="1" w:styleId="109">
    <w:name w:val="Char2"/>
    <w:basedOn w:val="1"/>
    <w:qFormat/>
    <w:uiPriority w:val="0"/>
    <w:pPr>
      <w:widowControl/>
      <w:spacing w:after="160" w:line="240" w:lineRule="exact"/>
      <w:jc w:val="left"/>
    </w:pPr>
    <w:rPr>
      <w:szCs w:val="20"/>
    </w:rPr>
  </w:style>
  <w:style w:type="paragraph" w:customStyle="1" w:styleId="110">
    <w:name w:val="a"/>
    <w:basedOn w:val="1"/>
    <w:qFormat/>
    <w:uiPriority w:val="0"/>
    <w:pPr>
      <w:widowControl/>
      <w:spacing w:before="100" w:beforeAutospacing="1" w:after="100" w:afterAutospacing="1"/>
      <w:jc w:val="left"/>
    </w:pPr>
    <w:rPr>
      <w:rFonts w:ascii="宋体" w:hAnsi="宋体" w:cs="宋体"/>
      <w:sz w:val="24"/>
    </w:rPr>
  </w:style>
  <w:style w:type="character" w:customStyle="1" w:styleId="111">
    <w:name w:val="明显参考1"/>
    <w:qFormat/>
    <w:uiPriority w:val="32"/>
    <w:rPr>
      <w:b/>
      <w:bCs/>
      <w:smallCaps/>
      <w:color w:val="C0504D"/>
      <w:spacing w:val="5"/>
      <w:u w:val="single"/>
    </w:rPr>
  </w:style>
  <w:style w:type="paragraph" w:customStyle="1" w:styleId="112">
    <w:name w:val="修订1"/>
    <w:hidden/>
    <w:semiHidden/>
    <w:qFormat/>
    <w:uiPriority w:val="99"/>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paragraph" w:customStyle="1" w:styleId="113">
    <w:name w:val="Char Char2 Char1"/>
    <w:basedOn w:val="1"/>
    <w:qFormat/>
    <w:uiPriority w:val="0"/>
    <w:rPr>
      <w:rFonts w:ascii="宋体" w:hAnsi="宋体"/>
      <w:b/>
      <w:sz w:val="28"/>
      <w:szCs w:val="28"/>
    </w:rPr>
  </w:style>
  <w:style w:type="character" w:customStyle="1" w:styleId="114">
    <w:name w:val="apple-converted-space"/>
    <w:basedOn w:val="40"/>
    <w:qFormat/>
    <w:uiPriority w:val="0"/>
  </w:style>
  <w:style w:type="character" w:customStyle="1" w:styleId="115">
    <w:name w:val="列表段落 字符"/>
    <w:link w:val="84"/>
    <w:qFormat/>
    <w:uiPriority w:val="34"/>
    <w:rPr>
      <w:rFonts w:ascii="Times New Roman" w:hAnsi="Times New Roman" w:eastAsia="宋体" w:cs="Times New Roman"/>
      <w:szCs w:val="24"/>
    </w:rPr>
  </w:style>
  <w:style w:type="character" w:customStyle="1" w:styleId="116">
    <w:name w:val="正文文本首行缩进 字符"/>
    <w:basedOn w:val="92"/>
    <w:link w:val="37"/>
    <w:qFormat/>
    <w:uiPriority w:val="99"/>
    <w:rPr>
      <w:rFonts w:ascii="Times New Roman" w:hAnsi="Times New Roman" w:eastAsia="宋体" w:cs="Times New Roman"/>
      <w:szCs w:val="24"/>
    </w:rPr>
  </w:style>
  <w:style w:type="paragraph" w:customStyle="1" w:styleId="117">
    <w:name w:val="标题 1_0"/>
    <w:next w:val="1"/>
    <w:qFormat/>
    <w:uiPriority w:val="0"/>
    <w:pPr>
      <w:keepNext/>
      <w:keepLines/>
      <w:widowControl w:val="0"/>
      <w:numPr>
        <w:ilvl w:val="0"/>
        <w:numId w:val="1"/>
      </w:numPr>
      <w:adjustRightInd w:val="0"/>
      <w:spacing w:line="360" w:lineRule="auto"/>
      <w:jc w:val="both"/>
      <w:textAlignment w:val="baseline"/>
      <w:outlineLvl w:val="0"/>
    </w:pPr>
    <w:rPr>
      <w:rFonts w:ascii="Cambria Math" w:hAnsi="Cambria Math" w:eastAsia="宋体" w:cs="Times New Roman"/>
      <w:b/>
      <w:bCs/>
      <w:kern w:val="44"/>
      <w:sz w:val="24"/>
      <w:szCs w:val="44"/>
      <w:lang w:val="en-US" w:eastAsia="zh-CN" w:bidi="ar-SA"/>
    </w:rPr>
  </w:style>
  <w:style w:type="paragraph" w:customStyle="1" w:styleId="118">
    <w:name w:val="标题 2_0"/>
    <w:basedOn w:val="1"/>
    <w:next w:val="1"/>
    <w:qFormat/>
    <w:uiPriority w:val="0"/>
    <w:pPr>
      <w:keepNext/>
      <w:keepLines/>
      <w:numPr>
        <w:ilvl w:val="1"/>
        <w:numId w:val="1"/>
      </w:numPr>
      <w:tabs>
        <w:tab w:val="left" w:pos="576"/>
      </w:tabs>
      <w:spacing w:line="360" w:lineRule="auto"/>
      <w:jc w:val="left"/>
      <w:outlineLvl w:val="1"/>
    </w:pPr>
    <w:rPr>
      <w:rFonts w:ascii="宋体" w:hAnsi="宋体"/>
      <w:b/>
      <w:bCs/>
      <w:sz w:val="24"/>
      <w:szCs w:val="36"/>
    </w:rPr>
  </w:style>
  <w:style w:type="paragraph" w:customStyle="1" w:styleId="119">
    <w:name w:val="标题 3_0"/>
    <w:basedOn w:val="1"/>
    <w:next w:val="1"/>
    <w:qFormat/>
    <w:uiPriority w:val="0"/>
    <w:pPr>
      <w:keepNext/>
      <w:keepLines/>
      <w:numPr>
        <w:ilvl w:val="2"/>
        <w:numId w:val="1"/>
      </w:numPr>
      <w:snapToGrid w:val="0"/>
      <w:spacing w:line="360" w:lineRule="auto"/>
      <w:jc w:val="left"/>
      <w:outlineLvl w:val="2"/>
    </w:pPr>
    <w:rPr>
      <w:rFonts w:ascii="宋体" w:hAnsi="宋体"/>
      <w:b/>
      <w:bCs/>
      <w:sz w:val="24"/>
      <w:szCs w:val="32"/>
    </w:rPr>
  </w:style>
  <w:style w:type="paragraph" w:customStyle="1" w:styleId="120">
    <w:name w:val="标题 5_0"/>
    <w:basedOn w:val="1"/>
    <w:next w:val="1"/>
    <w:qFormat/>
    <w:uiPriority w:val="9"/>
    <w:pPr>
      <w:keepNext/>
      <w:keepLines/>
      <w:numPr>
        <w:ilvl w:val="4"/>
        <w:numId w:val="1"/>
      </w:numPr>
      <w:spacing w:line="360" w:lineRule="auto"/>
      <w:jc w:val="left"/>
      <w:outlineLvl w:val="4"/>
    </w:pPr>
    <w:rPr>
      <w:rFonts w:ascii="宋体" w:hAnsi="宋体" w:cs="Cambria Math"/>
      <w:b/>
      <w:bCs/>
      <w:sz w:val="24"/>
      <w:szCs w:val="28"/>
    </w:rPr>
  </w:style>
  <w:style w:type="paragraph" w:customStyle="1" w:styleId="121">
    <w:name w:val="标题 6_0"/>
    <w:basedOn w:val="1"/>
    <w:next w:val="1"/>
    <w:qFormat/>
    <w:uiPriority w:val="9"/>
    <w:pPr>
      <w:keepNext/>
      <w:keepLines/>
      <w:numPr>
        <w:ilvl w:val="5"/>
        <w:numId w:val="1"/>
      </w:numPr>
      <w:spacing w:line="360" w:lineRule="auto"/>
      <w:jc w:val="left"/>
      <w:outlineLvl w:val="5"/>
    </w:pPr>
    <w:rPr>
      <w:rFonts w:ascii="Bodoni MT Condensed" w:hAnsi="Bodoni MT Condensed" w:cs="Cambria Math"/>
      <w:b/>
      <w:bCs/>
      <w:sz w:val="24"/>
    </w:rPr>
  </w:style>
  <w:style w:type="paragraph" w:customStyle="1" w:styleId="122">
    <w:name w:val="标题 7_0"/>
    <w:basedOn w:val="1"/>
    <w:next w:val="1"/>
    <w:qFormat/>
    <w:uiPriority w:val="9"/>
    <w:pPr>
      <w:keepNext/>
      <w:keepLines/>
      <w:numPr>
        <w:ilvl w:val="6"/>
        <w:numId w:val="1"/>
      </w:numPr>
      <w:spacing w:before="240" w:after="64" w:line="319" w:lineRule="auto"/>
      <w:outlineLvl w:val="6"/>
    </w:pPr>
    <w:rPr>
      <w:rFonts w:ascii="Cambria Math" w:hAnsi="Cambria Math" w:cs="Cambria Math"/>
      <w:b/>
      <w:bCs/>
      <w:sz w:val="24"/>
    </w:rPr>
  </w:style>
  <w:style w:type="paragraph" w:customStyle="1" w:styleId="123">
    <w:name w:val="标题 8_0"/>
    <w:basedOn w:val="1"/>
    <w:next w:val="1"/>
    <w:qFormat/>
    <w:uiPriority w:val="0"/>
    <w:pPr>
      <w:keepNext/>
      <w:keepLines/>
      <w:numPr>
        <w:ilvl w:val="7"/>
        <w:numId w:val="1"/>
      </w:numPr>
      <w:spacing w:before="240" w:after="64" w:line="319" w:lineRule="auto"/>
      <w:outlineLvl w:val="7"/>
    </w:pPr>
    <w:rPr>
      <w:rFonts w:ascii="Bodoni MT Condensed" w:hAnsi="Bodoni MT Condensed" w:cs="Cambria Math"/>
      <w:sz w:val="24"/>
    </w:rPr>
  </w:style>
  <w:style w:type="paragraph" w:customStyle="1" w:styleId="124">
    <w:name w:val="标题 9_0"/>
    <w:basedOn w:val="1"/>
    <w:next w:val="1"/>
    <w:qFormat/>
    <w:uiPriority w:val="0"/>
    <w:pPr>
      <w:keepNext/>
      <w:keepLines/>
      <w:numPr>
        <w:ilvl w:val="8"/>
        <w:numId w:val="1"/>
      </w:numPr>
      <w:spacing w:before="240" w:after="64" w:line="319" w:lineRule="auto"/>
      <w:outlineLvl w:val="8"/>
    </w:pPr>
    <w:rPr>
      <w:rFonts w:ascii="Bodoni MT Condensed" w:hAnsi="Bodoni MT Condensed" w:cs="Cambria Math"/>
      <w:sz w:val="24"/>
      <w:szCs w:val="21"/>
    </w:rPr>
  </w:style>
  <w:style w:type="paragraph" w:customStyle="1" w:styleId="125">
    <w:name w:val="正文_0_0"/>
    <w:qFormat/>
    <w:uiPriority w:val="0"/>
    <w:pPr>
      <w:widowControl w:val="0"/>
      <w:adjustRightInd w:val="0"/>
      <w:spacing w:line="360" w:lineRule="auto"/>
      <w:ind w:firstLine="200" w:firstLineChars="200"/>
      <w:jc w:val="both"/>
      <w:textAlignment w:val="baseline"/>
    </w:pPr>
    <w:rPr>
      <w:rFonts w:ascii="Cambria Math" w:hAnsi="Cambria Math" w:eastAsia="宋体" w:cs="Times New Roman"/>
      <w:sz w:val="24"/>
      <w:szCs w:val="24"/>
      <w:lang w:val="en-US" w:eastAsia="zh-CN" w:bidi="ar-SA"/>
    </w:rPr>
  </w:style>
  <w:style w:type="paragraph" w:customStyle="1" w:styleId="126">
    <w:name w:val="正文_1"/>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paragraph" w:customStyle="1" w:styleId="127">
    <w:name w:val="正文_2"/>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customStyle="1" w:styleId="128">
    <w:name w:val="p141_0"/>
    <w:qFormat/>
    <w:uiPriority w:val="0"/>
    <w:rPr>
      <w:rFonts w:ascii="Calibri" w:hAnsi="Calibri"/>
      <w:sz w:val="21"/>
      <w:szCs w:val="21"/>
    </w:rPr>
  </w:style>
  <w:style w:type="paragraph" w:customStyle="1" w:styleId="129">
    <w:name w:val="正文1"/>
    <w:qFormat/>
    <w:uiPriority w:val="0"/>
    <w:pPr>
      <w:widowControl w:val="0"/>
      <w:adjustRightInd w:val="0"/>
      <w:spacing w:line="360" w:lineRule="atLeast"/>
      <w:jc w:val="both"/>
      <w:textAlignment w:val="baseline"/>
    </w:pPr>
    <w:rPr>
      <w:rFonts w:hint="eastAsia" w:ascii="Calibri" w:hAnsi="Calibri" w:eastAsia="宋体" w:cs="Times New Roman"/>
      <w:lang w:val="en-US" w:eastAsia="zh-CN" w:bidi="ar-SA"/>
    </w:rPr>
  </w:style>
  <w:style w:type="paragraph" w:customStyle="1" w:styleId="130">
    <w:name w:val="Normal_13"/>
    <w:qFormat/>
    <w:uiPriority w:val="0"/>
    <w:pPr>
      <w:widowControl w:val="0"/>
      <w:adjustRightInd w:val="0"/>
      <w:spacing w:line="360" w:lineRule="atLeast"/>
      <w:jc w:val="both"/>
      <w:textAlignment w:val="baseline"/>
    </w:pPr>
    <w:rPr>
      <w:rFonts w:ascii="Times New Roman" w:hAnsi="Times New Roman" w:eastAsia="宋体" w:cs="Times New Roman"/>
      <w:lang w:val="en-US" w:eastAsia="zh-CN" w:bidi="ar-SA"/>
    </w:rPr>
  </w:style>
  <w:style w:type="paragraph" w:customStyle="1" w:styleId="131">
    <w:name w:val="样式1_1"/>
    <w:basedOn w:val="1"/>
    <w:link w:val="133"/>
    <w:qFormat/>
    <w:uiPriority w:val="0"/>
    <w:pPr>
      <w:keepNext/>
      <w:keepLines/>
      <w:widowControl/>
      <w:tabs>
        <w:tab w:val="left" w:pos="420"/>
      </w:tabs>
      <w:snapToGrid w:val="0"/>
      <w:spacing w:line="360" w:lineRule="auto"/>
      <w:ind w:left="420" w:hanging="420"/>
      <w:jc w:val="center"/>
      <w:outlineLvl w:val="1"/>
    </w:pPr>
    <w:rPr>
      <w:rFonts w:ascii="宋体" w:hAnsi="Arial"/>
      <w:b/>
      <w:sz w:val="32"/>
      <w:szCs w:val="20"/>
    </w:rPr>
  </w:style>
  <w:style w:type="paragraph" w:customStyle="1" w:styleId="132">
    <w:name w:val="正文_14"/>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customStyle="1" w:styleId="133">
    <w:name w:val="样式1 Char_1"/>
    <w:link w:val="131"/>
    <w:qFormat/>
    <w:uiPriority w:val="0"/>
    <w:rPr>
      <w:rFonts w:ascii="宋体" w:hAnsi="Arial" w:eastAsia="宋体" w:cs="Times New Roman"/>
      <w:b/>
      <w:kern w:val="0"/>
      <w:sz w:val="32"/>
      <w:szCs w:val="20"/>
      <w:lang w:val="en-US" w:eastAsia="zh-CN"/>
    </w:rPr>
  </w:style>
  <w:style w:type="table" w:customStyle="1" w:styleId="134">
    <w:name w:val="网格型1"/>
    <w:basedOn w:val="3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未处理的提及1"/>
    <w:basedOn w:val="40"/>
    <w:semiHidden/>
    <w:unhideWhenUsed/>
    <w:qFormat/>
    <w:uiPriority w:val="99"/>
    <w:rPr>
      <w:color w:val="605E5C"/>
      <w:shd w:val="clear" w:color="auto" w:fill="E1DFDD"/>
    </w:rPr>
  </w:style>
  <w:style w:type="paragraph" w:customStyle="1" w:styleId="136">
    <w:name w:val="批注"/>
    <w:basedOn w:val="1"/>
    <w:link w:val="137"/>
    <w:qFormat/>
    <w:uiPriority w:val="0"/>
    <w:pPr>
      <w:adjustRightInd/>
      <w:spacing w:line="240" w:lineRule="auto"/>
      <w:textAlignment w:val="auto"/>
    </w:pPr>
    <w:rPr>
      <w:rFonts w:asciiTheme="minorHAnsi" w:hAnsiTheme="minorHAnsi" w:cstheme="minorBidi"/>
      <w:kern w:val="2"/>
      <w:sz w:val="21"/>
      <w:szCs w:val="22"/>
    </w:rPr>
  </w:style>
  <w:style w:type="character" w:customStyle="1" w:styleId="137">
    <w:name w:val="批注 字符"/>
    <w:basedOn w:val="40"/>
    <w:link w:val="136"/>
    <w:qFormat/>
    <w:uiPriority w:val="0"/>
    <w:rPr>
      <w:rFonts w:eastAsia="宋体"/>
    </w:rPr>
  </w:style>
  <w:style w:type="character" w:customStyle="1" w:styleId="138">
    <w:name w:val="未处理的提及2"/>
    <w:basedOn w:val="40"/>
    <w:semiHidden/>
    <w:unhideWhenUsed/>
    <w:qFormat/>
    <w:uiPriority w:val="99"/>
    <w:rPr>
      <w:color w:val="605E5C"/>
      <w:shd w:val="clear" w:color="auto" w:fill="E1DFDD"/>
    </w:rPr>
  </w:style>
  <w:style w:type="character" w:customStyle="1" w:styleId="139">
    <w:name w:val="尾注文本 字符"/>
    <w:basedOn w:val="40"/>
    <w:link w:val="24"/>
    <w:qFormat/>
    <w:uiPriority w:val="99"/>
    <w:rPr>
      <w:rFonts w:ascii="宋体" w:hAnsi="宋体" w:eastAsia="宋体" w:cs="Times New Roman"/>
      <w:kern w:val="0"/>
      <w:sz w:val="28"/>
      <w:szCs w:val="28"/>
    </w:rPr>
  </w:style>
  <w:style w:type="table" w:customStyle="1" w:styleId="140">
    <w:name w:val="网格型2"/>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1">
    <w:name w:val="修订2"/>
    <w:hidden/>
    <w:semiHidden/>
    <w:qFormat/>
    <w:uiPriority w:val="99"/>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84</Pages>
  <Words>20379</Words>
  <Characters>21475</Characters>
  <Lines>346</Lines>
  <Paragraphs>97</Paragraphs>
  <TotalTime>8</TotalTime>
  <ScaleCrop>false</ScaleCrop>
  <LinksUpToDate>false</LinksUpToDate>
  <CharactersWithSpaces>21582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2024-12-16T07:43:00Z</dcterms:created>
  <dc:creator>采联国际415</dc:creator>
  <cp:lastModifiedBy>NTKO</cp:lastModifiedBy>
  <cp:lastPrinted>2026-01-15T06:25:00Z</cp:lastPrinted>
  <dcterms:modified xsi:type="dcterms:W3CDTF">2026-01-15T09:14:00Z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68B0E64CDCBA45AA87CC518BF09D915F_13</vt:lpwstr>
  </property>
  <property fmtid="{D5CDD505-2E9C-101B-9397-08002B2CF9AE}" pid="4" name="KSOTemplateDocerSaveRecord">
    <vt:lpwstr>eyJoZGlkIjoiNmZiOTBjYzA2NGJkZDlkNGU1MGJlNGVmNGNjYTRjMDEiLCJ1c2VySWQiOiIxNTA5ODAyNzU5In0=</vt:lpwstr>
  </property>
</Properties>
</file>