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EB306A">
      <w:pPr>
        <w:adjustRightInd w:val="0"/>
        <w:snapToGrid w:val="0"/>
        <w:spacing w:line="360" w:lineRule="auto"/>
        <w:jc w:val="center"/>
        <w:rPr>
          <w:rFonts w:hint="eastAsia" w:ascii="仿宋" w:hAnsi="仿宋" w:eastAsia="仿宋" w:cs="仿宋"/>
          <w:b/>
          <w:color w:val="auto"/>
          <w:sz w:val="44"/>
          <w:szCs w:val="44"/>
          <w:highlight w:val="none"/>
        </w:rPr>
      </w:pPr>
      <w:r>
        <w:rPr>
          <w:rFonts w:hint="eastAsia" w:ascii="仿宋" w:hAnsi="仿宋" w:eastAsia="仿宋" w:cs="仿宋"/>
          <w:b/>
          <w:color w:val="auto"/>
          <w:sz w:val="24"/>
          <w:szCs w:val="24"/>
          <w:highlight w:val="none"/>
          <w:lang w:val="en-US" w:eastAsia="zh-CN"/>
        </w:rPr>
        <w:drawing>
          <wp:anchor distT="0" distB="0" distL="114300" distR="114300" simplePos="0" relativeHeight="251659264" behindDoc="0" locked="0" layoutInCell="1" allowOverlap="1">
            <wp:simplePos x="0" y="0"/>
            <wp:positionH relativeFrom="column">
              <wp:posOffset>-698500</wp:posOffset>
            </wp:positionH>
            <wp:positionV relativeFrom="paragraph">
              <wp:posOffset>-878840</wp:posOffset>
            </wp:positionV>
            <wp:extent cx="7536180" cy="10658475"/>
            <wp:effectExtent l="0" t="0" r="7620" b="9525"/>
            <wp:wrapNone/>
            <wp:docPr id="7" name="图片 7" descr="封面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封面_页面_1"/>
                    <pic:cNvPicPr>
                      <a:picLocks noChangeAspect="1"/>
                    </pic:cNvPicPr>
                  </pic:nvPicPr>
                  <pic:blipFill>
                    <a:blip r:embed="rId8"/>
                    <a:stretch>
                      <a:fillRect/>
                    </a:stretch>
                  </pic:blipFill>
                  <pic:spPr>
                    <a:xfrm>
                      <a:off x="0" y="0"/>
                      <a:ext cx="7536180" cy="10658475"/>
                    </a:xfrm>
                    <a:prstGeom prst="rect">
                      <a:avLst/>
                    </a:prstGeom>
                  </pic:spPr>
                </pic:pic>
              </a:graphicData>
            </a:graphic>
          </wp:anchor>
        </w:drawing>
      </w:r>
      <w:r>
        <w:rPr>
          <w:rFonts w:hint="eastAsia" w:ascii="仿宋" w:hAnsi="仿宋" w:eastAsia="仿宋" w:cs="仿宋"/>
          <w:b/>
          <w:color w:val="auto"/>
          <w:sz w:val="44"/>
          <w:szCs w:val="44"/>
          <w:highlight w:val="none"/>
          <w:lang w:val="en-US" w:eastAsia="zh-CN"/>
        </w:rPr>
        <w:t>采购</w:t>
      </w:r>
      <w:r>
        <w:rPr>
          <w:rFonts w:hint="eastAsia" w:ascii="仿宋" w:hAnsi="仿宋" w:eastAsia="仿宋" w:cs="仿宋"/>
          <w:b/>
          <w:color w:val="auto"/>
          <w:sz w:val="44"/>
          <w:szCs w:val="44"/>
          <w:highlight w:val="none"/>
        </w:rPr>
        <w:t>文件审核意见表</w:t>
      </w:r>
    </w:p>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9"/>
        <w:gridCol w:w="2599"/>
        <w:gridCol w:w="6244"/>
      </w:tblGrid>
      <w:tr w14:paraId="21E33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512" w:type="pct"/>
            <w:noWrap w:val="0"/>
            <w:vAlign w:val="center"/>
          </w:tcPr>
          <w:p w14:paraId="14EE00FF">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1</w:t>
            </w:r>
          </w:p>
        </w:tc>
        <w:tc>
          <w:tcPr>
            <w:tcW w:w="1319" w:type="pct"/>
            <w:noWrap w:val="0"/>
            <w:vAlign w:val="center"/>
          </w:tcPr>
          <w:p w14:paraId="4D9616B1">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项目名称</w:t>
            </w:r>
          </w:p>
        </w:tc>
        <w:tc>
          <w:tcPr>
            <w:tcW w:w="3168" w:type="pct"/>
            <w:noWrap w:val="0"/>
            <w:vAlign w:val="center"/>
          </w:tcPr>
          <w:p w14:paraId="4C8421E0">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文山州人民医院GE 1.5T核磁共振设备维保服务采购项目</w:t>
            </w:r>
          </w:p>
        </w:tc>
      </w:tr>
      <w:tr w14:paraId="1D888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512" w:type="pct"/>
            <w:noWrap w:val="0"/>
            <w:vAlign w:val="center"/>
          </w:tcPr>
          <w:p w14:paraId="65127DE1">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2</w:t>
            </w:r>
          </w:p>
        </w:tc>
        <w:tc>
          <w:tcPr>
            <w:tcW w:w="1319" w:type="pct"/>
            <w:noWrap w:val="0"/>
            <w:vAlign w:val="center"/>
          </w:tcPr>
          <w:p w14:paraId="48110E7A">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项目编号</w:t>
            </w:r>
          </w:p>
        </w:tc>
        <w:tc>
          <w:tcPr>
            <w:tcW w:w="3168" w:type="pct"/>
            <w:noWrap w:val="0"/>
            <w:vAlign w:val="center"/>
          </w:tcPr>
          <w:p w14:paraId="109E60FB">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WSZC2025-C3-00523-YNQH-0007</w:t>
            </w:r>
          </w:p>
        </w:tc>
      </w:tr>
      <w:tr w14:paraId="51F55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512" w:type="pct"/>
            <w:noWrap w:val="0"/>
            <w:vAlign w:val="center"/>
          </w:tcPr>
          <w:p w14:paraId="4ECE4EDF">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3</w:t>
            </w:r>
          </w:p>
        </w:tc>
        <w:tc>
          <w:tcPr>
            <w:tcW w:w="1319" w:type="pct"/>
            <w:noWrap w:val="0"/>
            <w:vAlign w:val="center"/>
          </w:tcPr>
          <w:p w14:paraId="708C1E3B">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采购单位</w:t>
            </w:r>
          </w:p>
        </w:tc>
        <w:tc>
          <w:tcPr>
            <w:tcW w:w="3168" w:type="pct"/>
            <w:noWrap w:val="0"/>
            <w:vAlign w:val="center"/>
          </w:tcPr>
          <w:p w14:paraId="5E4FE285">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云南省文山壮族苗族自治州人民医院</w:t>
            </w:r>
          </w:p>
        </w:tc>
      </w:tr>
      <w:tr w14:paraId="1D85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512" w:type="pct"/>
            <w:noWrap w:val="0"/>
            <w:vAlign w:val="center"/>
          </w:tcPr>
          <w:p w14:paraId="4B58326F">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4</w:t>
            </w:r>
          </w:p>
        </w:tc>
        <w:tc>
          <w:tcPr>
            <w:tcW w:w="1319" w:type="pct"/>
            <w:noWrap w:val="0"/>
            <w:vAlign w:val="center"/>
          </w:tcPr>
          <w:p w14:paraId="77EF7829">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采购代理机构</w:t>
            </w:r>
          </w:p>
        </w:tc>
        <w:tc>
          <w:tcPr>
            <w:tcW w:w="3168" w:type="pct"/>
            <w:noWrap w:val="0"/>
            <w:vAlign w:val="center"/>
          </w:tcPr>
          <w:p w14:paraId="0B5AFD32">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云南谦浩项目咨询有限公司</w:t>
            </w:r>
          </w:p>
        </w:tc>
      </w:tr>
      <w:tr w14:paraId="7D5E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512" w:type="pct"/>
            <w:noWrap w:val="0"/>
            <w:vAlign w:val="center"/>
          </w:tcPr>
          <w:p w14:paraId="35F28E86">
            <w:pPr>
              <w:adjustRightInd w:val="0"/>
              <w:snapToGrid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5</w:t>
            </w:r>
          </w:p>
        </w:tc>
        <w:tc>
          <w:tcPr>
            <w:tcW w:w="1319" w:type="pct"/>
            <w:noWrap w:val="0"/>
            <w:vAlign w:val="center"/>
          </w:tcPr>
          <w:p w14:paraId="148FE43F">
            <w:pPr>
              <w:adjustRightInd w:val="0"/>
              <w:snapToGrid w:val="0"/>
              <w:spacing w:line="360" w:lineRule="auto"/>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szCs w:val="24"/>
                <w:highlight w:val="none"/>
              </w:rPr>
              <w:t>采购方式</w:t>
            </w:r>
          </w:p>
        </w:tc>
        <w:tc>
          <w:tcPr>
            <w:tcW w:w="3168" w:type="pct"/>
            <w:noWrap w:val="0"/>
            <w:vAlign w:val="bottom"/>
          </w:tcPr>
          <w:p w14:paraId="041F3541">
            <w:p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sym w:font="Wingdings" w:char="00A8"/>
            </w:r>
            <w:r>
              <w:rPr>
                <w:rFonts w:hint="eastAsia" w:ascii="仿宋" w:hAnsi="仿宋" w:eastAsia="仿宋" w:cs="仿宋"/>
                <w:b/>
                <w:color w:val="auto"/>
                <w:sz w:val="24"/>
                <w:szCs w:val="24"/>
                <w:highlight w:val="none"/>
              </w:rPr>
              <w:t xml:space="preserve">公开招标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sym w:font="Wingdings" w:char="00A8"/>
            </w:r>
            <w:r>
              <w:rPr>
                <w:rFonts w:hint="eastAsia" w:ascii="仿宋" w:hAnsi="仿宋" w:eastAsia="仿宋" w:cs="仿宋"/>
                <w:b/>
                <w:color w:val="auto"/>
                <w:sz w:val="24"/>
                <w:szCs w:val="24"/>
                <w:highlight w:val="none"/>
                <w:lang w:val="en-US" w:eastAsia="zh-CN"/>
              </w:rPr>
              <w:t xml:space="preserve">邀请招标 </w:t>
            </w: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sym w:font="Wingdings" w:char="00FE"/>
            </w:r>
            <w:r>
              <w:rPr>
                <w:rFonts w:hint="eastAsia" w:ascii="仿宋" w:hAnsi="仿宋" w:eastAsia="仿宋" w:cs="仿宋"/>
                <w:b/>
                <w:color w:val="auto"/>
                <w:sz w:val="24"/>
                <w:szCs w:val="24"/>
                <w:highlight w:val="none"/>
              </w:rPr>
              <w:t xml:space="preserve">竞争性磋商 </w:t>
            </w:r>
          </w:p>
          <w:p w14:paraId="43348645">
            <w:pPr>
              <w:adjustRightInd w:val="0"/>
              <w:snapToGrid w:val="0"/>
              <w:spacing w:line="360" w:lineRule="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szCs w:val="24"/>
                <w:highlight w:val="none"/>
              </w:rPr>
              <w:sym w:font="Wingdings" w:char="00A8"/>
            </w:r>
            <w:r>
              <w:rPr>
                <w:rFonts w:hint="eastAsia" w:ascii="仿宋" w:hAnsi="仿宋" w:eastAsia="仿宋" w:cs="仿宋"/>
                <w:b/>
                <w:color w:val="auto"/>
                <w:sz w:val="24"/>
                <w:szCs w:val="24"/>
                <w:highlight w:val="none"/>
              </w:rPr>
              <w:t>竞争性谈判</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sym w:font="Wingdings" w:char="00A8"/>
            </w:r>
            <w:r>
              <w:rPr>
                <w:rFonts w:hint="eastAsia" w:ascii="仿宋" w:hAnsi="仿宋" w:eastAsia="仿宋" w:cs="仿宋"/>
                <w:b/>
                <w:color w:val="auto"/>
                <w:sz w:val="24"/>
                <w:szCs w:val="24"/>
                <w:highlight w:val="none"/>
              </w:rPr>
              <w:t>询价采购</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sym w:font="Wingdings" w:char="00A8"/>
            </w:r>
            <w:r>
              <w:rPr>
                <w:rFonts w:hint="eastAsia" w:ascii="仿宋" w:hAnsi="仿宋" w:eastAsia="仿宋" w:cs="仿宋"/>
                <w:b/>
                <w:color w:val="auto"/>
                <w:sz w:val="24"/>
                <w:szCs w:val="24"/>
                <w:highlight w:val="none"/>
              </w:rPr>
              <w:t>单一来源采购</w:t>
            </w:r>
          </w:p>
        </w:tc>
      </w:tr>
      <w:tr w14:paraId="4A219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6" w:hRule="atLeast"/>
          <w:jc w:val="center"/>
        </w:trPr>
        <w:tc>
          <w:tcPr>
            <w:tcW w:w="512" w:type="pct"/>
            <w:noWrap w:val="0"/>
            <w:vAlign w:val="center"/>
          </w:tcPr>
          <w:p w14:paraId="05910F38">
            <w:pPr>
              <w:adjustRightInd w:val="0"/>
              <w:snapToGrid w:val="0"/>
              <w:spacing w:line="360" w:lineRule="auto"/>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6</w:t>
            </w:r>
          </w:p>
        </w:tc>
        <w:tc>
          <w:tcPr>
            <w:tcW w:w="1319" w:type="pct"/>
            <w:noWrap w:val="0"/>
            <w:vAlign w:val="center"/>
          </w:tcPr>
          <w:p w14:paraId="009CDD3D">
            <w:pPr>
              <w:adjustRightInd w:val="0"/>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采购</w:t>
            </w:r>
            <w:r>
              <w:rPr>
                <w:rFonts w:hint="eastAsia" w:ascii="仿宋" w:hAnsi="仿宋" w:eastAsia="仿宋" w:cs="仿宋"/>
                <w:b/>
                <w:color w:val="auto"/>
                <w:sz w:val="24"/>
                <w:szCs w:val="24"/>
                <w:highlight w:val="none"/>
              </w:rPr>
              <w:t>单位审核意见</w:t>
            </w:r>
          </w:p>
        </w:tc>
        <w:tc>
          <w:tcPr>
            <w:tcW w:w="3168" w:type="pct"/>
            <w:noWrap w:val="0"/>
            <w:vAlign w:val="top"/>
          </w:tcPr>
          <w:p w14:paraId="5F885FFE">
            <w:pPr>
              <w:adjustRightInd w:val="0"/>
              <w:snapToGrid w:val="0"/>
              <w:spacing w:line="360" w:lineRule="auto"/>
              <w:rPr>
                <w:rFonts w:hint="eastAsia" w:ascii="仿宋" w:hAnsi="仿宋" w:eastAsia="仿宋" w:cs="仿宋"/>
                <w:b/>
                <w:color w:val="auto"/>
                <w:sz w:val="24"/>
                <w:szCs w:val="24"/>
                <w:highlight w:val="none"/>
              </w:rPr>
            </w:pPr>
          </w:p>
          <w:p w14:paraId="765749CD">
            <w:pPr>
              <w:adjustRightInd w:val="0"/>
              <w:snapToGrid w:val="0"/>
              <w:spacing w:line="360" w:lineRule="auto"/>
              <w:rPr>
                <w:rFonts w:hint="eastAsia" w:ascii="仿宋" w:hAnsi="仿宋" w:eastAsia="仿宋" w:cs="仿宋"/>
                <w:b/>
                <w:color w:val="auto"/>
                <w:sz w:val="24"/>
                <w:szCs w:val="24"/>
                <w:highlight w:val="none"/>
              </w:rPr>
            </w:pPr>
          </w:p>
          <w:p w14:paraId="477D7996">
            <w:pPr>
              <w:adjustRightInd w:val="0"/>
              <w:snapToGrid w:val="0"/>
              <w:spacing w:line="360" w:lineRule="auto"/>
              <w:rPr>
                <w:rFonts w:hint="eastAsia" w:ascii="仿宋" w:hAnsi="仿宋" w:eastAsia="仿宋" w:cs="仿宋"/>
                <w:b/>
                <w:color w:val="auto"/>
                <w:sz w:val="24"/>
                <w:szCs w:val="24"/>
                <w:highlight w:val="none"/>
              </w:rPr>
            </w:pPr>
          </w:p>
          <w:p w14:paraId="0B9992A8">
            <w:pPr>
              <w:adjustRightInd w:val="0"/>
              <w:snapToGrid w:val="0"/>
              <w:spacing w:line="360" w:lineRule="auto"/>
              <w:rPr>
                <w:rFonts w:hint="eastAsia" w:ascii="仿宋" w:hAnsi="仿宋" w:eastAsia="仿宋" w:cs="仿宋"/>
                <w:b/>
                <w:color w:val="auto"/>
                <w:sz w:val="24"/>
                <w:szCs w:val="24"/>
                <w:highlight w:val="none"/>
                <w:lang w:val="en-US" w:eastAsia="zh-CN"/>
              </w:rPr>
            </w:pPr>
          </w:p>
          <w:p w14:paraId="79C3FEF3">
            <w:pPr>
              <w:adjustRightInd w:val="0"/>
              <w:snapToGrid w:val="0"/>
              <w:spacing w:line="360" w:lineRule="auto"/>
              <w:rPr>
                <w:rFonts w:hint="eastAsia" w:ascii="仿宋" w:hAnsi="仿宋" w:eastAsia="仿宋" w:cs="仿宋"/>
                <w:b/>
                <w:color w:val="auto"/>
                <w:sz w:val="24"/>
                <w:szCs w:val="24"/>
                <w:highlight w:val="none"/>
                <w:lang w:val="en-US" w:eastAsia="zh-CN"/>
              </w:rPr>
            </w:pPr>
          </w:p>
          <w:p w14:paraId="59136EC5">
            <w:pPr>
              <w:adjustRightInd w:val="0"/>
              <w:snapToGrid w:val="0"/>
              <w:spacing w:line="360" w:lineRule="auto"/>
              <w:rPr>
                <w:rFonts w:hint="eastAsia" w:ascii="仿宋" w:hAnsi="仿宋" w:eastAsia="仿宋" w:cs="仿宋"/>
                <w:b/>
                <w:color w:val="auto"/>
                <w:sz w:val="24"/>
                <w:szCs w:val="24"/>
                <w:highlight w:val="none"/>
                <w:lang w:val="en-US" w:eastAsia="zh-CN"/>
              </w:rPr>
            </w:pPr>
          </w:p>
          <w:p w14:paraId="31479C2E">
            <w:pPr>
              <w:adjustRightInd w:val="0"/>
              <w:snapToGrid w:val="0"/>
              <w:spacing w:line="360" w:lineRule="auto"/>
              <w:rPr>
                <w:rFonts w:hint="eastAsia" w:ascii="仿宋" w:hAnsi="仿宋" w:eastAsia="仿宋" w:cs="仿宋"/>
                <w:b/>
                <w:color w:val="auto"/>
                <w:sz w:val="24"/>
                <w:szCs w:val="24"/>
                <w:highlight w:val="none"/>
                <w:lang w:val="en-US" w:eastAsia="zh-CN"/>
              </w:rPr>
            </w:pPr>
          </w:p>
          <w:p w14:paraId="6FDE5FC9">
            <w:p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采购单位审核人</w:t>
            </w:r>
            <w:r>
              <w:rPr>
                <w:rFonts w:hint="eastAsia" w:ascii="仿宋" w:hAnsi="仿宋" w:eastAsia="仿宋" w:cs="仿宋"/>
                <w:b/>
                <w:color w:val="auto"/>
                <w:sz w:val="24"/>
                <w:szCs w:val="24"/>
                <w:highlight w:val="none"/>
              </w:rPr>
              <w:t>签字：</w:t>
            </w:r>
          </w:p>
          <w:p w14:paraId="00C89864">
            <w:pPr>
              <w:adjustRightInd w:val="0"/>
              <w:snapToGrid w:val="0"/>
              <w:spacing w:line="360" w:lineRule="auto"/>
              <w:rPr>
                <w:rFonts w:hint="eastAsia" w:ascii="仿宋" w:hAnsi="仿宋" w:eastAsia="仿宋" w:cs="仿宋"/>
                <w:b/>
                <w:color w:val="auto"/>
                <w:sz w:val="24"/>
                <w:szCs w:val="24"/>
                <w:highlight w:val="none"/>
                <w:lang w:val="en-US" w:eastAsia="zh-CN"/>
              </w:rPr>
            </w:pPr>
          </w:p>
          <w:p w14:paraId="2E002CE2">
            <w:pPr>
              <w:adjustRightInd w:val="0"/>
              <w:snapToGrid w:val="0"/>
              <w:spacing w:line="360" w:lineRule="auto"/>
              <w:rPr>
                <w:rFonts w:hint="eastAsia" w:ascii="仿宋" w:hAnsi="仿宋" w:eastAsia="仿宋" w:cs="仿宋"/>
                <w:b/>
                <w:color w:val="auto"/>
                <w:sz w:val="24"/>
                <w:szCs w:val="24"/>
                <w:highlight w:val="none"/>
                <w:lang w:val="en-US" w:eastAsia="zh-CN"/>
              </w:rPr>
            </w:pPr>
          </w:p>
          <w:p w14:paraId="4F1CDE3D">
            <w:p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采购</w:t>
            </w:r>
            <w:r>
              <w:rPr>
                <w:rFonts w:hint="eastAsia" w:ascii="仿宋" w:hAnsi="仿宋" w:eastAsia="仿宋" w:cs="仿宋"/>
                <w:b/>
                <w:color w:val="auto"/>
                <w:sz w:val="24"/>
                <w:szCs w:val="24"/>
                <w:highlight w:val="none"/>
              </w:rPr>
              <w:t>单位（公章）：</w:t>
            </w:r>
          </w:p>
          <w:p w14:paraId="67FE26C1">
            <w:pPr>
              <w:adjustRightInd w:val="0"/>
              <w:snapToGrid w:val="0"/>
              <w:spacing w:line="360" w:lineRule="auto"/>
              <w:ind w:firstLine="2880" w:firstLineChars="1200"/>
              <w:jc w:val="right"/>
              <w:rPr>
                <w:rFonts w:hint="eastAsia" w:ascii="仿宋" w:hAnsi="仿宋" w:eastAsia="仿宋" w:cs="仿宋"/>
                <w:b/>
                <w:color w:val="auto"/>
                <w:sz w:val="24"/>
                <w:szCs w:val="24"/>
                <w:highlight w:val="none"/>
              </w:rPr>
            </w:pPr>
          </w:p>
          <w:p w14:paraId="724741D3">
            <w:pPr>
              <w:adjustRightInd w:val="0"/>
              <w:snapToGrid w:val="0"/>
              <w:spacing w:line="360" w:lineRule="auto"/>
              <w:ind w:firstLine="2880" w:firstLineChars="1200"/>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年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 月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 日</w:t>
            </w:r>
          </w:p>
        </w:tc>
      </w:tr>
      <w:tr w14:paraId="37813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512" w:type="pct"/>
            <w:noWrap w:val="0"/>
            <w:vAlign w:val="center"/>
          </w:tcPr>
          <w:p w14:paraId="73B14BBC">
            <w:pPr>
              <w:adjustRightInd w:val="0"/>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c>
          <w:tcPr>
            <w:tcW w:w="4487" w:type="pct"/>
            <w:gridSpan w:val="2"/>
            <w:noWrap w:val="0"/>
            <w:vAlign w:val="center"/>
          </w:tcPr>
          <w:p w14:paraId="741F6B7B">
            <w:pPr>
              <w:adjustRightInd w:val="0"/>
              <w:snapToGrid w:val="0"/>
              <w:spacing w:line="360" w:lineRule="auto"/>
              <w:ind w:firstLine="480" w:firstLineChars="20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采购</w:t>
            </w:r>
            <w:r>
              <w:rPr>
                <w:rFonts w:hint="eastAsia" w:ascii="仿宋" w:hAnsi="仿宋" w:eastAsia="仿宋" w:cs="仿宋"/>
                <w:b/>
                <w:color w:val="auto"/>
                <w:sz w:val="24"/>
                <w:szCs w:val="24"/>
                <w:highlight w:val="none"/>
              </w:rPr>
              <w:t>单位无其他意见，请填写“</w:t>
            </w:r>
            <w:r>
              <w:rPr>
                <w:rFonts w:hint="eastAsia" w:ascii="仿宋" w:hAnsi="仿宋" w:eastAsia="仿宋" w:cs="仿宋"/>
                <w:b/>
                <w:color w:val="auto"/>
                <w:sz w:val="24"/>
                <w:szCs w:val="24"/>
                <w:highlight w:val="none"/>
                <w:lang w:val="en-US" w:eastAsia="zh-CN"/>
              </w:rPr>
              <w:t>已审核</w:t>
            </w:r>
            <w:r>
              <w:rPr>
                <w:rFonts w:hint="eastAsia" w:ascii="仿宋" w:hAnsi="仿宋" w:eastAsia="仿宋" w:cs="仿宋"/>
                <w:b/>
                <w:color w:val="auto"/>
                <w:sz w:val="24"/>
                <w:szCs w:val="24"/>
                <w:highlight w:val="none"/>
              </w:rPr>
              <w:t>，同意发布。”，并加盖公章或骑缝章</w:t>
            </w:r>
            <w:r>
              <w:rPr>
                <w:rFonts w:hint="eastAsia" w:ascii="仿宋" w:hAnsi="仿宋" w:eastAsia="仿宋" w:cs="仿宋"/>
                <w:b/>
                <w:color w:val="auto"/>
                <w:sz w:val="24"/>
                <w:szCs w:val="24"/>
                <w:highlight w:val="none"/>
                <w:lang w:eastAsia="zh-CN"/>
              </w:rPr>
              <w:t>。</w:t>
            </w:r>
          </w:p>
        </w:tc>
      </w:tr>
    </w:tbl>
    <w:p w14:paraId="5E5CE2C0">
      <w:pPr>
        <w:pStyle w:val="10"/>
        <w:spacing w:line="360" w:lineRule="auto"/>
        <w:rPr>
          <w:rFonts w:hint="eastAsia" w:ascii="仿宋" w:hAnsi="仿宋" w:eastAsia="仿宋" w:cs="仿宋"/>
          <w:color w:val="auto"/>
          <w:highlight w:val="none"/>
          <w:lang w:eastAsia="zh-CN"/>
        </w:rPr>
      </w:pPr>
    </w:p>
    <w:p w14:paraId="0AAD960B">
      <w:pPr>
        <w:spacing w:line="360" w:lineRule="auto"/>
        <w:jc w:val="center"/>
        <w:rPr>
          <w:rFonts w:hint="eastAsia" w:ascii="仿宋" w:hAnsi="仿宋" w:eastAsia="仿宋" w:cs="仿宋"/>
          <w:b/>
          <w:bCs/>
          <w:color w:val="auto"/>
          <w:sz w:val="52"/>
          <w:szCs w:val="52"/>
          <w:highlight w:val="none"/>
          <w:lang w:eastAsia="zh-CN"/>
        </w:rPr>
      </w:pPr>
      <w:r>
        <w:rPr>
          <w:rFonts w:hint="eastAsia" w:ascii="仿宋" w:hAnsi="仿宋" w:eastAsia="仿宋" w:cs="仿宋"/>
          <w:b/>
          <w:color w:val="auto"/>
          <w:sz w:val="84"/>
          <w:szCs w:val="84"/>
          <w:highlight w:val="none"/>
        </w:rPr>
        <w:drawing>
          <wp:anchor distT="0" distB="0" distL="114300" distR="114300" simplePos="0" relativeHeight="251660288" behindDoc="0" locked="0" layoutInCell="1" allowOverlap="1">
            <wp:simplePos x="0" y="0"/>
            <wp:positionH relativeFrom="column">
              <wp:posOffset>-714375</wp:posOffset>
            </wp:positionH>
            <wp:positionV relativeFrom="paragraph">
              <wp:posOffset>-882015</wp:posOffset>
            </wp:positionV>
            <wp:extent cx="7614920" cy="10768965"/>
            <wp:effectExtent l="0" t="0" r="5080" b="13335"/>
            <wp:wrapNone/>
            <wp:docPr id="8" name="图片 8" descr="封面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封面_页面_2"/>
                    <pic:cNvPicPr>
                      <a:picLocks noChangeAspect="1"/>
                    </pic:cNvPicPr>
                  </pic:nvPicPr>
                  <pic:blipFill>
                    <a:blip r:embed="rId9"/>
                    <a:stretch>
                      <a:fillRect/>
                    </a:stretch>
                  </pic:blipFill>
                  <pic:spPr>
                    <a:xfrm>
                      <a:off x="0" y="0"/>
                      <a:ext cx="7614920" cy="10768965"/>
                    </a:xfrm>
                    <a:prstGeom prst="rect">
                      <a:avLst/>
                    </a:prstGeom>
                  </pic:spPr>
                </pic:pic>
              </a:graphicData>
            </a:graphic>
          </wp:anchor>
        </w:drawing>
      </w:r>
    </w:p>
    <w:p w14:paraId="61912CB9">
      <w:pPr>
        <w:spacing w:line="360" w:lineRule="auto"/>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文山州人民医院GE 1.5T核磁共振设备维保服务采购项目</w:t>
      </w:r>
    </w:p>
    <w:p w14:paraId="03E5EBC4">
      <w:pPr>
        <w:spacing w:line="360" w:lineRule="auto"/>
        <w:jc w:val="center"/>
        <w:rPr>
          <w:rFonts w:hint="eastAsia" w:ascii="仿宋" w:hAnsi="仿宋" w:eastAsia="仿宋" w:cs="仿宋"/>
          <w:color w:val="auto"/>
          <w:sz w:val="32"/>
          <w:szCs w:val="32"/>
          <w:highlight w:val="none"/>
          <w:lang w:eastAsia="zh-CN"/>
        </w:rPr>
      </w:pPr>
    </w:p>
    <w:p w14:paraId="0AFF8A48">
      <w:pPr>
        <w:spacing w:line="360" w:lineRule="auto"/>
        <w:jc w:val="center"/>
        <w:rPr>
          <w:rFonts w:hint="eastAsia" w:ascii="仿宋" w:hAnsi="仿宋" w:eastAsia="仿宋" w:cs="仿宋"/>
          <w:color w:val="auto"/>
          <w:sz w:val="32"/>
          <w:szCs w:val="32"/>
          <w:highlight w:val="none"/>
        </w:rPr>
      </w:pPr>
    </w:p>
    <w:p w14:paraId="3E4CCD58">
      <w:pPr>
        <w:tabs>
          <w:tab w:val="left" w:pos="7998"/>
        </w:tabs>
        <w:spacing w:line="360" w:lineRule="auto"/>
        <w:jc w:val="center"/>
        <w:rPr>
          <w:rFonts w:hint="eastAsia" w:ascii="仿宋" w:hAnsi="仿宋" w:eastAsia="仿宋" w:cs="仿宋"/>
          <w:color w:val="auto"/>
          <w:sz w:val="32"/>
          <w:szCs w:val="32"/>
          <w:highlight w:val="none"/>
        </w:rPr>
      </w:pPr>
    </w:p>
    <w:p w14:paraId="1E0933DD">
      <w:pPr>
        <w:spacing w:line="360" w:lineRule="auto"/>
        <w:jc w:val="center"/>
        <w:rPr>
          <w:rFonts w:hint="eastAsia" w:ascii="仿宋" w:hAnsi="仿宋" w:eastAsia="仿宋" w:cs="仿宋"/>
          <w:color w:val="auto"/>
          <w:sz w:val="32"/>
          <w:szCs w:val="32"/>
          <w:highlight w:val="none"/>
        </w:rPr>
      </w:pPr>
    </w:p>
    <w:p w14:paraId="6B59445D">
      <w:pPr>
        <w:spacing w:line="360" w:lineRule="auto"/>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竞争性磋商文件</w:t>
      </w:r>
    </w:p>
    <w:p w14:paraId="780CFF46">
      <w:pPr>
        <w:spacing w:line="360" w:lineRule="auto"/>
        <w:ind w:firstLine="2520" w:firstLineChars="700"/>
        <w:jc w:val="both"/>
        <w:rPr>
          <w:rFonts w:hint="eastAsia" w:ascii="仿宋" w:hAnsi="仿宋" w:eastAsia="仿宋" w:cs="仿宋"/>
          <w:b/>
          <w:color w:val="auto"/>
          <w:sz w:val="36"/>
          <w:szCs w:val="36"/>
          <w:highlight w:val="none"/>
          <w:lang w:eastAsia="zh-CN"/>
        </w:rPr>
      </w:pPr>
    </w:p>
    <w:p w14:paraId="24D1A527">
      <w:pPr>
        <w:spacing w:line="360" w:lineRule="auto"/>
        <w:ind w:firstLine="1800" w:firstLineChars="500"/>
        <w:jc w:val="both"/>
        <w:rPr>
          <w:rFonts w:hint="eastAsia" w:ascii="仿宋" w:hAnsi="仿宋" w:eastAsia="仿宋" w:cs="仿宋"/>
          <w:color w:val="auto"/>
          <w:sz w:val="36"/>
          <w:szCs w:val="36"/>
          <w:highlight w:val="none"/>
        </w:rPr>
      </w:pPr>
      <w:r>
        <w:rPr>
          <w:rFonts w:hint="eastAsia" w:ascii="仿宋" w:hAnsi="仿宋" w:eastAsia="仿宋" w:cs="仿宋"/>
          <w:b/>
          <w:bCs w:val="0"/>
          <w:color w:val="auto"/>
          <w:sz w:val="36"/>
          <w:szCs w:val="36"/>
          <w:highlight w:val="none"/>
          <w:lang w:eastAsia="zh-CN"/>
        </w:rPr>
        <w:t>项目编号</w:t>
      </w:r>
      <w:r>
        <w:rPr>
          <w:rFonts w:hint="eastAsia" w:ascii="仿宋" w:hAnsi="仿宋" w:eastAsia="仿宋" w:cs="仿宋"/>
          <w:b/>
          <w:bCs w:val="0"/>
          <w:color w:val="auto"/>
          <w:sz w:val="36"/>
          <w:szCs w:val="36"/>
          <w:highlight w:val="none"/>
        </w:rPr>
        <w:t>：WSZC2025-C3-00523-YNQH-0007</w:t>
      </w:r>
    </w:p>
    <w:p w14:paraId="6604D7BD">
      <w:pPr>
        <w:spacing w:line="360" w:lineRule="auto"/>
        <w:rPr>
          <w:rFonts w:hint="eastAsia" w:ascii="仿宋" w:hAnsi="仿宋" w:eastAsia="仿宋" w:cs="仿宋"/>
          <w:color w:val="auto"/>
          <w:highlight w:val="none"/>
        </w:rPr>
      </w:pPr>
    </w:p>
    <w:p w14:paraId="7B12E5C2">
      <w:pPr>
        <w:spacing w:line="360" w:lineRule="auto"/>
        <w:rPr>
          <w:rFonts w:hint="eastAsia" w:ascii="仿宋" w:hAnsi="仿宋" w:eastAsia="仿宋" w:cs="仿宋"/>
          <w:color w:val="auto"/>
          <w:highlight w:val="none"/>
        </w:rPr>
      </w:pPr>
    </w:p>
    <w:p w14:paraId="482E482C">
      <w:pPr>
        <w:spacing w:line="360" w:lineRule="auto"/>
        <w:rPr>
          <w:rFonts w:hint="eastAsia" w:ascii="仿宋" w:hAnsi="仿宋" w:eastAsia="仿宋" w:cs="仿宋"/>
          <w:color w:val="auto"/>
          <w:highlight w:val="none"/>
        </w:rPr>
      </w:pPr>
    </w:p>
    <w:p w14:paraId="4279E7F4">
      <w:pPr>
        <w:rPr>
          <w:rFonts w:hint="eastAsia" w:ascii="仿宋" w:hAnsi="仿宋" w:eastAsia="仿宋" w:cs="仿宋"/>
          <w:color w:val="auto"/>
          <w:highlight w:val="none"/>
        </w:rPr>
      </w:pPr>
    </w:p>
    <w:p w14:paraId="6B86B09C">
      <w:pPr>
        <w:pStyle w:val="12"/>
        <w:rPr>
          <w:rFonts w:hint="eastAsia" w:ascii="仿宋" w:hAnsi="仿宋" w:eastAsia="仿宋" w:cs="仿宋"/>
          <w:color w:val="auto"/>
        </w:rPr>
      </w:pPr>
    </w:p>
    <w:p w14:paraId="157BF1A4">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采购人：</w:t>
      </w:r>
      <w:r>
        <w:rPr>
          <w:rFonts w:hint="eastAsia" w:ascii="仿宋" w:hAnsi="仿宋" w:eastAsia="仿宋" w:cs="仿宋"/>
          <w:b/>
          <w:bCs/>
          <w:color w:val="auto"/>
          <w:sz w:val="36"/>
          <w:szCs w:val="36"/>
          <w:highlight w:val="none"/>
          <w:lang w:eastAsia="zh-CN"/>
        </w:rPr>
        <w:t>云南省文山壮族苗族自治州人民医院</w:t>
      </w:r>
      <w:r>
        <w:rPr>
          <w:rFonts w:hint="eastAsia" w:ascii="仿宋" w:hAnsi="仿宋" w:eastAsia="仿宋" w:cs="仿宋"/>
          <w:b/>
          <w:bCs/>
          <w:color w:val="auto"/>
          <w:sz w:val="36"/>
          <w:szCs w:val="36"/>
          <w:highlight w:val="none"/>
        </w:rPr>
        <w:t>（盖章）</w:t>
      </w:r>
    </w:p>
    <w:p w14:paraId="7691C81D">
      <w:pPr>
        <w:pStyle w:val="10"/>
        <w:spacing w:line="360" w:lineRule="auto"/>
        <w:jc w:val="center"/>
        <w:rPr>
          <w:rFonts w:hint="eastAsia" w:ascii="仿宋" w:hAnsi="仿宋" w:eastAsia="仿宋" w:cs="仿宋"/>
          <w:color w:val="auto"/>
          <w:sz w:val="36"/>
          <w:szCs w:val="36"/>
          <w:highlight w:val="none"/>
        </w:rPr>
      </w:pPr>
    </w:p>
    <w:p w14:paraId="145CE8D9">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采购代理机构：云南谦浩项目咨询有限公司（盖章）</w:t>
      </w:r>
    </w:p>
    <w:p w14:paraId="30DA86D9">
      <w:pPr>
        <w:spacing w:line="360" w:lineRule="auto"/>
        <w:rPr>
          <w:rFonts w:hint="eastAsia" w:ascii="仿宋" w:hAnsi="仿宋" w:eastAsia="仿宋" w:cs="仿宋"/>
          <w:color w:val="auto"/>
          <w:highlight w:val="none"/>
          <w:lang w:val="en-US" w:eastAsia="zh-CN"/>
        </w:rPr>
      </w:pPr>
    </w:p>
    <w:p w14:paraId="4F2D14F2">
      <w:pPr>
        <w:keepLines w:val="0"/>
        <w:pageBreakBefore w:val="0"/>
        <w:widowControl w:val="0"/>
        <w:numPr>
          <w:ilvl w:val="0"/>
          <w:numId w:val="0"/>
        </w:numPr>
        <w:tabs>
          <w:tab w:val="left" w:pos="360"/>
        </w:tabs>
        <w:kinsoku/>
        <w:wordWrap/>
        <w:overflowPunct/>
        <w:topLinePunct w:val="0"/>
        <w:bidi w:val="0"/>
        <w:snapToGrid/>
        <w:spacing w:line="360" w:lineRule="auto"/>
        <w:jc w:val="center"/>
        <w:textAlignment w:val="auto"/>
        <w:outlineLvl w:val="9"/>
        <w:rPr>
          <w:rFonts w:hint="eastAsia" w:ascii="仿宋" w:hAnsi="仿宋" w:eastAsia="仿宋" w:cs="仿宋"/>
          <w:color w:val="auto"/>
          <w:sz w:val="36"/>
          <w:szCs w:val="36"/>
          <w:highlight w:val="none"/>
          <w:lang w:val="en-US" w:eastAsia="zh-CN"/>
        </w:rPr>
      </w:pPr>
      <w:bookmarkStart w:id="0" w:name="_Toc15101"/>
      <w:r>
        <w:rPr>
          <w:rFonts w:hint="eastAsia" w:ascii="仿宋" w:hAnsi="仿宋" w:eastAsia="仿宋" w:cs="仿宋"/>
          <w:b/>
          <w:bCs/>
          <w:color w:val="auto"/>
          <w:spacing w:val="0"/>
          <w:kern w:val="2"/>
          <w:sz w:val="36"/>
          <w:szCs w:val="36"/>
          <w:highlight w:val="none"/>
          <w:lang w:val="en-US" w:eastAsia="zh-CN" w:bidi="ar-SA"/>
        </w:rPr>
        <w:t>二〇二五年六月</w:t>
      </w:r>
      <w:bookmarkEnd w:id="0"/>
    </w:p>
    <w:p w14:paraId="35E7B986">
      <w:pPr>
        <w:pStyle w:val="2"/>
        <w:keepLines w:val="0"/>
        <w:pageBreakBefore w:val="0"/>
        <w:widowControl w:val="0"/>
        <w:numPr>
          <w:ilvl w:val="0"/>
          <w:numId w:val="0"/>
        </w:numPr>
        <w:kinsoku/>
        <w:wordWrap/>
        <w:overflowPunct/>
        <w:topLinePunct w:val="0"/>
        <w:bidi w:val="0"/>
        <w:snapToGrid/>
        <w:spacing w:line="360" w:lineRule="auto"/>
        <w:jc w:val="center"/>
        <w:textAlignment w:val="auto"/>
        <w:rPr>
          <w:rFonts w:hint="eastAsia" w:ascii="仿宋" w:hAnsi="仿宋" w:eastAsia="仿宋" w:cs="仿宋"/>
          <w:color w:val="auto"/>
          <w:sz w:val="48"/>
          <w:szCs w:val="48"/>
          <w:highlight w:val="none"/>
        </w:rPr>
        <w:sectPr>
          <w:footerReference r:id="rId3" w:type="first"/>
          <w:pgSz w:w="11906" w:h="16838"/>
          <w:pgMar w:top="1440" w:right="1134" w:bottom="1440" w:left="1134" w:header="1134" w:footer="850" w:gutter="0"/>
          <w:pgBorders w:offsetFrom="page">
            <w:top w:val="none" w:sz="0" w:space="0"/>
            <w:left w:val="none" w:sz="0" w:space="0"/>
            <w:bottom w:val="none" w:sz="0" w:space="0"/>
            <w:right w:val="none" w:sz="0" w:space="0"/>
          </w:pgBorders>
          <w:pgNumType w:fmt="decimal" w:start="1"/>
          <w:cols w:space="720" w:num="1"/>
          <w:docGrid w:type="linesAndChars" w:linePitch="312" w:charSpace="0"/>
        </w:sectPr>
      </w:pPr>
      <w:bookmarkStart w:id="260" w:name="_GoBack"/>
      <w:bookmarkEnd w:id="260"/>
    </w:p>
    <w:p w14:paraId="20BC9E56">
      <w:pPr>
        <w:keepLines w:val="0"/>
        <w:pageBreakBefore w:val="0"/>
        <w:widowControl w:val="0"/>
        <w:numPr>
          <w:ilvl w:val="0"/>
          <w:numId w:val="0"/>
        </w:numPr>
        <w:tabs>
          <w:tab w:val="left" w:pos="360"/>
        </w:tabs>
        <w:kinsoku/>
        <w:wordWrap/>
        <w:overflowPunct/>
        <w:topLinePunct w:val="0"/>
        <w:bidi w:val="0"/>
        <w:snapToGrid/>
        <w:spacing w:line="360" w:lineRule="auto"/>
        <w:jc w:val="center"/>
        <w:textAlignment w:val="auto"/>
        <w:outlineLvl w:val="9"/>
        <w:rPr>
          <w:rFonts w:hint="eastAsia" w:ascii="仿宋" w:hAnsi="仿宋" w:eastAsia="仿宋" w:cs="仿宋"/>
          <w:color w:val="auto"/>
          <w:sz w:val="48"/>
          <w:szCs w:val="48"/>
          <w:highlight w:val="none"/>
        </w:rPr>
      </w:pPr>
      <w:bookmarkStart w:id="1" w:name="_Toc28831"/>
      <w:r>
        <w:rPr>
          <w:rFonts w:hint="eastAsia" w:ascii="仿宋" w:hAnsi="仿宋" w:eastAsia="仿宋" w:cs="仿宋"/>
          <w:b/>
          <w:bCs/>
          <w:color w:val="auto"/>
          <w:sz w:val="48"/>
          <w:szCs w:val="48"/>
          <w:highlight w:val="none"/>
        </w:rPr>
        <w:t>目  录</w:t>
      </w:r>
      <w:bookmarkEnd w:id="1"/>
    </w:p>
    <w:p w14:paraId="14F07254">
      <w:pPr>
        <w:spacing w:line="360" w:lineRule="auto"/>
        <w:rPr>
          <w:rFonts w:hint="eastAsia" w:ascii="仿宋" w:hAnsi="仿宋" w:eastAsia="仿宋" w:cs="仿宋"/>
          <w:color w:val="auto"/>
          <w:highlight w:val="none"/>
        </w:rPr>
      </w:pPr>
    </w:p>
    <w:p w14:paraId="32B5B4AF">
      <w:pPr>
        <w:pStyle w:val="21"/>
        <w:shd w:val="clear"/>
        <w:tabs>
          <w:tab w:val="right" w:leader="dot" w:pos="9746"/>
        </w:tabs>
        <w:spacing w:line="360" w:lineRule="auto"/>
        <w:rPr>
          <w:rFonts w:hint="eastAsia" w:ascii="仿宋" w:hAnsi="仿宋" w:eastAsia="仿宋" w:cs="仿宋"/>
          <w:b/>
          <w:bCs/>
          <w:color w:val="auto"/>
          <w:sz w:val="28"/>
          <w:szCs w:val="28"/>
          <w:highlight w:val="none"/>
        </w:rPr>
      </w:pPr>
      <w:bookmarkStart w:id="2" w:name="_Toc337822203"/>
      <w:r>
        <w:rPr>
          <w:rFonts w:hint="eastAsia" w:ascii="仿宋" w:hAnsi="仿宋" w:eastAsia="仿宋" w:cs="仿宋"/>
          <w:b/>
          <w:bCs/>
          <w:color w:val="auto"/>
          <w:sz w:val="28"/>
          <w:szCs w:val="28"/>
          <w:highlight w:val="none"/>
          <w:lang w:eastAsia="zh-CN"/>
        </w:rPr>
        <w:fldChar w:fldCharType="begin"/>
      </w:r>
      <w:r>
        <w:rPr>
          <w:rFonts w:hint="eastAsia" w:ascii="仿宋" w:hAnsi="仿宋" w:eastAsia="仿宋" w:cs="仿宋"/>
          <w:b/>
          <w:bCs/>
          <w:color w:val="auto"/>
          <w:sz w:val="28"/>
          <w:szCs w:val="28"/>
          <w:highlight w:val="none"/>
          <w:lang w:eastAsia="zh-CN"/>
        </w:rPr>
        <w:instrText xml:space="preserve"> TOC \o "1-3" \h \z \u </w:instrText>
      </w:r>
      <w:r>
        <w:rPr>
          <w:rFonts w:hint="eastAsia" w:ascii="仿宋" w:hAnsi="仿宋" w:eastAsia="仿宋" w:cs="仿宋"/>
          <w:b/>
          <w:bCs/>
          <w:color w:val="auto"/>
          <w:sz w:val="28"/>
          <w:szCs w:val="28"/>
          <w:highlight w:val="none"/>
          <w:lang w:eastAsia="zh-CN"/>
        </w:rPr>
        <w:fldChar w:fldCharType="separate"/>
      </w:r>
      <w:r>
        <w:rPr>
          <w:rFonts w:hint="eastAsia" w:ascii="仿宋" w:hAnsi="仿宋" w:eastAsia="仿宋" w:cs="仿宋"/>
          <w:b/>
          <w:bCs/>
          <w:color w:val="auto"/>
          <w:sz w:val="28"/>
          <w:szCs w:val="28"/>
          <w:highlight w:val="none"/>
          <w:lang w:eastAsia="zh-CN"/>
        </w:rPr>
        <w:fldChar w:fldCharType="begin"/>
      </w:r>
      <w:r>
        <w:rPr>
          <w:rFonts w:hint="eastAsia" w:ascii="仿宋" w:hAnsi="仿宋" w:eastAsia="仿宋" w:cs="仿宋"/>
          <w:b/>
          <w:bCs/>
          <w:color w:val="auto"/>
          <w:sz w:val="28"/>
          <w:szCs w:val="28"/>
          <w:highlight w:val="none"/>
          <w:lang w:eastAsia="zh-CN"/>
        </w:rPr>
        <w:instrText xml:space="preserve"> HYPERLINK \l _Toc11211 </w:instrText>
      </w:r>
      <w:r>
        <w:rPr>
          <w:rFonts w:hint="eastAsia" w:ascii="仿宋" w:hAnsi="仿宋" w:eastAsia="仿宋" w:cs="仿宋"/>
          <w:b/>
          <w:bCs/>
          <w:color w:val="auto"/>
          <w:sz w:val="28"/>
          <w:szCs w:val="28"/>
          <w:highlight w:val="none"/>
          <w:lang w:eastAsia="zh-CN"/>
        </w:rPr>
        <w:fldChar w:fldCharType="separate"/>
      </w:r>
      <w:r>
        <w:rPr>
          <w:rFonts w:hint="eastAsia" w:ascii="仿宋" w:hAnsi="仿宋" w:eastAsia="仿宋" w:cs="仿宋"/>
          <w:b/>
          <w:bCs/>
          <w:color w:val="auto"/>
          <w:sz w:val="28"/>
          <w:szCs w:val="28"/>
          <w:highlight w:val="none"/>
        </w:rPr>
        <w:t>第一章  竞争性磋商公告</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_Toc11211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lang w:eastAsia="zh-CN"/>
        </w:rPr>
        <w:fldChar w:fldCharType="end"/>
      </w:r>
    </w:p>
    <w:p w14:paraId="765105E2">
      <w:pPr>
        <w:pStyle w:val="21"/>
        <w:shd w:val="clear"/>
        <w:tabs>
          <w:tab w:val="right" w:leader="dot" w:pos="9746"/>
        </w:tabs>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fldChar w:fldCharType="begin"/>
      </w:r>
      <w:r>
        <w:rPr>
          <w:rFonts w:hint="eastAsia" w:ascii="仿宋" w:hAnsi="仿宋" w:eastAsia="仿宋" w:cs="仿宋"/>
          <w:b/>
          <w:bCs/>
          <w:color w:val="auto"/>
          <w:sz w:val="28"/>
          <w:szCs w:val="28"/>
          <w:highlight w:val="none"/>
          <w:lang w:eastAsia="zh-CN"/>
        </w:rPr>
        <w:instrText xml:space="preserve"> HYPERLINK \l _Toc13053 </w:instrText>
      </w:r>
      <w:r>
        <w:rPr>
          <w:rFonts w:hint="eastAsia" w:ascii="仿宋" w:hAnsi="仿宋" w:eastAsia="仿宋" w:cs="仿宋"/>
          <w:b/>
          <w:bCs/>
          <w:color w:val="auto"/>
          <w:sz w:val="28"/>
          <w:szCs w:val="28"/>
          <w:highlight w:val="none"/>
          <w:lang w:eastAsia="zh-CN"/>
        </w:rPr>
        <w:fldChar w:fldCharType="separate"/>
      </w:r>
      <w:r>
        <w:rPr>
          <w:rFonts w:hint="eastAsia" w:ascii="仿宋" w:hAnsi="仿宋" w:eastAsia="仿宋" w:cs="仿宋"/>
          <w:b/>
          <w:bCs/>
          <w:color w:val="auto"/>
          <w:kern w:val="0"/>
          <w:sz w:val="28"/>
          <w:szCs w:val="28"/>
          <w:highlight w:val="none"/>
        </w:rPr>
        <w:t>第二章  磋商须知</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_Toc13053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8</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lang w:eastAsia="zh-CN"/>
        </w:rPr>
        <w:fldChar w:fldCharType="end"/>
      </w:r>
    </w:p>
    <w:p w14:paraId="62CEA366">
      <w:pPr>
        <w:pStyle w:val="22"/>
        <w:shd w:val="clear"/>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fldChar w:fldCharType="begin"/>
      </w:r>
      <w:r>
        <w:rPr>
          <w:rFonts w:hint="eastAsia" w:ascii="仿宋" w:hAnsi="仿宋" w:eastAsia="仿宋" w:cs="仿宋"/>
          <w:bCs/>
          <w:color w:val="auto"/>
          <w:sz w:val="28"/>
          <w:szCs w:val="28"/>
          <w:highlight w:val="none"/>
          <w:lang w:eastAsia="zh-CN"/>
        </w:rPr>
        <w:instrText xml:space="preserve"> HYPERLINK \l _Toc19174 </w:instrText>
      </w:r>
      <w:r>
        <w:rPr>
          <w:rFonts w:hint="eastAsia" w:ascii="仿宋" w:hAnsi="仿宋" w:eastAsia="仿宋" w:cs="仿宋"/>
          <w:bCs/>
          <w:color w:val="auto"/>
          <w:sz w:val="28"/>
          <w:szCs w:val="28"/>
          <w:highlight w:val="none"/>
          <w:lang w:eastAsia="zh-CN"/>
        </w:rPr>
        <w:fldChar w:fldCharType="separate"/>
      </w:r>
      <w:r>
        <w:rPr>
          <w:rFonts w:hint="eastAsia" w:ascii="仿宋" w:hAnsi="仿宋" w:eastAsia="仿宋" w:cs="仿宋"/>
          <w:color w:val="auto"/>
          <w:sz w:val="28"/>
          <w:szCs w:val="28"/>
          <w:highlight w:val="none"/>
          <w:lang w:val="en-US" w:eastAsia="zh-CN"/>
        </w:rPr>
        <w:t>一、总  则</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_Toc19174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rPr>
        <w:fldChar w:fldCharType="end"/>
      </w:r>
      <w:r>
        <w:rPr>
          <w:rFonts w:hint="eastAsia" w:ascii="仿宋" w:hAnsi="仿宋" w:eastAsia="仿宋" w:cs="仿宋"/>
          <w:bCs/>
          <w:color w:val="auto"/>
          <w:sz w:val="28"/>
          <w:szCs w:val="28"/>
          <w:highlight w:val="none"/>
          <w:lang w:eastAsia="zh-CN"/>
        </w:rPr>
        <w:fldChar w:fldCharType="end"/>
      </w:r>
    </w:p>
    <w:p w14:paraId="3757D85B">
      <w:pPr>
        <w:pStyle w:val="22"/>
        <w:shd w:val="clear"/>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fldChar w:fldCharType="begin"/>
      </w:r>
      <w:r>
        <w:rPr>
          <w:rFonts w:hint="eastAsia" w:ascii="仿宋" w:hAnsi="仿宋" w:eastAsia="仿宋" w:cs="仿宋"/>
          <w:bCs/>
          <w:color w:val="auto"/>
          <w:sz w:val="28"/>
          <w:szCs w:val="28"/>
          <w:highlight w:val="none"/>
          <w:lang w:eastAsia="zh-CN"/>
        </w:rPr>
        <w:instrText xml:space="preserve"> HYPERLINK \l _Toc1308 </w:instrText>
      </w:r>
      <w:r>
        <w:rPr>
          <w:rFonts w:hint="eastAsia" w:ascii="仿宋" w:hAnsi="仿宋" w:eastAsia="仿宋" w:cs="仿宋"/>
          <w:bCs/>
          <w:color w:val="auto"/>
          <w:sz w:val="28"/>
          <w:szCs w:val="28"/>
          <w:highlight w:val="none"/>
          <w:lang w:eastAsia="zh-CN"/>
        </w:rPr>
        <w:fldChar w:fldCharType="separate"/>
      </w:r>
      <w:r>
        <w:rPr>
          <w:rFonts w:hint="eastAsia" w:ascii="仿宋" w:hAnsi="仿宋" w:eastAsia="仿宋" w:cs="仿宋"/>
          <w:color w:val="auto"/>
          <w:sz w:val="28"/>
          <w:szCs w:val="28"/>
          <w:highlight w:val="none"/>
          <w:lang w:val="en-US" w:eastAsia="zh-CN"/>
        </w:rPr>
        <w:t>二、磋商文件</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_Toc1308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18</w:t>
      </w:r>
      <w:r>
        <w:rPr>
          <w:rFonts w:hint="eastAsia" w:ascii="仿宋" w:hAnsi="仿宋" w:eastAsia="仿宋" w:cs="仿宋"/>
          <w:color w:val="auto"/>
          <w:sz w:val="28"/>
          <w:szCs w:val="28"/>
          <w:highlight w:val="none"/>
        </w:rPr>
        <w:fldChar w:fldCharType="end"/>
      </w:r>
      <w:r>
        <w:rPr>
          <w:rFonts w:hint="eastAsia" w:ascii="仿宋" w:hAnsi="仿宋" w:eastAsia="仿宋" w:cs="仿宋"/>
          <w:bCs/>
          <w:color w:val="auto"/>
          <w:sz w:val="28"/>
          <w:szCs w:val="28"/>
          <w:highlight w:val="none"/>
          <w:lang w:eastAsia="zh-CN"/>
        </w:rPr>
        <w:fldChar w:fldCharType="end"/>
      </w:r>
    </w:p>
    <w:p w14:paraId="1998FB48">
      <w:pPr>
        <w:pStyle w:val="22"/>
        <w:shd w:val="clear"/>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fldChar w:fldCharType="begin"/>
      </w:r>
      <w:r>
        <w:rPr>
          <w:rFonts w:hint="eastAsia" w:ascii="仿宋" w:hAnsi="仿宋" w:eastAsia="仿宋" w:cs="仿宋"/>
          <w:bCs/>
          <w:color w:val="auto"/>
          <w:sz w:val="28"/>
          <w:szCs w:val="28"/>
          <w:highlight w:val="none"/>
          <w:lang w:eastAsia="zh-CN"/>
        </w:rPr>
        <w:instrText xml:space="preserve"> HYPERLINK \l _Toc29018 </w:instrText>
      </w:r>
      <w:r>
        <w:rPr>
          <w:rFonts w:hint="eastAsia" w:ascii="仿宋" w:hAnsi="仿宋" w:eastAsia="仿宋" w:cs="仿宋"/>
          <w:bCs/>
          <w:color w:val="auto"/>
          <w:sz w:val="28"/>
          <w:szCs w:val="28"/>
          <w:highlight w:val="none"/>
          <w:lang w:eastAsia="zh-CN"/>
        </w:rPr>
        <w:fldChar w:fldCharType="separate"/>
      </w:r>
      <w:r>
        <w:rPr>
          <w:rFonts w:hint="eastAsia" w:ascii="仿宋" w:hAnsi="仿宋" w:eastAsia="仿宋" w:cs="仿宋"/>
          <w:bCs/>
          <w:color w:val="auto"/>
          <w:sz w:val="28"/>
          <w:szCs w:val="28"/>
          <w:highlight w:val="none"/>
        </w:rPr>
        <w:t>三、响应文件的编制</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_Toc29018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19</w:t>
      </w:r>
      <w:r>
        <w:rPr>
          <w:rFonts w:hint="eastAsia" w:ascii="仿宋" w:hAnsi="仿宋" w:eastAsia="仿宋" w:cs="仿宋"/>
          <w:color w:val="auto"/>
          <w:sz w:val="28"/>
          <w:szCs w:val="28"/>
          <w:highlight w:val="none"/>
        </w:rPr>
        <w:fldChar w:fldCharType="end"/>
      </w:r>
      <w:r>
        <w:rPr>
          <w:rFonts w:hint="eastAsia" w:ascii="仿宋" w:hAnsi="仿宋" w:eastAsia="仿宋" w:cs="仿宋"/>
          <w:bCs/>
          <w:color w:val="auto"/>
          <w:sz w:val="28"/>
          <w:szCs w:val="28"/>
          <w:highlight w:val="none"/>
          <w:lang w:eastAsia="zh-CN"/>
        </w:rPr>
        <w:fldChar w:fldCharType="end"/>
      </w:r>
    </w:p>
    <w:p w14:paraId="44E6DF01">
      <w:pPr>
        <w:pStyle w:val="22"/>
        <w:shd w:val="clear"/>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fldChar w:fldCharType="begin"/>
      </w:r>
      <w:r>
        <w:rPr>
          <w:rFonts w:hint="eastAsia" w:ascii="仿宋" w:hAnsi="仿宋" w:eastAsia="仿宋" w:cs="仿宋"/>
          <w:bCs/>
          <w:color w:val="auto"/>
          <w:sz w:val="28"/>
          <w:szCs w:val="28"/>
          <w:highlight w:val="none"/>
          <w:lang w:eastAsia="zh-CN"/>
        </w:rPr>
        <w:instrText xml:space="preserve"> HYPERLINK \l _Toc14834 </w:instrText>
      </w:r>
      <w:r>
        <w:rPr>
          <w:rFonts w:hint="eastAsia" w:ascii="仿宋" w:hAnsi="仿宋" w:eastAsia="仿宋" w:cs="仿宋"/>
          <w:bCs/>
          <w:color w:val="auto"/>
          <w:sz w:val="28"/>
          <w:szCs w:val="28"/>
          <w:highlight w:val="none"/>
          <w:lang w:eastAsia="zh-CN"/>
        </w:rPr>
        <w:fldChar w:fldCharType="separate"/>
      </w:r>
      <w:r>
        <w:rPr>
          <w:rFonts w:hint="eastAsia" w:ascii="仿宋" w:hAnsi="仿宋" w:eastAsia="仿宋" w:cs="仿宋"/>
          <w:bCs/>
          <w:color w:val="auto"/>
          <w:sz w:val="28"/>
          <w:szCs w:val="28"/>
          <w:highlight w:val="none"/>
        </w:rPr>
        <w:t>四、提交响应文件</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_Toc14834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rPr>
        <w:fldChar w:fldCharType="end"/>
      </w:r>
      <w:r>
        <w:rPr>
          <w:rFonts w:hint="eastAsia" w:ascii="仿宋" w:hAnsi="仿宋" w:eastAsia="仿宋" w:cs="仿宋"/>
          <w:bCs/>
          <w:color w:val="auto"/>
          <w:sz w:val="28"/>
          <w:szCs w:val="28"/>
          <w:highlight w:val="none"/>
          <w:lang w:eastAsia="zh-CN"/>
        </w:rPr>
        <w:fldChar w:fldCharType="end"/>
      </w:r>
    </w:p>
    <w:p w14:paraId="72E4AF95">
      <w:pPr>
        <w:pStyle w:val="22"/>
        <w:shd w:val="clear"/>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fldChar w:fldCharType="begin"/>
      </w:r>
      <w:r>
        <w:rPr>
          <w:rFonts w:hint="eastAsia" w:ascii="仿宋" w:hAnsi="仿宋" w:eastAsia="仿宋" w:cs="仿宋"/>
          <w:bCs/>
          <w:color w:val="auto"/>
          <w:sz w:val="28"/>
          <w:szCs w:val="28"/>
          <w:highlight w:val="none"/>
          <w:lang w:eastAsia="zh-CN"/>
        </w:rPr>
        <w:instrText xml:space="preserve"> HYPERLINK \l _Toc24160 </w:instrText>
      </w:r>
      <w:r>
        <w:rPr>
          <w:rFonts w:hint="eastAsia" w:ascii="仿宋" w:hAnsi="仿宋" w:eastAsia="仿宋" w:cs="仿宋"/>
          <w:bCs/>
          <w:color w:val="auto"/>
          <w:sz w:val="28"/>
          <w:szCs w:val="28"/>
          <w:highlight w:val="none"/>
          <w:lang w:eastAsia="zh-CN"/>
        </w:rPr>
        <w:fldChar w:fldCharType="separate"/>
      </w:r>
      <w:r>
        <w:rPr>
          <w:rFonts w:hint="eastAsia" w:ascii="仿宋" w:hAnsi="仿宋" w:eastAsia="仿宋" w:cs="仿宋"/>
          <w:bCs/>
          <w:color w:val="auto"/>
          <w:sz w:val="28"/>
          <w:szCs w:val="28"/>
          <w:highlight w:val="none"/>
        </w:rPr>
        <w:t>五、磋商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_Toc24160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rPr>
        <w:fldChar w:fldCharType="end"/>
      </w:r>
      <w:r>
        <w:rPr>
          <w:rFonts w:hint="eastAsia" w:ascii="仿宋" w:hAnsi="仿宋" w:eastAsia="仿宋" w:cs="仿宋"/>
          <w:bCs/>
          <w:color w:val="auto"/>
          <w:sz w:val="28"/>
          <w:szCs w:val="28"/>
          <w:highlight w:val="none"/>
          <w:lang w:eastAsia="zh-CN"/>
        </w:rPr>
        <w:fldChar w:fldCharType="end"/>
      </w:r>
    </w:p>
    <w:p w14:paraId="4F397A74">
      <w:pPr>
        <w:pStyle w:val="22"/>
        <w:shd w:val="clear"/>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fldChar w:fldCharType="begin"/>
      </w:r>
      <w:r>
        <w:rPr>
          <w:rFonts w:hint="eastAsia" w:ascii="仿宋" w:hAnsi="仿宋" w:eastAsia="仿宋" w:cs="仿宋"/>
          <w:bCs/>
          <w:color w:val="auto"/>
          <w:sz w:val="28"/>
          <w:szCs w:val="28"/>
          <w:highlight w:val="none"/>
          <w:lang w:eastAsia="zh-CN"/>
        </w:rPr>
        <w:instrText xml:space="preserve"> HYPERLINK \l _Toc17383 </w:instrText>
      </w:r>
      <w:r>
        <w:rPr>
          <w:rFonts w:hint="eastAsia" w:ascii="仿宋" w:hAnsi="仿宋" w:eastAsia="仿宋" w:cs="仿宋"/>
          <w:bCs/>
          <w:color w:val="auto"/>
          <w:sz w:val="28"/>
          <w:szCs w:val="28"/>
          <w:highlight w:val="none"/>
          <w:lang w:eastAsia="zh-CN"/>
        </w:rPr>
        <w:fldChar w:fldCharType="separate"/>
      </w:r>
      <w:r>
        <w:rPr>
          <w:rFonts w:hint="eastAsia" w:ascii="仿宋" w:hAnsi="仿宋" w:eastAsia="仿宋" w:cs="仿宋"/>
          <w:bCs/>
          <w:color w:val="auto"/>
          <w:sz w:val="28"/>
          <w:szCs w:val="28"/>
          <w:highlight w:val="none"/>
        </w:rPr>
        <w:t>六、成交结果</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_Toc17383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rPr>
        <w:fldChar w:fldCharType="end"/>
      </w:r>
      <w:r>
        <w:rPr>
          <w:rFonts w:hint="eastAsia" w:ascii="仿宋" w:hAnsi="仿宋" w:eastAsia="仿宋" w:cs="仿宋"/>
          <w:bCs/>
          <w:color w:val="auto"/>
          <w:sz w:val="28"/>
          <w:szCs w:val="28"/>
          <w:highlight w:val="none"/>
          <w:lang w:eastAsia="zh-CN"/>
        </w:rPr>
        <w:fldChar w:fldCharType="end"/>
      </w:r>
    </w:p>
    <w:p w14:paraId="22E287C3">
      <w:pPr>
        <w:pStyle w:val="21"/>
        <w:shd w:val="clear"/>
        <w:tabs>
          <w:tab w:val="right" w:leader="dot" w:pos="9746"/>
        </w:tabs>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fldChar w:fldCharType="begin"/>
      </w:r>
      <w:r>
        <w:rPr>
          <w:rFonts w:hint="eastAsia" w:ascii="仿宋" w:hAnsi="仿宋" w:eastAsia="仿宋" w:cs="仿宋"/>
          <w:b/>
          <w:bCs/>
          <w:color w:val="auto"/>
          <w:sz w:val="28"/>
          <w:szCs w:val="28"/>
          <w:highlight w:val="none"/>
          <w:lang w:eastAsia="zh-CN"/>
        </w:rPr>
        <w:instrText xml:space="preserve"> HYPERLINK \l _Toc29323 </w:instrText>
      </w:r>
      <w:r>
        <w:rPr>
          <w:rFonts w:hint="eastAsia" w:ascii="仿宋" w:hAnsi="仿宋" w:eastAsia="仿宋" w:cs="仿宋"/>
          <w:b/>
          <w:bCs/>
          <w:color w:val="auto"/>
          <w:sz w:val="28"/>
          <w:szCs w:val="28"/>
          <w:highlight w:val="none"/>
          <w:lang w:eastAsia="zh-CN"/>
        </w:rPr>
        <w:fldChar w:fldCharType="separate"/>
      </w:r>
      <w:r>
        <w:rPr>
          <w:rFonts w:hint="eastAsia" w:ascii="仿宋" w:hAnsi="仿宋" w:eastAsia="仿宋" w:cs="仿宋"/>
          <w:b/>
          <w:bCs/>
          <w:color w:val="auto"/>
          <w:sz w:val="28"/>
          <w:szCs w:val="28"/>
          <w:highlight w:val="none"/>
        </w:rPr>
        <w:t>第三章  合同样式及主要条款</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_Toc29323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29</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lang w:eastAsia="zh-CN"/>
        </w:rPr>
        <w:fldChar w:fldCharType="end"/>
      </w:r>
    </w:p>
    <w:p w14:paraId="523405C2">
      <w:pPr>
        <w:pStyle w:val="21"/>
        <w:shd w:val="clear"/>
        <w:tabs>
          <w:tab w:val="right" w:leader="dot" w:pos="9746"/>
        </w:tabs>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fldChar w:fldCharType="begin"/>
      </w:r>
      <w:r>
        <w:rPr>
          <w:rFonts w:hint="eastAsia" w:ascii="仿宋" w:hAnsi="仿宋" w:eastAsia="仿宋" w:cs="仿宋"/>
          <w:b/>
          <w:bCs/>
          <w:color w:val="auto"/>
          <w:sz w:val="28"/>
          <w:szCs w:val="28"/>
          <w:highlight w:val="none"/>
          <w:lang w:eastAsia="zh-CN"/>
        </w:rPr>
        <w:instrText xml:space="preserve"> HYPERLINK \l _Toc5954 </w:instrText>
      </w:r>
      <w:r>
        <w:rPr>
          <w:rFonts w:hint="eastAsia" w:ascii="仿宋" w:hAnsi="仿宋" w:eastAsia="仿宋" w:cs="仿宋"/>
          <w:b/>
          <w:bCs/>
          <w:color w:val="auto"/>
          <w:sz w:val="28"/>
          <w:szCs w:val="28"/>
          <w:highlight w:val="none"/>
          <w:lang w:eastAsia="zh-CN"/>
        </w:rPr>
        <w:fldChar w:fldCharType="separate"/>
      </w:r>
      <w:r>
        <w:rPr>
          <w:rFonts w:hint="eastAsia" w:ascii="仿宋" w:hAnsi="仿宋" w:eastAsia="仿宋" w:cs="仿宋"/>
          <w:b/>
          <w:bCs/>
          <w:color w:val="auto"/>
          <w:sz w:val="28"/>
          <w:szCs w:val="28"/>
          <w:highlight w:val="none"/>
        </w:rPr>
        <w:t>第</w:t>
      </w: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 xml:space="preserve">章  </w:t>
      </w:r>
      <w:r>
        <w:rPr>
          <w:rFonts w:hint="eastAsia" w:ascii="仿宋" w:hAnsi="仿宋" w:eastAsia="仿宋" w:cs="仿宋"/>
          <w:b/>
          <w:bCs/>
          <w:color w:val="auto"/>
          <w:sz w:val="28"/>
          <w:szCs w:val="28"/>
          <w:highlight w:val="none"/>
          <w:lang w:val="en-US" w:eastAsia="zh-CN"/>
        </w:rPr>
        <w:t>采购需求</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_Toc5954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37</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lang w:eastAsia="zh-CN"/>
        </w:rPr>
        <w:fldChar w:fldCharType="end"/>
      </w:r>
    </w:p>
    <w:p w14:paraId="23C67010">
      <w:pPr>
        <w:pStyle w:val="21"/>
        <w:shd w:val="clear"/>
        <w:tabs>
          <w:tab w:val="right" w:leader="dot" w:pos="9746"/>
        </w:tabs>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fldChar w:fldCharType="begin"/>
      </w:r>
      <w:r>
        <w:rPr>
          <w:rFonts w:hint="eastAsia" w:ascii="仿宋" w:hAnsi="仿宋" w:eastAsia="仿宋" w:cs="仿宋"/>
          <w:b/>
          <w:bCs/>
          <w:color w:val="auto"/>
          <w:sz w:val="28"/>
          <w:szCs w:val="28"/>
          <w:highlight w:val="none"/>
          <w:lang w:eastAsia="zh-CN"/>
        </w:rPr>
        <w:instrText xml:space="preserve"> HYPERLINK \l _Toc3429 </w:instrText>
      </w:r>
      <w:r>
        <w:rPr>
          <w:rFonts w:hint="eastAsia" w:ascii="仿宋" w:hAnsi="仿宋" w:eastAsia="仿宋" w:cs="仿宋"/>
          <w:b/>
          <w:bCs/>
          <w:color w:val="auto"/>
          <w:sz w:val="28"/>
          <w:szCs w:val="28"/>
          <w:highlight w:val="none"/>
          <w:lang w:eastAsia="zh-CN"/>
        </w:rPr>
        <w:fldChar w:fldCharType="separate"/>
      </w:r>
      <w:r>
        <w:rPr>
          <w:rFonts w:hint="eastAsia" w:ascii="仿宋" w:hAnsi="仿宋" w:eastAsia="仿宋" w:cs="仿宋"/>
          <w:b/>
          <w:bCs/>
          <w:color w:val="auto"/>
          <w:sz w:val="28"/>
          <w:szCs w:val="28"/>
          <w:highlight w:val="none"/>
        </w:rPr>
        <w:t>第五章  响应文件格式</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_Toc3429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40</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lang w:eastAsia="zh-CN"/>
        </w:rPr>
        <w:fldChar w:fldCharType="end"/>
      </w:r>
    </w:p>
    <w:p w14:paraId="033F8C01">
      <w:pPr>
        <w:pStyle w:val="21"/>
        <w:shd w:val="clear"/>
        <w:tabs>
          <w:tab w:val="right" w:leader="dot" w:pos="9746"/>
        </w:tabs>
        <w:spacing w:line="360" w:lineRule="auto"/>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eastAsia="zh-CN"/>
        </w:rPr>
        <w:fldChar w:fldCharType="begin"/>
      </w:r>
      <w:r>
        <w:rPr>
          <w:rFonts w:hint="eastAsia" w:ascii="仿宋" w:hAnsi="仿宋" w:eastAsia="仿宋" w:cs="仿宋"/>
          <w:b/>
          <w:bCs/>
          <w:color w:val="auto"/>
          <w:sz w:val="28"/>
          <w:szCs w:val="28"/>
          <w:highlight w:val="none"/>
          <w:lang w:eastAsia="zh-CN"/>
        </w:rPr>
        <w:instrText xml:space="preserve"> HYPERLINK \l _Toc8536 </w:instrText>
      </w:r>
      <w:r>
        <w:rPr>
          <w:rFonts w:hint="eastAsia" w:ascii="仿宋" w:hAnsi="仿宋" w:eastAsia="仿宋" w:cs="仿宋"/>
          <w:b/>
          <w:bCs/>
          <w:color w:val="auto"/>
          <w:sz w:val="28"/>
          <w:szCs w:val="28"/>
          <w:highlight w:val="none"/>
          <w:lang w:eastAsia="zh-CN"/>
        </w:rPr>
        <w:fldChar w:fldCharType="separate"/>
      </w:r>
      <w:r>
        <w:rPr>
          <w:rFonts w:hint="eastAsia" w:ascii="仿宋" w:hAnsi="仿宋" w:eastAsia="仿宋" w:cs="仿宋"/>
          <w:b/>
          <w:bCs/>
          <w:color w:val="auto"/>
          <w:sz w:val="28"/>
          <w:szCs w:val="28"/>
          <w:highlight w:val="none"/>
        </w:rPr>
        <w:t>第六章  评审办法</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_Toc8536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66</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lang w:eastAsia="zh-CN"/>
        </w:rPr>
        <w:fldChar w:fldCharType="end"/>
      </w:r>
    </w:p>
    <w:p w14:paraId="062E98CE">
      <w:pPr>
        <w:pStyle w:val="21"/>
        <w:keepNext w:val="0"/>
        <w:keepLines w:val="0"/>
        <w:pageBreakBefore w:val="0"/>
        <w:widowControl w:val="0"/>
        <w:tabs>
          <w:tab w:val="right" w:leader="dot" w:pos="9571"/>
        </w:tabs>
        <w:kinsoku/>
        <w:wordWrap/>
        <w:overflowPunct/>
        <w:topLinePunct w:val="0"/>
        <w:autoSpaceDE/>
        <w:autoSpaceDN/>
        <w:bidi w:val="0"/>
        <w:adjustRightInd/>
        <w:snapToGrid/>
        <w:spacing w:line="360" w:lineRule="auto"/>
        <w:ind w:left="0"/>
        <w:jc w:val="center"/>
        <w:textAlignment w:val="auto"/>
        <w:rPr>
          <w:rFonts w:hint="eastAsia" w:ascii="仿宋" w:hAnsi="仿宋" w:eastAsia="仿宋" w:cs="仿宋"/>
          <w:b/>
          <w:bCs/>
          <w:color w:val="auto"/>
          <w:sz w:val="24"/>
          <w:highlight w:val="none"/>
          <w:lang w:eastAsia="zh-CN"/>
        </w:rPr>
        <w:sectPr>
          <w:headerReference r:id="rId4" w:type="default"/>
          <w:footerReference r:id="rId5" w:type="default"/>
          <w:pgSz w:w="11906" w:h="16838"/>
          <w:pgMar w:top="1440" w:right="1080" w:bottom="1440" w:left="1080" w:header="1020" w:footer="850" w:gutter="0"/>
          <w:pgBorders w:offsetFrom="page">
            <w:top w:val="none" w:sz="0" w:space="0"/>
            <w:left w:val="none" w:sz="0" w:space="0"/>
            <w:bottom w:val="none" w:sz="0" w:space="0"/>
            <w:right w:val="none" w:sz="0" w:space="0"/>
          </w:pgBorders>
          <w:pgNumType w:fmt="decimal" w:start="1"/>
          <w:cols w:space="720" w:num="1"/>
          <w:docGrid w:type="linesAndChars" w:linePitch="312" w:charSpace="0"/>
        </w:sectPr>
      </w:pPr>
      <w:r>
        <w:rPr>
          <w:rFonts w:hint="eastAsia" w:ascii="仿宋" w:hAnsi="仿宋" w:eastAsia="仿宋" w:cs="仿宋"/>
          <w:bCs/>
          <w:color w:val="auto"/>
          <w:szCs w:val="28"/>
          <w:highlight w:val="none"/>
          <w:lang w:eastAsia="zh-CN"/>
        </w:rPr>
        <w:fldChar w:fldCharType="end"/>
      </w:r>
    </w:p>
    <w:p w14:paraId="690DC5A5">
      <w:pPr>
        <w:spacing w:line="360" w:lineRule="auto"/>
        <w:rPr>
          <w:rFonts w:hint="eastAsia" w:ascii="仿宋" w:hAnsi="仿宋" w:eastAsia="仿宋" w:cs="仿宋"/>
          <w:color w:val="auto"/>
          <w:sz w:val="28"/>
          <w:szCs w:val="28"/>
          <w:highlight w:val="none"/>
          <w:lang w:eastAsia="zh-CN"/>
        </w:rPr>
      </w:pPr>
      <w:bookmarkStart w:id="3" w:name="_Toc5957275"/>
    </w:p>
    <w:p w14:paraId="57BD4165">
      <w:pPr>
        <w:spacing w:line="360" w:lineRule="auto"/>
        <w:rPr>
          <w:rFonts w:hint="eastAsia" w:ascii="仿宋" w:hAnsi="仿宋" w:eastAsia="仿宋" w:cs="仿宋"/>
          <w:color w:val="auto"/>
          <w:sz w:val="28"/>
          <w:szCs w:val="28"/>
          <w:highlight w:val="none"/>
        </w:rPr>
      </w:pPr>
    </w:p>
    <w:p w14:paraId="2C470997">
      <w:pPr>
        <w:spacing w:line="360" w:lineRule="auto"/>
        <w:rPr>
          <w:rFonts w:hint="eastAsia" w:ascii="仿宋" w:hAnsi="仿宋" w:eastAsia="仿宋" w:cs="仿宋"/>
          <w:color w:val="auto"/>
          <w:sz w:val="28"/>
          <w:szCs w:val="28"/>
          <w:highlight w:val="none"/>
        </w:rPr>
      </w:pPr>
    </w:p>
    <w:p w14:paraId="677F05BB">
      <w:pPr>
        <w:spacing w:line="360" w:lineRule="auto"/>
        <w:rPr>
          <w:rFonts w:hint="eastAsia" w:ascii="仿宋" w:hAnsi="仿宋" w:eastAsia="仿宋" w:cs="仿宋"/>
          <w:color w:val="auto"/>
          <w:sz w:val="28"/>
          <w:szCs w:val="28"/>
          <w:highlight w:val="none"/>
        </w:rPr>
      </w:pPr>
    </w:p>
    <w:p w14:paraId="2929F18E">
      <w:pPr>
        <w:spacing w:line="360" w:lineRule="auto"/>
        <w:rPr>
          <w:rFonts w:hint="eastAsia" w:ascii="仿宋" w:hAnsi="仿宋" w:eastAsia="仿宋" w:cs="仿宋"/>
          <w:color w:val="auto"/>
          <w:sz w:val="28"/>
          <w:szCs w:val="28"/>
          <w:highlight w:val="none"/>
        </w:rPr>
      </w:pPr>
    </w:p>
    <w:p w14:paraId="738762A6">
      <w:pPr>
        <w:spacing w:line="360" w:lineRule="auto"/>
        <w:rPr>
          <w:rFonts w:hint="eastAsia" w:ascii="仿宋" w:hAnsi="仿宋" w:eastAsia="仿宋" w:cs="仿宋"/>
          <w:color w:val="auto"/>
          <w:sz w:val="28"/>
          <w:szCs w:val="28"/>
          <w:highlight w:val="none"/>
        </w:rPr>
      </w:pPr>
    </w:p>
    <w:p w14:paraId="0263438F">
      <w:pPr>
        <w:spacing w:line="360" w:lineRule="auto"/>
        <w:rPr>
          <w:rFonts w:hint="eastAsia" w:ascii="仿宋" w:hAnsi="仿宋" w:eastAsia="仿宋" w:cs="仿宋"/>
          <w:color w:val="auto"/>
          <w:sz w:val="28"/>
          <w:szCs w:val="28"/>
          <w:highlight w:val="none"/>
        </w:rPr>
      </w:pPr>
    </w:p>
    <w:p w14:paraId="4F1FCEC7">
      <w:pPr>
        <w:spacing w:line="360" w:lineRule="auto"/>
        <w:rPr>
          <w:rFonts w:hint="eastAsia" w:ascii="仿宋" w:hAnsi="仿宋" w:eastAsia="仿宋" w:cs="仿宋"/>
          <w:color w:val="auto"/>
          <w:sz w:val="28"/>
          <w:szCs w:val="28"/>
          <w:highlight w:val="none"/>
        </w:rPr>
      </w:pPr>
    </w:p>
    <w:p w14:paraId="4214664E">
      <w:pPr>
        <w:spacing w:line="360" w:lineRule="auto"/>
        <w:rPr>
          <w:rFonts w:hint="eastAsia" w:ascii="仿宋" w:hAnsi="仿宋" w:eastAsia="仿宋" w:cs="仿宋"/>
          <w:color w:val="auto"/>
          <w:highlight w:val="none"/>
        </w:rPr>
      </w:pPr>
    </w:p>
    <w:p w14:paraId="7C333D55">
      <w:pPr>
        <w:spacing w:line="360" w:lineRule="auto"/>
        <w:rPr>
          <w:rFonts w:hint="eastAsia" w:ascii="仿宋" w:hAnsi="仿宋" w:eastAsia="仿宋" w:cs="仿宋"/>
          <w:color w:val="auto"/>
          <w:highlight w:val="none"/>
        </w:rPr>
      </w:pPr>
      <w:bookmarkStart w:id="4" w:name="_Toc30438"/>
    </w:p>
    <w:p w14:paraId="0A789457">
      <w:pPr>
        <w:pStyle w:val="2"/>
        <w:numPr>
          <w:ilvl w:val="0"/>
          <w:numId w:val="0"/>
        </w:numPr>
        <w:spacing w:line="360" w:lineRule="auto"/>
        <w:jc w:val="center"/>
        <w:rPr>
          <w:rFonts w:hint="eastAsia" w:ascii="仿宋" w:hAnsi="仿宋" w:eastAsia="仿宋" w:cs="仿宋"/>
          <w:color w:val="auto"/>
          <w:sz w:val="32"/>
          <w:highlight w:val="none"/>
        </w:rPr>
      </w:pPr>
      <w:bookmarkStart w:id="5" w:name="_Toc11211"/>
      <w:r>
        <w:rPr>
          <w:rFonts w:hint="eastAsia" w:ascii="仿宋" w:hAnsi="仿宋" w:eastAsia="仿宋" w:cs="仿宋"/>
          <w:color w:val="auto"/>
          <w:sz w:val="32"/>
          <w:highlight w:val="none"/>
        </w:rPr>
        <w:t xml:space="preserve">第一章  </w:t>
      </w:r>
      <w:bookmarkEnd w:id="2"/>
      <w:r>
        <w:rPr>
          <w:rFonts w:hint="eastAsia" w:ascii="仿宋" w:hAnsi="仿宋" w:eastAsia="仿宋" w:cs="仿宋"/>
          <w:color w:val="auto"/>
          <w:sz w:val="32"/>
          <w:highlight w:val="none"/>
        </w:rPr>
        <w:t>竞争性磋商公告</w:t>
      </w:r>
      <w:bookmarkEnd w:id="3"/>
      <w:bookmarkEnd w:id="4"/>
      <w:bookmarkEnd w:id="5"/>
    </w:p>
    <w:p w14:paraId="742D9C8A">
      <w:pPr>
        <w:numPr>
          <w:ilvl w:val="0"/>
          <w:numId w:val="0"/>
        </w:numPr>
        <w:tabs>
          <w:tab w:val="left" w:pos="360"/>
        </w:tabs>
        <w:spacing w:line="360" w:lineRule="auto"/>
        <w:jc w:val="center"/>
        <w:outlineLvl w:val="9"/>
        <w:rPr>
          <w:rFonts w:hint="eastAsia" w:ascii="仿宋" w:hAnsi="仿宋" w:eastAsia="仿宋" w:cs="仿宋"/>
          <w:b/>
          <w:bCs/>
          <w:color w:val="auto"/>
          <w:sz w:val="32"/>
          <w:szCs w:val="32"/>
          <w:highlight w:val="none"/>
        </w:rPr>
      </w:pPr>
      <w:r>
        <w:rPr>
          <w:rFonts w:hint="eastAsia" w:ascii="仿宋" w:hAnsi="仿宋" w:eastAsia="仿宋" w:cs="仿宋"/>
          <w:color w:val="auto"/>
          <w:sz w:val="32"/>
          <w:highlight w:val="none"/>
        </w:rPr>
        <w:br w:type="page"/>
      </w:r>
      <w:bookmarkStart w:id="6" w:name="_Toc29636"/>
      <w:bookmarkStart w:id="7" w:name="_Toc7863"/>
      <w:bookmarkStart w:id="8" w:name="_Toc337822211"/>
      <w:r>
        <w:rPr>
          <w:rFonts w:hint="eastAsia" w:ascii="仿宋" w:hAnsi="仿宋" w:eastAsia="仿宋" w:cs="仿宋"/>
          <w:b/>
          <w:bCs/>
          <w:color w:val="auto"/>
          <w:sz w:val="32"/>
          <w:szCs w:val="32"/>
          <w:highlight w:val="none"/>
          <w:lang w:eastAsia="zh-CN"/>
        </w:rPr>
        <w:t>文山州人民医院GE 1.5T核磁共振设备维保服务采购项目</w:t>
      </w:r>
      <w:r>
        <w:rPr>
          <w:rFonts w:hint="eastAsia" w:ascii="仿宋" w:hAnsi="仿宋" w:eastAsia="仿宋" w:cs="仿宋"/>
          <w:b/>
          <w:bCs/>
          <w:color w:val="auto"/>
          <w:sz w:val="32"/>
          <w:szCs w:val="32"/>
          <w:highlight w:val="none"/>
        </w:rPr>
        <w:t>竞争性磋商公告</w:t>
      </w:r>
      <w:bookmarkEnd w:id="6"/>
      <w:bookmarkEnd w:id="7"/>
    </w:p>
    <w:tbl>
      <w:tblPr>
        <w:tblStyle w:val="26"/>
        <w:tblpPr w:leftFromText="180" w:rightFromText="180" w:vertAnchor="page" w:horzAnchor="page" w:tblpX="1070" w:tblpY="2699"/>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6"/>
      </w:tblGrid>
      <w:tr w14:paraId="1836F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2" w:hRule="atLeast"/>
        </w:trPr>
        <w:tc>
          <w:tcPr>
            <w:tcW w:w="5000" w:type="pct"/>
            <w:noWrap w:val="0"/>
            <w:vAlign w:val="top"/>
          </w:tcPr>
          <w:p w14:paraId="5F42EA2C">
            <w:pPr>
              <w:spacing w:line="360" w:lineRule="auto"/>
              <w:jc w:val="both"/>
              <w:rPr>
                <w:rFonts w:hint="eastAsia" w:ascii="仿宋" w:hAnsi="仿宋" w:eastAsia="仿宋" w:cs="仿宋"/>
                <w:b/>
                <w:bCs/>
                <w:color w:val="auto"/>
                <w:sz w:val="24"/>
                <w:szCs w:val="24"/>
                <w:highlight w:val="none"/>
                <w:vertAlign w:val="baseline"/>
                <w:lang w:eastAsia="zh-CN"/>
              </w:rPr>
            </w:pPr>
            <w:bookmarkStart w:id="9" w:name="_Toc28359002"/>
            <w:r>
              <w:rPr>
                <w:rFonts w:hint="eastAsia" w:ascii="仿宋" w:hAnsi="仿宋" w:eastAsia="仿宋" w:cs="仿宋"/>
                <w:b/>
                <w:bCs/>
                <w:color w:val="auto"/>
                <w:sz w:val="24"/>
                <w:szCs w:val="24"/>
                <w:highlight w:val="none"/>
                <w:vertAlign w:val="baseline"/>
              </w:rPr>
              <w:t>项目概况</w:t>
            </w:r>
            <w:r>
              <w:rPr>
                <w:rFonts w:hint="eastAsia" w:ascii="仿宋" w:hAnsi="仿宋" w:eastAsia="仿宋" w:cs="仿宋"/>
                <w:b/>
                <w:bCs/>
                <w:color w:val="auto"/>
                <w:sz w:val="24"/>
                <w:szCs w:val="24"/>
                <w:highlight w:val="none"/>
                <w:vertAlign w:val="baseline"/>
                <w:lang w:eastAsia="zh-CN"/>
              </w:rPr>
              <w:t>：</w:t>
            </w:r>
          </w:p>
          <w:p w14:paraId="00F0438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Cs w:val="21"/>
                <w:highlight w:val="none"/>
                <w:vertAlign w:val="baseline"/>
              </w:rPr>
            </w:pPr>
            <w:r>
              <w:rPr>
                <w:rFonts w:hint="eastAsia" w:ascii="仿宋" w:hAnsi="仿宋" w:eastAsia="仿宋" w:cs="仿宋"/>
                <w:color w:val="auto"/>
                <w:sz w:val="24"/>
                <w:szCs w:val="24"/>
                <w:highlight w:val="none"/>
                <w:u w:val="none"/>
                <w:vertAlign w:val="baseline"/>
                <w:lang w:eastAsia="zh-CN"/>
              </w:rPr>
              <w:t>文山州人民医院GE 1.5T核磁共振设备维保服务采购项目</w:t>
            </w:r>
            <w:r>
              <w:rPr>
                <w:rFonts w:hint="eastAsia" w:ascii="仿宋" w:hAnsi="仿宋" w:eastAsia="仿宋" w:cs="仿宋"/>
                <w:color w:val="auto"/>
                <w:sz w:val="24"/>
                <w:szCs w:val="24"/>
                <w:highlight w:val="none"/>
                <w:vertAlign w:val="baseline"/>
              </w:rPr>
              <w:t>的潜在</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vertAlign w:val="baseline"/>
              </w:rPr>
              <w:t>应在政采云平台（https://www.zcygov.cn/）获取</w:t>
            </w:r>
            <w:r>
              <w:rPr>
                <w:rFonts w:hint="eastAsia" w:ascii="仿宋" w:hAnsi="仿宋" w:eastAsia="仿宋" w:cs="仿宋"/>
                <w:color w:val="auto"/>
                <w:sz w:val="24"/>
                <w:szCs w:val="24"/>
                <w:highlight w:val="none"/>
                <w:vertAlign w:val="baseline"/>
                <w:lang w:val="en-US" w:eastAsia="zh-CN"/>
              </w:rPr>
              <w:t>采购</w:t>
            </w:r>
            <w:r>
              <w:rPr>
                <w:rFonts w:hint="eastAsia" w:ascii="仿宋" w:hAnsi="仿宋" w:eastAsia="仿宋" w:cs="仿宋"/>
                <w:color w:val="auto"/>
                <w:sz w:val="24"/>
                <w:szCs w:val="24"/>
                <w:highlight w:val="none"/>
                <w:vertAlign w:val="baseline"/>
              </w:rPr>
              <w:t>文件，并于</w:t>
            </w:r>
            <w:r>
              <w:rPr>
                <w:rFonts w:hint="eastAsia" w:ascii="仿宋" w:hAnsi="仿宋" w:eastAsia="仿宋" w:cs="仿宋"/>
                <w:color w:val="auto"/>
                <w:sz w:val="24"/>
                <w:szCs w:val="24"/>
                <w:highlight w:val="none"/>
                <w:u w:val="none"/>
                <w:vertAlign w:val="baseline"/>
              </w:rPr>
              <w:t>202</w:t>
            </w:r>
            <w:r>
              <w:rPr>
                <w:rFonts w:hint="eastAsia" w:ascii="仿宋" w:hAnsi="仿宋" w:eastAsia="仿宋" w:cs="仿宋"/>
                <w:color w:val="auto"/>
                <w:sz w:val="24"/>
                <w:szCs w:val="24"/>
                <w:highlight w:val="none"/>
                <w:u w:val="none"/>
                <w:vertAlign w:val="baseline"/>
                <w:lang w:val="en-US" w:eastAsia="zh-CN"/>
              </w:rPr>
              <w:t>5</w:t>
            </w:r>
            <w:r>
              <w:rPr>
                <w:rFonts w:hint="eastAsia" w:ascii="仿宋" w:hAnsi="仿宋" w:eastAsia="仿宋" w:cs="仿宋"/>
                <w:color w:val="auto"/>
                <w:sz w:val="24"/>
                <w:szCs w:val="24"/>
                <w:highlight w:val="none"/>
                <w:vertAlign w:val="baseline"/>
              </w:rPr>
              <w:t>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vertAlign w:val="baseline"/>
              </w:rPr>
              <w:t>月</w:t>
            </w:r>
            <w:r>
              <w:rPr>
                <w:rFonts w:hint="eastAsia" w:ascii="仿宋" w:hAnsi="仿宋" w:eastAsia="仿宋" w:cs="仿宋"/>
                <w:color w:val="auto"/>
                <w:sz w:val="24"/>
                <w:szCs w:val="24"/>
                <w:highlight w:val="none"/>
                <w:vertAlign w:val="baseline"/>
                <w:lang w:val="en-US" w:eastAsia="zh-CN"/>
              </w:rPr>
              <w:t>26</w:t>
            </w:r>
            <w:r>
              <w:rPr>
                <w:rFonts w:hint="eastAsia" w:ascii="仿宋" w:hAnsi="仿宋" w:eastAsia="仿宋" w:cs="仿宋"/>
                <w:color w:val="auto"/>
                <w:sz w:val="24"/>
                <w:szCs w:val="24"/>
                <w:highlight w:val="none"/>
                <w:vertAlign w:val="baseline"/>
              </w:rPr>
              <w:t>日</w:t>
            </w:r>
            <w:r>
              <w:rPr>
                <w:rFonts w:hint="eastAsia" w:ascii="仿宋" w:hAnsi="仿宋" w:eastAsia="仿宋" w:cs="仿宋"/>
                <w:color w:val="auto"/>
                <w:sz w:val="24"/>
                <w:szCs w:val="24"/>
                <w:highlight w:val="none"/>
                <w:u w:val="none"/>
                <w:vertAlign w:val="baseline"/>
                <w:lang w:val="en-US" w:eastAsia="zh-CN"/>
              </w:rPr>
              <w:t>09时00</w:t>
            </w:r>
            <w:r>
              <w:rPr>
                <w:rFonts w:hint="eastAsia" w:ascii="仿宋" w:hAnsi="仿宋" w:eastAsia="仿宋" w:cs="仿宋"/>
                <w:color w:val="auto"/>
                <w:sz w:val="24"/>
                <w:szCs w:val="24"/>
                <w:highlight w:val="none"/>
                <w:vertAlign w:val="baseline"/>
              </w:rPr>
              <w:t>分</w:t>
            </w:r>
            <w:r>
              <w:rPr>
                <w:rFonts w:hint="eastAsia" w:ascii="仿宋" w:hAnsi="仿宋" w:eastAsia="仿宋" w:cs="仿宋"/>
                <w:color w:val="auto"/>
                <w:sz w:val="24"/>
                <w:szCs w:val="24"/>
                <w:highlight w:val="none"/>
                <w:vertAlign w:val="baseline"/>
              </w:rPr>
              <w:t>（北京时间）前</w:t>
            </w:r>
            <w:r>
              <w:rPr>
                <w:rFonts w:hint="eastAsia" w:ascii="仿宋" w:hAnsi="仿宋" w:eastAsia="仿宋" w:cs="仿宋"/>
                <w:color w:val="auto"/>
                <w:sz w:val="24"/>
                <w:szCs w:val="24"/>
                <w:highlight w:val="none"/>
                <w:vertAlign w:val="baseline"/>
                <w:lang w:val="en-US" w:eastAsia="zh-CN"/>
              </w:rPr>
              <w:t>提交</w:t>
            </w:r>
            <w:r>
              <w:rPr>
                <w:rFonts w:hint="eastAsia" w:ascii="仿宋" w:hAnsi="仿宋" w:eastAsia="仿宋" w:cs="仿宋"/>
                <w:color w:val="auto"/>
                <w:sz w:val="24"/>
                <w:szCs w:val="24"/>
                <w:highlight w:val="none"/>
                <w:vertAlign w:val="baseline"/>
              </w:rPr>
              <w:t>响应文件。</w:t>
            </w:r>
          </w:p>
        </w:tc>
      </w:tr>
    </w:tbl>
    <w:p w14:paraId="3CFFD94B">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4"/>
          <w:szCs w:val="24"/>
          <w:highlight w:val="none"/>
          <w:lang w:val="en-US" w:eastAsia="zh-CN" w:bidi="ar"/>
        </w:rPr>
      </w:pPr>
    </w:p>
    <w:p w14:paraId="61593CD3">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bookmarkEnd w:id="9"/>
      <w:bookmarkStart w:id="10" w:name="_Toc35393790"/>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bookmarkEnd w:id="10"/>
      <w:bookmarkStart w:id="11" w:name="_Toc28359079"/>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bookmarkEnd w:id="11"/>
      <w:bookmarkStart w:id="12" w:name="_Toc35393621"/>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bookmarkEnd w:id="12"/>
      <w:bookmarkStart w:id="13" w:name="_Hlk24379207"/>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t>一、项目基本情况</w:t>
      </w:r>
      <w:bookmarkEnd w:id="13"/>
      <w:r>
        <w:rPr>
          <w:rFonts w:hint="eastAsia" w:ascii="仿宋" w:hAnsi="仿宋" w:eastAsia="仿宋" w:cs="仿宋"/>
          <w:b/>
          <w:bCs/>
          <w:color w:val="auto"/>
          <w:kern w:val="0"/>
          <w:sz w:val="24"/>
          <w:szCs w:val="24"/>
          <w:highlight w:val="none"/>
          <w:lang w:val="en-US" w:eastAsia="zh-CN" w:bidi="ar"/>
        </w:rPr>
        <w:fldChar w:fldCharType="end"/>
      </w:r>
      <w:r>
        <w:rPr>
          <w:rFonts w:hint="eastAsia" w:ascii="仿宋" w:hAnsi="仿宋" w:eastAsia="仿宋" w:cs="仿宋"/>
          <w:b/>
          <w:bCs/>
          <w:color w:val="auto"/>
          <w:kern w:val="0"/>
          <w:sz w:val="24"/>
          <w:szCs w:val="24"/>
          <w:highlight w:val="none"/>
          <w:lang w:val="en-US" w:eastAsia="zh-CN" w:bidi="ar"/>
        </w:rPr>
        <w:t>：</w:t>
      </w:r>
    </w:p>
    <w:p w14:paraId="02E6D112">
      <w:pPr>
        <w:pStyle w:val="10"/>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1、项目编号：WSZC2025-C3-00523-YNQH-0007；</w:t>
      </w:r>
    </w:p>
    <w:p w14:paraId="55B80F13">
      <w:pPr>
        <w:pStyle w:val="10"/>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2、项目名称：文山州人民医院GE 1.5T核磁共振设备维保服务采购项目；</w:t>
      </w:r>
    </w:p>
    <w:p w14:paraId="6D8C4C41">
      <w:pPr>
        <w:pStyle w:val="10"/>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3、采购方式：竞争性磋商；</w:t>
      </w:r>
    </w:p>
    <w:p w14:paraId="7FF551DE">
      <w:pPr>
        <w:pStyle w:val="10"/>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4、预算金额（人民币）：150.00万元；</w:t>
      </w:r>
    </w:p>
    <w:p w14:paraId="0D3DB7BB">
      <w:pPr>
        <w:pStyle w:val="10"/>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5、最高限价（人民币）</w:t>
      </w:r>
      <w:r>
        <w:rPr>
          <w:rFonts w:hint="eastAsia" w:ascii="仿宋" w:hAnsi="仿宋" w:eastAsia="仿宋" w:cs="仿宋"/>
          <w:color w:val="auto"/>
          <w:sz w:val="24"/>
          <w:szCs w:val="24"/>
          <w:highlight w:val="none"/>
          <w:lang w:val="en-US" w:eastAsia="zh-CN"/>
        </w:rPr>
        <w:t>：150.00万元；</w:t>
      </w:r>
    </w:p>
    <w:p w14:paraId="5A14E83C">
      <w:pPr>
        <w:pStyle w:val="10"/>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6、采购需求：</w:t>
      </w:r>
    </w:p>
    <w:tbl>
      <w:tblPr>
        <w:tblStyle w:val="25"/>
        <w:tblW w:w="4996" w:type="pct"/>
        <w:jc w:val="center"/>
        <w:tblLayout w:type="autofit"/>
        <w:tblCellMar>
          <w:top w:w="0" w:type="dxa"/>
          <w:left w:w="108" w:type="dxa"/>
          <w:bottom w:w="0" w:type="dxa"/>
          <w:right w:w="108" w:type="dxa"/>
        </w:tblCellMar>
      </w:tblPr>
      <w:tblGrid>
        <w:gridCol w:w="623"/>
        <w:gridCol w:w="2222"/>
        <w:gridCol w:w="806"/>
        <w:gridCol w:w="862"/>
        <w:gridCol w:w="2080"/>
        <w:gridCol w:w="1820"/>
        <w:gridCol w:w="772"/>
        <w:gridCol w:w="763"/>
      </w:tblGrid>
      <w:tr w14:paraId="1B890ED0">
        <w:tblPrEx>
          <w:tblCellMar>
            <w:top w:w="0" w:type="dxa"/>
            <w:left w:w="108" w:type="dxa"/>
            <w:bottom w:w="0" w:type="dxa"/>
            <w:right w:w="108" w:type="dxa"/>
          </w:tblCellMar>
        </w:tblPrEx>
        <w:trPr>
          <w:trHeight w:val="1042" w:hRule="atLeast"/>
          <w:jc w:val="center"/>
        </w:trPr>
        <w:tc>
          <w:tcPr>
            <w:tcW w:w="313" w:type="pct"/>
            <w:tcBorders>
              <w:top w:val="single" w:color="auto" w:sz="4" w:space="0"/>
              <w:left w:val="single" w:color="auto" w:sz="4" w:space="0"/>
              <w:bottom w:val="single" w:color="auto" w:sz="4" w:space="0"/>
              <w:right w:val="single" w:color="auto" w:sz="4" w:space="0"/>
            </w:tcBorders>
            <w:noWrap w:val="0"/>
            <w:vAlign w:val="center"/>
          </w:tcPr>
          <w:p w14:paraId="487FC35C">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序号</w:t>
            </w:r>
          </w:p>
        </w:tc>
        <w:tc>
          <w:tcPr>
            <w:tcW w:w="1116" w:type="pct"/>
            <w:tcBorders>
              <w:top w:val="single" w:color="auto" w:sz="4" w:space="0"/>
              <w:left w:val="nil"/>
              <w:bottom w:val="single" w:color="auto" w:sz="4" w:space="0"/>
              <w:right w:val="single" w:color="auto" w:sz="4" w:space="0"/>
            </w:tcBorders>
            <w:noWrap w:val="0"/>
            <w:vAlign w:val="center"/>
          </w:tcPr>
          <w:p w14:paraId="34EB64F0">
            <w:pPr>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项目名称</w:t>
            </w:r>
          </w:p>
        </w:tc>
        <w:tc>
          <w:tcPr>
            <w:tcW w:w="405" w:type="pct"/>
            <w:tcBorders>
              <w:top w:val="single" w:color="auto" w:sz="4" w:space="0"/>
              <w:left w:val="nil"/>
              <w:bottom w:val="single" w:color="auto" w:sz="4" w:space="0"/>
              <w:right w:val="single" w:color="auto" w:sz="4" w:space="0"/>
            </w:tcBorders>
            <w:noWrap w:val="0"/>
            <w:vAlign w:val="center"/>
          </w:tcPr>
          <w:p w14:paraId="6D65D40B">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数量</w:t>
            </w:r>
          </w:p>
        </w:tc>
        <w:tc>
          <w:tcPr>
            <w:tcW w:w="433" w:type="pct"/>
            <w:tcBorders>
              <w:top w:val="single" w:color="auto" w:sz="4" w:space="0"/>
              <w:left w:val="nil"/>
              <w:bottom w:val="single" w:color="auto" w:sz="4" w:space="0"/>
              <w:right w:val="single" w:color="auto" w:sz="4" w:space="0"/>
            </w:tcBorders>
            <w:noWrap w:val="0"/>
            <w:vAlign w:val="center"/>
          </w:tcPr>
          <w:p w14:paraId="159D9D9F">
            <w:pPr>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单位</w:t>
            </w:r>
          </w:p>
        </w:tc>
        <w:tc>
          <w:tcPr>
            <w:tcW w:w="1045" w:type="pct"/>
            <w:tcBorders>
              <w:top w:val="single" w:color="auto" w:sz="4" w:space="0"/>
              <w:left w:val="nil"/>
              <w:bottom w:val="single" w:color="auto" w:sz="4" w:space="0"/>
              <w:right w:val="single" w:color="auto" w:sz="4" w:space="0"/>
            </w:tcBorders>
            <w:noWrap w:val="0"/>
            <w:vAlign w:val="center"/>
          </w:tcPr>
          <w:p w14:paraId="4DB22D2D">
            <w:pPr>
              <w:pStyle w:val="16"/>
              <w:spacing w:line="360" w:lineRule="auto"/>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单价</w:t>
            </w:r>
          </w:p>
          <w:p w14:paraId="3F9D9C85">
            <w:pPr>
              <w:pStyle w:val="16"/>
              <w:spacing w:line="360" w:lineRule="auto"/>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（单位：万元）</w:t>
            </w:r>
          </w:p>
        </w:tc>
        <w:tc>
          <w:tcPr>
            <w:tcW w:w="914" w:type="pct"/>
            <w:tcBorders>
              <w:top w:val="single" w:color="auto" w:sz="4" w:space="0"/>
              <w:left w:val="nil"/>
              <w:bottom w:val="single" w:color="auto" w:sz="4" w:space="0"/>
              <w:right w:val="single" w:color="auto" w:sz="4" w:space="0"/>
            </w:tcBorders>
            <w:noWrap w:val="0"/>
            <w:vAlign w:val="center"/>
          </w:tcPr>
          <w:p w14:paraId="4128FAE0">
            <w:pPr>
              <w:pStyle w:val="16"/>
              <w:spacing w:line="360" w:lineRule="auto"/>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金额</w:t>
            </w:r>
          </w:p>
          <w:p w14:paraId="14F32309">
            <w:pPr>
              <w:pStyle w:val="16"/>
              <w:spacing w:line="360" w:lineRule="auto"/>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（单位：万元）</w:t>
            </w:r>
          </w:p>
        </w:tc>
        <w:tc>
          <w:tcPr>
            <w:tcW w:w="388" w:type="pct"/>
            <w:tcBorders>
              <w:top w:val="single" w:color="auto" w:sz="4" w:space="0"/>
              <w:left w:val="nil"/>
              <w:bottom w:val="single" w:color="auto" w:sz="4" w:space="0"/>
              <w:right w:val="single" w:color="auto" w:sz="4" w:space="0"/>
            </w:tcBorders>
            <w:noWrap w:val="0"/>
            <w:vAlign w:val="center"/>
          </w:tcPr>
          <w:p w14:paraId="6266829E">
            <w:pPr>
              <w:pStyle w:val="16"/>
              <w:spacing w:line="360" w:lineRule="auto"/>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vertAlign w:val="baseline"/>
                <w:lang w:val="en-US" w:eastAsia="zh-CN"/>
              </w:rPr>
              <w:t>是否进口</w:t>
            </w:r>
          </w:p>
        </w:tc>
        <w:tc>
          <w:tcPr>
            <w:tcW w:w="383" w:type="pct"/>
            <w:tcBorders>
              <w:top w:val="single" w:color="auto" w:sz="4" w:space="0"/>
              <w:left w:val="nil"/>
              <w:bottom w:val="single" w:color="auto" w:sz="4" w:space="0"/>
              <w:right w:val="single" w:color="auto" w:sz="4" w:space="0"/>
            </w:tcBorders>
            <w:noWrap w:val="0"/>
            <w:vAlign w:val="center"/>
          </w:tcPr>
          <w:p w14:paraId="2391DB4A">
            <w:pPr>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备注</w:t>
            </w:r>
          </w:p>
        </w:tc>
      </w:tr>
      <w:tr w14:paraId="48E80680">
        <w:tblPrEx>
          <w:tblCellMar>
            <w:top w:w="0" w:type="dxa"/>
            <w:left w:w="108" w:type="dxa"/>
            <w:bottom w:w="0" w:type="dxa"/>
            <w:right w:w="108" w:type="dxa"/>
          </w:tblCellMar>
        </w:tblPrEx>
        <w:trPr>
          <w:trHeight w:val="844" w:hRule="atLeast"/>
          <w:jc w:val="center"/>
        </w:trPr>
        <w:tc>
          <w:tcPr>
            <w:tcW w:w="313" w:type="pct"/>
            <w:tcBorders>
              <w:top w:val="single" w:color="auto" w:sz="4" w:space="0"/>
              <w:left w:val="single" w:color="auto" w:sz="4" w:space="0"/>
              <w:bottom w:val="single" w:color="auto" w:sz="4" w:space="0"/>
              <w:right w:val="single" w:color="auto" w:sz="4" w:space="0"/>
            </w:tcBorders>
            <w:noWrap w:val="0"/>
            <w:vAlign w:val="center"/>
          </w:tcPr>
          <w:p w14:paraId="4131A5D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p>
        </w:tc>
        <w:tc>
          <w:tcPr>
            <w:tcW w:w="1116" w:type="pct"/>
            <w:tcBorders>
              <w:top w:val="single" w:color="auto" w:sz="4" w:space="0"/>
              <w:left w:val="nil"/>
              <w:bottom w:val="single" w:color="auto" w:sz="4" w:space="0"/>
              <w:right w:val="single" w:color="auto" w:sz="4" w:space="0"/>
            </w:tcBorders>
            <w:noWrap w:val="0"/>
            <w:vAlign w:val="center"/>
          </w:tcPr>
          <w:p w14:paraId="6725A0E9">
            <w:pPr>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GE 1.5T核磁共振设备维保服务</w:t>
            </w:r>
          </w:p>
        </w:tc>
        <w:tc>
          <w:tcPr>
            <w:tcW w:w="405" w:type="pct"/>
            <w:tcBorders>
              <w:top w:val="single" w:color="auto" w:sz="4" w:space="0"/>
              <w:left w:val="nil"/>
              <w:bottom w:val="single" w:color="auto" w:sz="4" w:space="0"/>
              <w:right w:val="single" w:color="auto" w:sz="4" w:space="0"/>
            </w:tcBorders>
            <w:noWrap w:val="0"/>
            <w:vAlign w:val="center"/>
          </w:tcPr>
          <w:p w14:paraId="4750B06A">
            <w:pPr>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1</w:t>
            </w:r>
          </w:p>
        </w:tc>
        <w:tc>
          <w:tcPr>
            <w:tcW w:w="433" w:type="pct"/>
            <w:tcBorders>
              <w:top w:val="single" w:color="auto" w:sz="4" w:space="0"/>
              <w:left w:val="nil"/>
              <w:bottom w:val="single" w:color="auto" w:sz="4" w:space="0"/>
              <w:right w:val="single" w:color="auto" w:sz="4" w:space="0"/>
            </w:tcBorders>
            <w:noWrap w:val="0"/>
            <w:vAlign w:val="center"/>
          </w:tcPr>
          <w:p w14:paraId="6157DF68">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w:t>
            </w:r>
          </w:p>
        </w:tc>
        <w:tc>
          <w:tcPr>
            <w:tcW w:w="1045" w:type="pct"/>
            <w:tcBorders>
              <w:top w:val="single" w:color="auto" w:sz="4" w:space="0"/>
              <w:left w:val="nil"/>
              <w:bottom w:val="single" w:color="auto" w:sz="4" w:space="0"/>
              <w:right w:val="single" w:color="auto" w:sz="4" w:space="0"/>
            </w:tcBorders>
            <w:noWrap w:val="0"/>
            <w:vAlign w:val="center"/>
          </w:tcPr>
          <w:p w14:paraId="4A9C1E2A">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150.00</w:t>
            </w:r>
          </w:p>
        </w:tc>
        <w:tc>
          <w:tcPr>
            <w:tcW w:w="914" w:type="pct"/>
            <w:tcBorders>
              <w:top w:val="single" w:color="auto" w:sz="4" w:space="0"/>
              <w:left w:val="nil"/>
              <w:bottom w:val="single" w:color="auto" w:sz="4" w:space="0"/>
              <w:right w:val="single" w:color="auto" w:sz="4" w:space="0"/>
            </w:tcBorders>
            <w:noWrap w:val="0"/>
            <w:vAlign w:val="center"/>
          </w:tcPr>
          <w:p w14:paraId="77B667FF">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150.00</w:t>
            </w:r>
          </w:p>
        </w:tc>
        <w:tc>
          <w:tcPr>
            <w:tcW w:w="388" w:type="pct"/>
            <w:tcBorders>
              <w:top w:val="single" w:color="auto" w:sz="4" w:space="0"/>
              <w:left w:val="nil"/>
              <w:bottom w:val="single" w:color="auto" w:sz="4" w:space="0"/>
              <w:right w:val="single" w:color="auto" w:sz="4" w:space="0"/>
            </w:tcBorders>
            <w:noWrap w:val="0"/>
            <w:vAlign w:val="center"/>
          </w:tcPr>
          <w:p w14:paraId="0CD57ADD">
            <w:pPr>
              <w:pStyle w:val="16"/>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vertAlign w:val="baseline"/>
                <w:lang w:val="en-US" w:eastAsia="zh-CN"/>
              </w:rPr>
              <w:t>否</w:t>
            </w:r>
          </w:p>
        </w:tc>
        <w:tc>
          <w:tcPr>
            <w:tcW w:w="383" w:type="pct"/>
            <w:tcBorders>
              <w:top w:val="single" w:color="auto" w:sz="4" w:space="0"/>
              <w:left w:val="nil"/>
              <w:bottom w:val="single" w:color="auto" w:sz="4" w:space="0"/>
              <w:right w:val="single" w:color="auto" w:sz="4" w:space="0"/>
            </w:tcBorders>
            <w:noWrap w:val="0"/>
            <w:vAlign w:val="center"/>
          </w:tcPr>
          <w:p w14:paraId="09CDC102">
            <w:pPr>
              <w:spacing w:line="360" w:lineRule="auto"/>
              <w:jc w:val="center"/>
              <w:rPr>
                <w:rFonts w:hint="eastAsia" w:ascii="仿宋" w:hAnsi="仿宋" w:eastAsia="仿宋" w:cs="仿宋"/>
                <w:color w:val="auto"/>
                <w:sz w:val="24"/>
                <w:szCs w:val="24"/>
                <w:highlight w:val="none"/>
                <w:lang w:val="en-US" w:eastAsia="zh-CN"/>
              </w:rPr>
            </w:pPr>
          </w:p>
        </w:tc>
      </w:tr>
    </w:tbl>
    <w:p w14:paraId="41798F53">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注：本项目共设一个标段，供应商必须对整个标段所有内容作出完整唯一的报价，具体要求等内容详见本磋商文件第四章《采购需求》；</w:t>
      </w:r>
    </w:p>
    <w:p w14:paraId="3DF4CB3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7、</w:t>
      </w:r>
      <w:r>
        <w:rPr>
          <w:rFonts w:hint="eastAsia" w:ascii="仿宋" w:hAnsi="仿宋" w:eastAsia="仿宋" w:cs="仿宋"/>
          <w:color w:val="auto"/>
          <w:sz w:val="24"/>
          <w:szCs w:val="24"/>
          <w:highlight w:val="none"/>
          <w:lang w:val="en-US" w:eastAsia="zh-CN"/>
        </w:rPr>
        <w:t>合同履行期限（服务周期）</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36个月，具体以合同签订时间为准</w:t>
      </w:r>
      <w:r>
        <w:rPr>
          <w:rFonts w:hint="eastAsia" w:ascii="仿宋" w:hAnsi="仿宋" w:eastAsia="仿宋" w:cs="仿宋"/>
          <w:color w:val="auto"/>
          <w:kern w:val="0"/>
          <w:sz w:val="24"/>
          <w:szCs w:val="24"/>
          <w:highlight w:val="none"/>
          <w:lang w:val="en-US" w:eastAsia="zh-CN" w:bidi="ar"/>
        </w:rPr>
        <w:t>；</w:t>
      </w:r>
    </w:p>
    <w:p w14:paraId="109105B7">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8、服务地点：文山州人民医院指定地点；</w:t>
      </w:r>
    </w:p>
    <w:p w14:paraId="6CB6F2F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4"/>
          <w:highlight w:val="none"/>
          <w:lang w:val="en-US" w:eastAsia="zh-CN" w:bidi="ar"/>
        </w:rPr>
        <w:t>9</w:t>
      </w:r>
      <w:bookmarkStart w:id="14" w:name="_Toc28359003"/>
      <w:r>
        <w:rPr>
          <w:rFonts w:hint="eastAsia" w:ascii="仿宋" w:hAnsi="仿宋" w:eastAsia="仿宋" w:cs="仿宋"/>
          <w:color w:val="auto"/>
          <w:kern w:val="0"/>
          <w:sz w:val="24"/>
          <w:szCs w:val="21"/>
          <w:highlight w:val="none"/>
          <w:lang w:val="en-US" w:eastAsia="zh-CN" w:bidi="ar"/>
        </w:rPr>
        <w:t>、</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b/>
          <w:bCs/>
          <w:color w:val="auto"/>
          <w:sz w:val="24"/>
          <w:szCs w:val="24"/>
          <w:highlight w:val="none"/>
          <w:u w:val="single"/>
          <w:lang w:val="en-US" w:eastAsia="zh-CN"/>
        </w:rPr>
        <w:t>不接受</w:t>
      </w:r>
      <w:r>
        <w:rPr>
          <w:rFonts w:hint="eastAsia" w:ascii="仿宋" w:hAnsi="仿宋" w:eastAsia="仿宋" w:cs="仿宋"/>
          <w:color w:val="auto"/>
          <w:sz w:val="24"/>
          <w:szCs w:val="24"/>
          <w:highlight w:val="none"/>
          <w:lang w:val="en-US" w:eastAsia="zh-CN"/>
        </w:rPr>
        <w:t>联合体磋商。</w:t>
      </w:r>
    </w:p>
    <w:p w14:paraId="5757498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bookmarkEnd w:id="14"/>
      <w:bookmarkStart w:id="15" w:name="_Toc28359080"/>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bookmarkEnd w:id="15"/>
      <w:bookmarkStart w:id="16" w:name="_Toc35393622"/>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bookmarkEnd w:id="16"/>
      <w:bookmarkStart w:id="17" w:name="_Toc35393791"/>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t>二、申请人的资格要求：</w:t>
      </w:r>
      <w:bookmarkEnd w:id="17"/>
      <w:r>
        <w:rPr>
          <w:rFonts w:hint="eastAsia" w:ascii="仿宋" w:hAnsi="仿宋" w:eastAsia="仿宋" w:cs="仿宋"/>
          <w:b/>
          <w:bCs/>
          <w:color w:val="auto"/>
          <w:kern w:val="0"/>
          <w:sz w:val="24"/>
          <w:szCs w:val="24"/>
          <w:highlight w:val="none"/>
          <w:lang w:val="en-US" w:eastAsia="zh-CN" w:bidi="ar"/>
        </w:rPr>
        <w:fldChar w:fldCharType="end"/>
      </w:r>
    </w:p>
    <w:p w14:paraId="6233D78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1、满足《中华人民共和国政府采购法》第二十二条规定的条件：</w:t>
      </w:r>
    </w:p>
    <w:p w14:paraId="1062089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1.1供应商须具有独立承担民事责任的能力：提供法人或者其他组织的营业执照等证明文件；</w:t>
      </w:r>
    </w:p>
    <w:p w14:paraId="5B0D57E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1.2供应商须具有良好的商业信誉和健全的财务会计制度，提供相关证明材料或书面声明；</w:t>
      </w:r>
    </w:p>
    <w:p w14:paraId="77E50A0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1.3供应商须具有履行合同所必需的设备和专业技术能力，提供相关证明材料或书面声明；</w:t>
      </w:r>
    </w:p>
    <w:p w14:paraId="0E2378C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1.4供应商须具有依法缴纳税收和社会保障资金的良好记录：</w:t>
      </w:r>
    </w:p>
    <w:p w14:paraId="3C64848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1.4.1供应商须提供缴税所属时间在本项目响应文件提交截止时间前任意1个月的税务局税收通用缴款书或银行电子缴税（费）凭证或税务局出具纳税情况的相关证明；成立未满1个月的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0"/>
          <w:sz w:val="24"/>
          <w:szCs w:val="21"/>
          <w:highlight w:val="none"/>
          <w:lang w:val="en-US" w:eastAsia="zh-CN" w:bidi="ar"/>
        </w:rPr>
        <w:t>提供成立以来的税收缴纳凭证或相关情况说明；依法免税的，应提供依法免税的相关证明文件；</w:t>
      </w:r>
    </w:p>
    <w:p w14:paraId="716D445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1.4.2供应商须提供缴费所属时间在本项目响应文件提交截止时间前任意1个月的社会保险费缴款书或银行电子缴税（费）凭证或社保管理部门出具的有效的缴款证明；成立未满1个月的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0"/>
          <w:sz w:val="24"/>
          <w:szCs w:val="21"/>
          <w:highlight w:val="none"/>
          <w:lang w:val="en-US" w:eastAsia="zh-CN" w:bidi="ar"/>
        </w:rPr>
        <w:t>提供成立以来的税收缴纳凭证或相关情况说明；依法免缴的，应提供依法免缴的相关证明文件；</w:t>
      </w:r>
    </w:p>
    <w:p w14:paraId="1C3FC67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1.5供应商参加政府采购活动前三年内，在经营活动中没有重大违法记录（重大违法记录，是指</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0"/>
          <w:sz w:val="24"/>
          <w:szCs w:val="21"/>
          <w:highlight w:val="none"/>
          <w:lang w:val="en-US" w:eastAsia="zh-CN" w:bidi="ar"/>
        </w:rPr>
        <w:t>因违法经营受到刑事处罚或者责令停产停业、吊销许可证或者执照、较大数额罚款等行政处罚）的书面声明；</w:t>
      </w:r>
    </w:p>
    <w:p w14:paraId="116CE35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1.6法律、行政法规规定的其他条件：（1）供应商未被列入“信用中国”网站（www.creditchina.gov.cn）失信被执行人、税收违法黑名单、政府采购严重违法失信行为记录名单及中国政府采购网（www.ccgp.gov.cn）“政府采购严重违法失信行为信息记录”。采购代理机构将于开标结束后对供应商上述信用信息进行查询核对。供应商存在不良信用记录的，不得参与政府采购活动。（2）单位负责人为同一人或者存在直接控股、管理关系的不同供应商，不得参加同一合同项下的政府采购活动。</w:t>
      </w:r>
    </w:p>
    <w:p w14:paraId="60A33AC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2.落实政府采购政策需满足的资格要求：</w:t>
      </w:r>
    </w:p>
    <w:p w14:paraId="36640374">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0"/>
          <w:sz w:val="24"/>
          <w:szCs w:val="21"/>
          <w:highlight w:val="none"/>
          <w:lang w:val="en-US" w:eastAsia="zh-CN" w:bidi="ar"/>
        </w:rPr>
      </w:pPr>
      <w:bookmarkStart w:id="18" w:name="_Toc32739"/>
      <w:bookmarkStart w:id="19" w:name="_Toc9065"/>
      <w:bookmarkStart w:id="20" w:name="_Toc7026"/>
      <w:r>
        <w:rPr>
          <w:rFonts w:hint="eastAsia" w:ascii="仿宋" w:hAnsi="仿宋" w:eastAsia="仿宋" w:cs="仿宋"/>
          <w:color w:val="auto"/>
          <w:kern w:val="0"/>
          <w:sz w:val="24"/>
          <w:szCs w:val="21"/>
          <w:highlight w:val="none"/>
          <w:lang w:val="en-US" w:eastAsia="zh-CN" w:bidi="ar"/>
        </w:rPr>
        <w:t>2.1本项目不属于专门面向中小企业采购的项目。</w:t>
      </w:r>
    </w:p>
    <w:p w14:paraId="23037B4B">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2.2</w:t>
      </w:r>
      <w:r>
        <w:rPr>
          <w:rFonts w:hint="eastAsia" w:ascii="仿宋" w:hAnsi="仿宋" w:eastAsia="仿宋" w:cs="仿宋"/>
          <w:color w:val="auto"/>
          <w:kern w:val="0"/>
          <w:sz w:val="24"/>
          <w:szCs w:val="21"/>
          <w:highlight w:val="none"/>
          <w:lang w:bidi="ar"/>
        </w:rPr>
        <w:t>本项目需要落实的政府采购政策：《财政部 司法部关于政府采购支持监狱企业发展有关问题的通知》（财库〔2014〕68号）、《财政部 民政部 中国残疾人联合会关于促进残疾人就业政府采购政策的通知》（财库〔2017〕141号）、《政府采购促进中小企业发展管理办法》（财库〔2020〕46号）、《关于进一步加大政府采购支持中小企业力度的通知》（财库[2022]19号）等</w:t>
      </w:r>
      <w:r>
        <w:rPr>
          <w:rFonts w:hint="eastAsia" w:ascii="仿宋" w:hAnsi="仿宋" w:eastAsia="仿宋" w:cs="仿宋"/>
          <w:color w:val="auto"/>
          <w:kern w:val="0"/>
          <w:sz w:val="24"/>
          <w:szCs w:val="21"/>
          <w:highlight w:val="none"/>
          <w:lang w:val="en-US" w:eastAsia="zh-CN" w:bidi="ar"/>
        </w:rPr>
        <w:t>。</w:t>
      </w:r>
    </w:p>
    <w:p w14:paraId="2959C05B">
      <w:pPr>
        <w:pStyle w:val="16"/>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kern w:val="0"/>
          <w:sz w:val="24"/>
          <w:szCs w:val="21"/>
          <w:highlight w:val="none"/>
          <w:lang w:bidi="ar"/>
        </w:rPr>
        <w:t>备注：本项目对小微企业的价格给予</w:t>
      </w:r>
      <w:r>
        <w:rPr>
          <w:rFonts w:hint="eastAsia" w:ascii="仿宋" w:hAnsi="仿宋" w:eastAsia="仿宋" w:cs="仿宋"/>
          <w:color w:val="auto"/>
          <w:kern w:val="0"/>
          <w:sz w:val="24"/>
          <w:szCs w:val="21"/>
          <w:highlight w:val="none"/>
          <w:lang w:val="en-US" w:eastAsia="zh-CN" w:bidi="ar"/>
        </w:rPr>
        <w:t>10</w:t>
      </w:r>
      <w:r>
        <w:rPr>
          <w:rFonts w:hint="eastAsia" w:ascii="仿宋" w:hAnsi="仿宋" w:eastAsia="仿宋" w:cs="仿宋"/>
          <w:color w:val="auto"/>
          <w:kern w:val="0"/>
          <w:sz w:val="24"/>
          <w:szCs w:val="21"/>
          <w:highlight w:val="none"/>
          <w:lang w:bidi="ar"/>
        </w:rPr>
        <w:t>%的扣除，监狱企业、残疾人福利性单位视同小微企业。</w:t>
      </w:r>
    </w:p>
    <w:p w14:paraId="7EA4DDFE">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Chars="200" w:right="0" w:rightChars="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b/>
          <w:bCs/>
          <w:color w:val="auto"/>
          <w:kern w:val="0"/>
          <w:sz w:val="24"/>
          <w:szCs w:val="24"/>
          <w:highlight w:val="none"/>
          <w:lang w:val="en-US" w:eastAsia="zh-CN" w:bidi="ar"/>
        </w:rPr>
        <w:t>3.根据本项目的特殊要求规定供应商应具备的特定条件：</w:t>
      </w:r>
      <w:bookmarkEnd w:id="18"/>
      <w:bookmarkEnd w:id="19"/>
      <w:bookmarkEnd w:id="20"/>
      <w:r>
        <w:rPr>
          <w:rFonts w:hint="eastAsia" w:ascii="仿宋" w:hAnsi="仿宋" w:eastAsia="仿宋" w:cs="仿宋"/>
          <w:b/>
          <w:bCs/>
          <w:color w:val="auto"/>
          <w:kern w:val="0"/>
          <w:sz w:val="24"/>
          <w:szCs w:val="21"/>
          <w:highlight w:val="none"/>
          <w:lang w:val="en-US" w:eastAsia="zh-CN" w:bidi="ar"/>
        </w:rPr>
        <w:t>无</w:t>
      </w:r>
    </w:p>
    <w:p w14:paraId="05121271">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Chars="200" w:right="0" w:rightChars="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fldChar w:fldCharType="end"/>
      </w:r>
      <w:r>
        <w:rPr>
          <w:rFonts w:hint="eastAsia" w:ascii="仿宋" w:hAnsi="仿宋" w:eastAsia="仿宋" w:cs="仿宋"/>
          <w:b/>
          <w:bCs/>
          <w:color w:val="auto"/>
          <w:kern w:val="0"/>
          <w:sz w:val="24"/>
          <w:szCs w:val="24"/>
          <w:highlight w:val="none"/>
          <w:lang w:val="en-US" w:eastAsia="zh-CN" w:bidi="ar"/>
        </w:rPr>
        <w:fldChar w:fldCharType="begin"/>
      </w:r>
      <w:r>
        <w:rPr>
          <w:rFonts w:hint="eastAsia" w:ascii="仿宋" w:hAnsi="仿宋" w:eastAsia="仿宋" w:cs="仿宋"/>
          <w:b/>
          <w:bCs/>
          <w:color w:val="auto"/>
          <w:kern w:val="0"/>
          <w:sz w:val="24"/>
          <w:szCs w:val="24"/>
          <w:highlight w:val="none"/>
          <w:lang w:val="en-US" w:eastAsia="zh-CN" w:bidi="ar"/>
        </w:rPr>
        <w:instrText xml:space="preserve"> HYPERLINK "http:///"</w:instrText>
      </w:r>
      <w:r>
        <w:rPr>
          <w:rFonts w:hint="eastAsia" w:ascii="仿宋" w:hAnsi="仿宋" w:eastAsia="仿宋" w:cs="仿宋"/>
          <w:b/>
          <w:bCs/>
          <w:color w:val="auto"/>
          <w:kern w:val="0"/>
          <w:sz w:val="24"/>
          <w:szCs w:val="24"/>
          <w:highlight w:val="none"/>
          <w:lang w:val="en-US" w:eastAsia="zh-CN" w:bidi="ar"/>
        </w:rPr>
        <w:fldChar w:fldCharType="separate"/>
      </w:r>
      <w:r>
        <w:rPr>
          <w:rFonts w:hint="eastAsia" w:ascii="仿宋" w:hAnsi="仿宋" w:eastAsia="仿宋" w:cs="仿宋"/>
          <w:b/>
          <w:bCs/>
          <w:color w:val="auto"/>
          <w:kern w:val="0"/>
          <w:sz w:val="24"/>
          <w:szCs w:val="24"/>
          <w:highlight w:val="none"/>
          <w:lang w:val="en-US" w:eastAsia="zh-CN" w:bidi="ar"/>
        </w:rPr>
        <w:t>三、获取采购文件：</w:t>
      </w:r>
      <w:r>
        <w:rPr>
          <w:rFonts w:hint="eastAsia" w:ascii="仿宋" w:hAnsi="仿宋" w:eastAsia="仿宋" w:cs="仿宋"/>
          <w:b/>
          <w:bCs/>
          <w:color w:val="auto"/>
          <w:kern w:val="0"/>
          <w:sz w:val="24"/>
          <w:szCs w:val="24"/>
          <w:highlight w:val="none"/>
          <w:lang w:val="en-US" w:eastAsia="zh-CN" w:bidi="ar"/>
        </w:rPr>
        <w:fldChar w:fldCharType="end"/>
      </w:r>
    </w:p>
    <w:p w14:paraId="07ACF196">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1、时间：本公告发布之日起至</w:t>
      </w:r>
      <w:r>
        <w:rPr>
          <w:rFonts w:hint="eastAsia" w:ascii="仿宋" w:hAnsi="仿宋" w:eastAsia="仿宋" w:cs="仿宋"/>
          <w:b w:val="0"/>
          <w:bCs w:val="0"/>
          <w:color w:val="auto"/>
          <w:kern w:val="0"/>
          <w:sz w:val="24"/>
          <w:szCs w:val="24"/>
          <w:highlight w:val="none"/>
          <w:lang w:val="en-US" w:eastAsia="zh-CN" w:bidi="ar"/>
        </w:rPr>
        <w:t>2025年06月19日23：59</w:t>
      </w:r>
      <w:r>
        <w:rPr>
          <w:rFonts w:hint="eastAsia" w:ascii="仿宋" w:hAnsi="仿宋" w:eastAsia="仿宋" w:cs="仿宋"/>
          <w:b w:val="0"/>
          <w:bCs w:val="0"/>
          <w:color w:val="auto"/>
          <w:kern w:val="0"/>
          <w:sz w:val="24"/>
          <w:szCs w:val="24"/>
          <w:highlight w:val="none"/>
          <w:lang w:val="en-US" w:eastAsia="zh-CN" w:bidi="ar"/>
        </w:rPr>
        <w:t>（北京时间，法定节假日除外）。</w:t>
      </w:r>
    </w:p>
    <w:p w14:paraId="23C5EAF6">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2、地点：“政采云”平台（https://www.zcygov.cn/）（操作路径：登录“政采云”平台-项目采购-获取采购文件-找到本项目-点击“申请获取采购文件”）。</w:t>
      </w:r>
    </w:p>
    <w:p w14:paraId="387876E5">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方式：（1）凡有意参加投标（磋商或谈判）者，须注册政采云平台账号并登录办理数字证书（CA），若供应商未办理数字证书（CA）的，可办理云南壹证通CA。CA办理链接：http://yzt.ynsmartcert.cn/云南壹证通CA可支持线上、线下办理方式，并提供7*24小时全投标全流程客户服务支持，客服热线400-004-0628（紧急CA办理电话：19988166369）。政府采购云平台支持多家CA服务商，供应商可自行选择。（2）数字证书（CA）申领完成之后进入政采云平台，登录企业账号与CA进行绑定，凭CA进行项目报名并免费下载采购文件。</w:t>
      </w:r>
    </w:p>
    <w:p w14:paraId="6DC3FA29">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按上述要求获取文件的供应商视为已合法获取本项目采购文件，具备本项目的投标（磋商或谈判）资格。（4）如有问题可拨打政采云客户服务热线95763进行咨询，数字证书（CA）问题可咨询云南壹证通24小时技术支持热线：400-004-0628（紧急CA办理电话：19988166369）。</w:t>
      </w:r>
    </w:p>
    <w:p w14:paraId="43502EBB">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4.售价：人民币0.00元。</w:t>
      </w:r>
    </w:p>
    <w:p w14:paraId="7DC074A5">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四、响应文件提交</w:t>
      </w:r>
    </w:p>
    <w:p w14:paraId="3EC950A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1、截止时间：</w:t>
      </w:r>
      <w:r>
        <w:rPr>
          <w:rFonts w:hint="eastAsia" w:ascii="仿宋" w:hAnsi="仿宋" w:eastAsia="仿宋" w:cs="仿宋"/>
          <w:color w:val="auto"/>
          <w:kern w:val="21"/>
          <w:sz w:val="24"/>
          <w:szCs w:val="21"/>
          <w:highlight w:val="none"/>
          <w:lang w:val="en-US" w:eastAsia="zh-CN" w:bidi="ar"/>
        </w:rPr>
        <w:t>2025年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kern w:val="21"/>
          <w:sz w:val="24"/>
          <w:szCs w:val="21"/>
          <w:highlight w:val="none"/>
          <w:lang w:val="en-US" w:eastAsia="zh-CN" w:bidi="ar"/>
        </w:rPr>
        <w:t>月</w:t>
      </w:r>
      <w:r>
        <w:rPr>
          <w:rFonts w:hint="eastAsia" w:ascii="仿宋" w:hAnsi="仿宋" w:eastAsia="仿宋" w:cs="仿宋"/>
          <w:color w:val="auto"/>
          <w:sz w:val="24"/>
          <w:szCs w:val="24"/>
          <w:highlight w:val="none"/>
          <w:lang w:val="en-US" w:eastAsia="zh-CN"/>
        </w:rPr>
        <w:t>26</w:t>
      </w:r>
      <w:r>
        <w:rPr>
          <w:rFonts w:hint="eastAsia" w:ascii="仿宋" w:hAnsi="仿宋" w:eastAsia="仿宋" w:cs="仿宋"/>
          <w:color w:val="auto"/>
          <w:kern w:val="21"/>
          <w:sz w:val="24"/>
          <w:szCs w:val="21"/>
          <w:highlight w:val="none"/>
          <w:lang w:val="en-US" w:eastAsia="zh-CN" w:bidi="ar"/>
        </w:rPr>
        <w:t>日09时00分</w:t>
      </w:r>
      <w:r>
        <w:rPr>
          <w:rFonts w:hint="eastAsia" w:ascii="仿宋" w:hAnsi="仿宋" w:eastAsia="仿宋" w:cs="仿宋"/>
          <w:color w:val="auto"/>
          <w:kern w:val="21"/>
          <w:sz w:val="24"/>
          <w:szCs w:val="21"/>
          <w:highlight w:val="none"/>
          <w:lang w:val="en-US" w:eastAsia="zh-CN" w:bidi="ar"/>
        </w:rPr>
        <w:t>（北京时间）</w:t>
      </w:r>
    </w:p>
    <w:p w14:paraId="703ACAB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2、地点：云南谦浩项目咨询有限公司（文山市卧龙街道大以古社区仁和苑一期E幢01号</w:t>
      </w:r>
      <w:r>
        <w:rPr>
          <w:rFonts w:hint="eastAsia" w:ascii="仿宋" w:hAnsi="仿宋" w:eastAsia="仿宋" w:cs="仿宋"/>
          <w:color w:val="auto"/>
          <w:kern w:val="0"/>
          <w:sz w:val="24"/>
          <w:szCs w:val="21"/>
          <w:highlight w:val="none"/>
          <w:u w:val="none"/>
          <w:lang w:val="en-US" w:eastAsia="zh-CN" w:bidi="ar"/>
        </w:rPr>
        <w:t>二楼开标厅</w:t>
      </w:r>
      <w:r>
        <w:rPr>
          <w:rFonts w:hint="eastAsia" w:ascii="仿宋" w:hAnsi="仿宋" w:eastAsia="仿宋" w:cs="仿宋"/>
          <w:color w:val="auto"/>
          <w:kern w:val="21"/>
          <w:sz w:val="24"/>
          <w:szCs w:val="21"/>
          <w:highlight w:val="none"/>
          <w:lang w:val="en-US" w:eastAsia="zh-CN" w:bidi="ar"/>
        </w:rPr>
        <w:t>）</w:t>
      </w:r>
    </w:p>
    <w:p w14:paraId="48AEDBCF">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3、网上递交：供应商应按照本项目采购文件和"政采云"平台的要求编制、加密响应文件后在响应文件提交截止时间前上传至"政采云"平台，供应商须在提交响应文件截止时间前完成所有电子响应文件的上传，提交响应文件截止时间前未完成响应文件传输的，视为撤回响应文件。供应商在"政采云"平台提交电子版响应文件时，请填写参加远程采购活动经办人联系方式。</w:t>
      </w:r>
    </w:p>
    <w:p w14:paraId="3ACF916E">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五、开启</w:t>
      </w:r>
    </w:p>
    <w:p w14:paraId="1F66F20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1、时间：</w:t>
      </w:r>
      <w:r>
        <w:rPr>
          <w:rFonts w:hint="eastAsia" w:ascii="仿宋" w:hAnsi="仿宋" w:eastAsia="仿宋" w:cs="仿宋"/>
          <w:b w:val="0"/>
          <w:bCs w:val="0"/>
          <w:color w:val="auto"/>
          <w:kern w:val="0"/>
          <w:sz w:val="24"/>
          <w:szCs w:val="24"/>
          <w:highlight w:val="none"/>
          <w:u w:val="none"/>
          <w:lang w:val="en-US" w:eastAsia="zh-CN" w:bidi="ar"/>
        </w:rPr>
        <w:t>2025年</w:t>
      </w:r>
      <w:r>
        <w:rPr>
          <w:rFonts w:hint="eastAsia" w:ascii="仿宋" w:hAnsi="仿宋" w:eastAsia="仿宋" w:cs="仿宋"/>
          <w:color w:val="auto"/>
          <w:sz w:val="24"/>
          <w:szCs w:val="24"/>
          <w:highlight w:val="none"/>
          <w:lang w:val="en-US" w:eastAsia="zh-CN"/>
        </w:rPr>
        <w:t>06</w:t>
      </w:r>
      <w:r>
        <w:rPr>
          <w:rFonts w:hint="eastAsia" w:ascii="仿宋" w:hAnsi="仿宋" w:eastAsia="仿宋" w:cs="仿宋"/>
          <w:b w:val="0"/>
          <w:bCs w:val="0"/>
          <w:color w:val="auto"/>
          <w:kern w:val="0"/>
          <w:sz w:val="24"/>
          <w:szCs w:val="24"/>
          <w:highlight w:val="none"/>
          <w:u w:val="none"/>
          <w:lang w:val="en-US" w:eastAsia="zh-CN" w:bidi="ar"/>
        </w:rPr>
        <w:t>月</w:t>
      </w:r>
      <w:r>
        <w:rPr>
          <w:rFonts w:hint="eastAsia" w:ascii="仿宋" w:hAnsi="仿宋" w:eastAsia="仿宋" w:cs="仿宋"/>
          <w:color w:val="auto"/>
          <w:sz w:val="24"/>
          <w:szCs w:val="24"/>
          <w:highlight w:val="none"/>
          <w:lang w:val="en-US" w:eastAsia="zh-CN"/>
        </w:rPr>
        <w:t>26</w:t>
      </w:r>
      <w:r>
        <w:rPr>
          <w:rFonts w:hint="eastAsia" w:ascii="仿宋" w:hAnsi="仿宋" w:eastAsia="仿宋" w:cs="仿宋"/>
          <w:b w:val="0"/>
          <w:bCs w:val="0"/>
          <w:color w:val="auto"/>
          <w:kern w:val="0"/>
          <w:sz w:val="24"/>
          <w:szCs w:val="24"/>
          <w:highlight w:val="none"/>
          <w:u w:val="none"/>
          <w:lang w:val="en-US" w:eastAsia="zh-CN" w:bidi="ar"/>
        </w:rPr>
        <w:t>日09时00分</w:t>
      </w:r>
      <w:r>
        <w:rPr>
          <w:rFonts w:hint="eastAsia" w:ascii="仿宋" w:hAnsi="仿宋" w:eastAsia="仿宋" w:cs="仿宋"/>
          <w:b w:val="0"/>
          <w:bCs w:val="0"/>
          <w:color w:val="auto"/>
          <w:kern w:val="0"/>
          <w:sz w:val="24"/>
          <w:szCs w:val="24"/>
          <w:highlight w:val="none"/>
          <w:lang w:val="en-US" w:eastAsia="zh-CN" w:bidi="ar"/>
        </w:rPr>
        <w:t>（北京时间）</w:t>
      </w:r>
    </w:p>
    <w:p w14:paraId="168F4A5F">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2、地点：</w:t>
      </w:r>
      <w:r>
        <w:rPr>
          <w:rFonts w:hint="eastAsia" w:ascii="仿宋" w:hAnsi="仿宋" w:eastAsia="仿宋" w:cs="仿宋"/>
          <w:color w:val="auto"/>
          <w:kern w:val="21"/>
          <w:sz w:val="24"/>
          <w:szCs w:val="21"/>
          <w:highlight w:val="none"/>
          <w:lang w:val="en-US" w:eastAsia="zh-CN" w:bidi="ar"/>
        </w:rPr>
        <w:t>云南谦浩项目咨询有限公司（文山市卧龙街道大以古社区仁和苑一期E幢01号</w:t>
      </w:r>
      <w:r>
        <w:rPr>
          <w:rFonts w:hint="eastAsia" w:ascii="仿宋" w:hAnsi="仿宋" w:eastAsia="仿宋" w:cs="仿宋"/>
          <w:color w:val="auto"/>
          <w:kern w:val="0"/>
          <w:sz w:val="24"/>
          <w:szCs w:val="21"/>
          <w:highlight w:val="none"/>
          <w:u w:val="none"/>
          <w:lang w:val="en-US" w:eastAsia="zh-CN" w:bidi="ar"/>
        </w:rPr>
        <w:t>二楼开标厅</w:t>
      </w:r>
      <w:r>
        <w:rPr>
          <w:rFonts w:hint="eastAsia" w:ascii="仿宋" w:hAnsi="仿宋" w:eastAsia="仿宋" w:cs="仿宋"/>
          <w:color w:val="auto"/>
          <w:kern w:val="21"/>
          <w:sz w:val="24"/>
          <w:szCs w:val="21"/>
          <w:highlight w:val="none"/>
          <w:lang w:val="en-US" w:eastAsia="zh-CN" w:bidi="ar"/>
        </w:rPr>
        <w:t>）</w:t>
      </w:r>
    </w:p>
    <w:p w14:paraId="41E8675E">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3、开启方式：本项目采用远程解密或现场解密方式开启。</w:t>
      </w:r>
    </w:p>
    <w:p w14:paraId="086CB25A">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3.1、供应商应熟悉“政府采购云平台”相关投标程序，应提前（至少在投标截止时间前 30分钟）在自有场地配置有音视频通话（带摄像头及话筒的电脑）功能的相应设备及稳定网络环境，并按“政府采购云平台”开标大厅中的提示完成采购活动。</w:t>
      </w:r>
    </w:p>
    <w:p w14:paraId="6E817EB9">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3.2、到现场参与投标的供应商，建议于响应文件提交截止时间前携带编制响应文件时的加密数字证书（CA）、具有摄像头及话筒的笔记本电脑至采购代理机构开标地点参与投标。现场开标地址：云南谦浩项目咨询有限公司（文山市卧龙街道大以古社区仁和苑一期E幢01号</w:t>
      </w:r>
      <w:r>
        <w:rPr>
          <w:rFonts w:hint="eastAsia" w:ascii="仿宋" w:hAnsi="仿宋" w:eastAsia="仿宋" w:cs="仿宋"/>
          <w:color w:val="auto"/>
          <w:kern w:val="0"/>
          <w:sz w:val="24"/>
          <w:szCs w:val="21"/>
          <w:highlight w:val="none"/>
          <w:u w:val="none"/>
          <w:lang w:val="en-US" w:eastAsia="zh-CN" w:bidi="ar"/>
        </w:rPr>
        <w:t>二楼开标厅</w:t>
      </w:r>
      <w:r>
        <w:rPr>
          <w:rFonts w:hint="eastAsia" w:ascii="仿宋" w:hAnsi="仿宋" w:eastAsia="仿宋" w:cs="仿宋"/>
          <w:color w:val="auto"/>
          <w:kern w:val="21"/>
          <w:sz w:val="24"/>
          <w:szCs w:val="21"/>
          <w:highlight w:val="none"/>
          <w:lang w:val="en-US" w:eastAsia="zh-CN" w:bidi="ar"/>
        </w:rPr>
        <w:t xml:space="preserve">）。    </w:t>
      </w:r>
    </w:p>
    <w:p w14:paraId="5E0B8B9B">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 xml:space="preserve">3.3、采购人宣布开启电子响应文件后，供应商登陆“政府采购云平台”开标大厅，使用供应商编制响应文件时的加密数字证书对响应文件进行解密。  </w:t>
      </w:r>
    </w:p>
    <w:p w14:paraId="1B5AC0F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3.4、网上递交的响应文件应使用数字证书进行加密。因供应商自身原因致使响应文件未成功解密的或供应商提交的电子标书不符合本项目电子响应文件编制要求或开标时无法读取导入或解密，其响应文件将不予受理。</w:t>
      </w:r>
    </w:p>
    <w:p w14:paraId="759AFFE2">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bCs/>
          <w:color w:val="auto"/>
          <w:kern w:val="21"/>
          <w:sz w:val="24"/>
          <w:szCs w:val="21"/>
          <w:highlight w:val="none"/>
          <w:lang w:val="en-US" w:eastAsia="zh-CN" w:bidi="ar"/>
        </w:rPr>
      </w:pPr>
      <w:r>
        <w:rPr>
          <w:rFonts w:hint="eastAsia" w:ascii="仿宋" w:hAnsi="仿宋" w:eastAsia="仿宋" w:cs="仿宋"/>
          <w:b/>
          <w:bCs/>
          <w:color w:val="auto"/>
          <w:kern w:val="21"/>
          <w:sz w:val="24"/>
          <w:szCs w:val="21"/>
          <w:highlight w:val="none"/>
          <w:lang w:val="en-US" w:eastAsia="zh-CN" w:bidi="ar"/>
        </w:rPr>
        <w:t>本项目采用竞争性磋商，需进行磋商及二次报价程序，供应商应自有场地配置有音视频通话（带摄像头及话筒的电脑）功能的相应设备及稳定网络环境，解密文件后30分钟按“政府采购云平台”中的提示进行磋商及二次报价。</w:t>
      </w:r>
    </w:p>
    <w:p w14:paraId="1919DB79">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六、公告期限</w:t>
      </w:r>
    </w:p>
    <w:p w14:paraId="4DB35844">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自本公告发布之日起5个工作日。</w:t>
      </w:r>
    </w:p>
    <w:p w14:paraId="2820B2E4">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七、其他补充事宜</w:t>
      </w:r>
    </w:p>
    <w:p w14:paraId="5BB0900F">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1"/>
          <w:sz w:val="24"/>
          <w:szCs w:val="21"/>
          <w:highlight w:val="none"/>
          <w:lang w:val="en-US" w:eastAsia="zh-CN" w:bidi="ar"/>
        </w:rPr>
      </w:pPr>
      <w:r>
        <w:rPr>
          <w:rFonts w:hint="eastAsia" w:ascii="仿宋" w:hAnsi="仿宋" w:eastAsia="仿宋" w:cs="仿宋"/>
          <w:color w:val="auto"/>
          <w:kern w:val="21"/>
          <w:sz w:val="24"/>
          <w:szCs w:val="21"/>
          <w:highlight w:val="none"/>
          <w:lang w:val="en-US" w:eastAsia="zh-CN" w:bidi="ar"/>
        </w:rPr>
        <w:t>发布公告的媒介：本次采购的相关信息同时在“云南省政府采购网”“政府采购云平台”网站上发布，请各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21"/>
          <w:sz w:val="24"/>
          <w:szCs w:val="21"/>
          <w:highlight w:val="none"/>
          <w:lang w:val="en-US" w:eastAsia="zh-CN" w:bidi="ar"/>
        </w:rPr>
        <w:t>在递交响应文件前随时查看，以获取最新信息。</w:t>
      </w:r>
    </w:p>
    <w:p w14:paraId="2B5B5466">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八、联系方式</w:t>
      </w:r>
    </w:p>
    <w:p w14:paraId="51B04549">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1、采购人信息</w:t>
      </w:r>
    </w:p>
    <w:p w14:paraId="23E362AF">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名 称：云南省文山壮族苗族自治州人民医院　　　　　　　　　　　　</w:t>
      </w:r>
    </w:p>
    <w:p w14:paraId="51F2E947">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地址：文山市腾龙北路　　　　　　　　　　　</w:t>
      </w:r>
    </w:p>
    <w:p w14:paraId="4A8C6C93">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联系方式：</w:t>
      </w:r>
      <w:r>
        <w:rPr>
          <w:rFonts w:hint="eastAsia" w:ascii="仿宋" w:hAnsi="仿宋" w:eastAsia="仿宋" w:cs="仿宋"/>
          <w:snapToGrid w:val="0"/>
          <w:color w:val="auto"/>
          <w:kern w:val="0"/>
          <w:sz w:val="24"/>
          <w:szCs w:val="24"/>
          <w:highlight w:val="none"/>
          <w:lang w:val="en-US" w:eastAsia="zh-CN"/>
        </w:rPr>
        <w:t>田俊</w:t>
      </w:r>
      <w:r>
        <w:rPr>
          <w:rFonts w:hint="eastAsia" w:ascii="仿宋" w:hAnsi="仿宋" w:eastAsia="仿宋" w:cs="仿宋"/>
          <w:b w:val="0"/>
          <w:bCs w:val="0"/>
          <w:color w:val="auto"/>
          <w:kern w:val="0"/>
          <w:sz w:val="24"/>
          <w:szCs w:val="24"/>
          <w:highlight w:val="none"/>
          <w:lang w:val="en-US" w:eastAsia="zh-CN" w:bidi="ar"/>
        </w:rPr>
        <w:t xml:space="preserve">0876-2140421 </w:t>
      </w:r>
    </w:p>
    <w:p w14:paraId="56A7168E">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p>
    <w:p w14:paraId="5D8B2820">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2、采购代理机构信息</w:t>
      </w:r>
    </w:p>
    <w:p w14:paraId="0E3F695E">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名 称：云南谦浩项目咨询有限公司　　　　　　　　　　　　</w:t>
      </w:r>
    </w:p>
    <w:p w14:paraId="0018931B">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地　址：文山市卧龙街道大以古社区仁和苑一期E幢01号　　　　　　　　　　　　</w:t>
      </w:r>
    </w:p>
    <w:p w14:paraId="61F74BF3">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联系方式：0876-2198077　　</w:t>
      </w:r>
    </w:p>
    <w:p w14:paraId="548A0369">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p>
    <w:p w14:paraId="5D0973F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3、项目联系方式</w:t>
      </w:r>
    </w:p>
    <w:p w14:paraId="57B31E28">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项目联系人：蒋俊、刘成晨、阳庆谦</w:t>
      </w:r>
    </w:p>
    <w:p w14:paraId="6EB5EDD1">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snapToGrid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电　话：0876-219807</w:t>
      </w:r>
      <w:r>
        <w:rPr>
          <w:rFonts w:hint="eastAsia" w:ascii="仿宋" w:hAnsi="仿宋" w:eastAsia="仿宋" w:cs="仿宋"/>
          <w:snapToGrid w:val="0"/>
          <w:color w:val="auto"/>
          <w:kern w:val="0"/>
          <w:sz w:val="24"/>
          <w:szCs w:val="24"/>
          <w:highlight w:val="none"/>
          <w:lang w:val="en-US" w:eastAsia="zh-CN"/>
        </w:rPr>
        <w:t>7</w:t>
      </w:r>
      <w:r>
        <w:rPr>
          <w:rFonts w:hint="eastAsia" w:ascii="仿宋" w:hAnsi="仿宋" w:eastAsia="仿宋" w:cs="仿宋"/>
          <w:color w:val="auto"/>
          <w:sz w:val="24"/>
          <w:szCs w:val="24"/>
          <w:highlight w:val="none"/>
          <w:lang w:val="en-US" w:eastAsia="zh-CN"/>
        </w:rPr>
        <w:t>　</w:t>
      </w:r>
    </w:p>
    <w:p w14:paraId="60FD6090">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bookmarkStart w:id="21" w:name="_Toc8915914"/>
      <w:r>
        <w:rPr>
          <w:rFonts w:hint="eastAsia" w:ascii="仿宋" w:hAnsi="仿宋" w:eastAsia="仿宋" w:cs="仿宋"/>
          <w:snapToGrid w:val="0"/>
          <w:color w:val="auto"/>
          <w:kern w:val="0"/>
          <w:sz w:val="24"/>
          <w:szCs w:val="24"/>
          <w:highlight w:val="none"/>
          <w:lang w:val="en-US" w:eastAsia="zh-CN" w:bidi="ar"/>
        </w:rPr>
        <w:br w:type="page"/>
      </w:r>
    </w:p>
    <w:p w14:paraId="648F632C">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p>
    <w:p w14:paraId="293A5B2C">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p>
    <w:p w14:paraId="52BCB0B0">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p>
    <w:p w14:paraId="5E5FD17F">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p>
    <w:p w14:paraId="6E10F756">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p>
    <w:p w14:paraId="103340A4">
      <w:pPr>
        <w:spacing w:line="360" w:lineRule="auto"/>
        <w:rPr>
          <w:rFonts w:hint="eastAsia" w:ascii="仿宋" w:hAnsi="仿宋" w:eastAsia="仿宋" w:cs="仿宋"/>
          <w:color w:val="auto"/>
          <w:highlight w:val="none"/>
          <w:lang w:val="en-US" w:eastAsia="zh-CN"/>
        </w:rPr>
      </w:pPr>
    </w:p>
    <w:p w14:paraId="13046A48">
      <w:pPr>
        <w:spacing w:line="360" w:lineRule="auto"/>
        <w:rPr>
          <w:rFonts w:hint="eastAsia" w:ascii="仿宋" w:hAnsi="仿宋" w:eastAsia="仿宋" w:cs="仿宋"/>
          <w:color w:val="auto"/>
          <w:highlight w:val="none"/>
          <w:lang w:val="en-US" w:eastAsia="zh-CN"/>
        </w:rPr>
      </w:pPr>
    </w:p>
    <w:p w14:paraId="32942E39">
      <w:pPr>
        <w:spacing w:line="360" w:lineRule="auto"/>
        <w:rPr>
          <w:rFonts w:hint="eastAsia" w:ascii="仿宋" w:hAnsi="仿宋" w:eastAsia="仿宋" w:cs="仿宋"/>
          <w:color w:val="auto"/>
          <w:highlight w:val="none"/>
          <w:lang w:val="en-US" w:eastAsia="zh-CN"/>
        </w:rPr>
      </w:pPr>
    </w:p>
    <w:p w14:paraId="3C3AACD6">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p>
    <w:p w14:paraId="63A93FF3">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p>
    <w:p w14:paraId="56CD9FBE">
      <w:pPr>
        <w:spacing w:line="360" w:lineRule="auto"/>
        <w:ind w:firstLine="480" w:firstLineChars="200"/>
        <w:jc w:val="center"/>
        <w:outlineLvl w:val="9"/>
        <w:rPr>
          <w:rFonts w:hint="eastAsia" w:ascii="仿宋" w:hAnsi="仿宋" w:eastAsia="仿宋" w:cs="仿宋"/>
          <w:snapToGrid w:val="0"/>
          <w:color w:val="auto"/>
          <w:kern w:val="0"/>
          <w:sz w:val="24"/>
          <w:szCs w:val="24"/>
          <w:highlight w:val="none"/>
          <w:lang w:val="en-US" w:eastAsia="zh-CN" w:bidi="ar"/>
        </w:rPr>
      </w:pPr>
    </w:p>
    <w:p w14:paraId="289F1904">
      <w:pPr>
        <w:spacing w:line="360" w:lineRule="auto"/>
        <w:rPr>
          <w:rFonts w:hint="eastAsia" w:ascii="仿宋" w:hAnsi="仿宋" w:eastAsia="仿宋" w:cs="仿宋"/>
          <w:color w:val="auto"/>
          <w:highlight w:val="none"/>
        </w:rPr>
      </w:pPr>
      <w:bookmarkStart w:id="22" w:name="_Toc9926"/>
    </w:p>
    <w:p w14:paraId="6BB25FFD">
      <w:pPr>
        <w:spacing w:line="360" w:lineRule="auto"/>
        <w:jc w:val="center"/>
        <w:outlineLvl w:val="0"/>
        <w:rPr>
          <w:rFonts w:hint="eastAsia" w:ascii="仿宋" w:hAnsi="仿宋" w:eastAsia="仿宋" w:cs="仿宋"/>
          <w:b/>
          <w:color w:val="auto"/>
          <w:sz w:val="24"/>
          <w:highlight w:val="none"/>
        </w:rPr>
      </w:pPr>
      <w:bookmarkStart w:id="23" w:name="_Toc13053"/>
      <w:r>
        <w:rPr>
          <w:rFonts w:hint="eastAsia" w:ascii="仿宋" w:hAnsi="仿宋" w:eastAsia="仿宋" w:cs="仿宋"/>
          <w:b/>
          <w:bCs/>
          <w:color w:val="auto"/>
          <w:kern w:val="0"/>
          <w:sz w:val="32"/>
          <w:szCs w:val="20"/>
          <w:highlight w:val="none"/>
        </w:rPr>
        <w:t>第二章  磋商须知</w:t>
      </w:r>
      <w:bookmarkEnd w:id="8"/>
      <w:bookmarkEnd w:id="21"/>
      <w:bookmarkEnd w:id="22"/>
      <w:bookmarkEnd w:id="23"/>
    </w:p>
    <w:p w14:paraId="6C389608">
      <w:pPr>
        <w:numPr>
          <w:ilvl w:val="0"/>
          <w:numId w:val="0"/>
        </w:numPr>
        <w:tabs>
          <w:tab w:val="left" w:pos="1021"/>
        </w:tabs>
        <w:spacing w:before="0" w:line="360" w:lineRule="auto"/>
        <w:jc w:val="center"/>
        <w:outlineLvl w:val="9"/>
        <w:rPr>
          <w:rFonts w:hint="eastAsia" w:ascii="仿宋" w:hAnsi="仿宋" w:eastAsia="仿宋" w:cs="仿宋"/>
          <w:b/>
          <w:bCs/>
          <w:color w:val="auto"/>
          <w:highlight w:val="none"/>
        </w:rPr>
      </w:pPr>
      <w:bookmarkStart w:id="24" w:name="_Toc5957277"/>
      <w:bookmarkStart w:id="25" w:name="_Toc86124039"/>
      <w:bookmarkStart w:id="26" w:name="_Toc337822212"/>
      <w:r>
        <w:rPr>
          <w:rFonts w:hint="eastAsia" w:ascii="仿宋" w:hAnsi="仿宋" w:eastAsia="仿宋" w:cs="仿宋"/>
          <w:color w:val="auto"/>
          <w:szCs w:val="28"/>
          <w:highlight w:val="none"/>
        </w:rPr>
        <w:br w:type="page"/>
      </w:r>
      <w:bookmarkStart w:id="27" w:name="_Toc16840"/>
      <w:r>
        <w:rPr>
          <w:rFonts w:hint="eastAsia" w:ascii="仿宋" w:hAnsi="仿宋" w:eastAsia="仿宋" w:cs="仿宋"/>
          <w:b/>
          <w:bCs/>
          <w:color w:val="auto"/>
          <w:sz w:val="32"/>
          <w:szCs w:val="32"/>
          <w:highlight w:val="none"/>
        </w:rPr>
        <w:t>须知前附表</w:t>
      </w:r>
      <w:bookmarkEnd w:id="24"/>
      <w:bookmarkEnd w:id="25"/>
      <w:bookmarkEnd w:id="26"/>
      <w:bookmarkEnd w:id="27"/>
      <w:bookmarkStart w:id="28" w:name="_Toc86124040"/>
    </w:p>
    <w:tbl>
      <w:tblPr>
        <w:tblStyle w:val="25"/>
        <w:tblW w:w="4994" w:type="pct"/>
        <w:jc w:val="center"/>
        <w:tblLayout w:type="autofit"/>
        <w:tblCellMar>
          <w:top w:w="0" w:type="dxa"/>
          <w:left w:w="108" w:type="dxa"/>
          <w:bottom w:w="0" w:type="dxa"/>
          <w:right w:w="108" w:type="dxa"/>
        </w:tblCellMar>
      </w:tblPr>
      <w:tblGrid>
        <w:gridCol w:w="1173"/>
        <w:gridCol w:w="2443"/>
        <w:gridCol w:w="6328"/>
      </w:tblGrid>
      <w:tr w14:paraId="21BB65AB">
        <w:tblPrEx>
          <w:tblCellMar>
            <w:top w:w="0" w:type="dxa"/>
            <w:left w:w="108" w:type="dxa"/>
            <w:bottom w:w="0" w:type="dxa"/>
            <w:right w:w="108" w:type="dxa"/>
          </w:tblCellMar>
        </w:tblPrEx>
        <w:trPr>
          <w:trHeight w:val="561" w:hRule="atLeast"/>
          <w:jc w:val="center"/>
        </w:trPr>
        <w:tc>
          <w:tcPr>
            <w:tcW w:w="5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A6ABD1F">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条款号</w:t>
            </w:r>
          </w:p>
        </w:tc>
        <w:tc>
          <w:tcPr>
            <w:tcW w:w="122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8D104E9">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  款  名  称</w:t>
            </w:r>
          </w:p>
        </w:tc>
        <w:tc>
          <w:tcPr>
            <w:tcW w:w="318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4D41947">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编  列  内  容</w:t>
            </w:r>
          </w:p>
        </w:tc>
      </w:tr>
      <w:tr w14:paraId="7AAB70FB">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2794501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1B1ADA7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0CA93A5F">
            <w:pPr>
              <w:spacing w:line="360" w:lineRule="auto"/>
              <w:rPr>
                <w:rFonts w:hint="eastAsia" w:ascii="仿宋" w:hAnsi="仿宋" w:eastAsia="仿宋" w:cs="仿宋"/>
                <w:b/>
                <w:snapToGrid w:val="0"/>
                <w:color w:val="auto"/>
                <w:kern w:val="0"/>
                <w:sz w:val="24"/>
                <w:highlight w:val="none"/>
              </w:rPr>
            </w:pPr>
            <w:r>
              <w:rPr>
                <w:rFonts w:hint="eastAsia" w:ascii="仿宋" w:hAnsi="仿宋" w:eastAsia="仿宋" w:cs="仿宋"/>
                <w:snapToGrid w:val="0"/>
                <w:color w:val="auto"/>
                <w:kern w:val="0"/>
                <w:sz w:val="24"/>
                <w:highlight w:val="none"/>
              </w:rPr>
              <w:t>采购人：</w:t>
            </w:r>
            <w:r>
              <w:rPr>
                <w:rFonts w:hint="eastAsia" w:ascii="仿宋" w:hAnsi="仿宋" w:eastAsia="仿宋" w:cs="仿宋"/>
                <w:color w:val="auto"/>
                <w:kern w:val="21"/>
                <w:sz w:val="24"/>
                <w:highlight w:val="none"/>
                <w:lang w:eastAsia="zh-CN" w:bidi="ar"/>
              </w:rPr>
              <w:t>云南省文山壮族苗族自治州人民医院</w:t>
            </w:r>
            <w:r>
              <w:rPr>
                <w:rFonts w:hint="eastAsia" w:ascii="仿宋" w:hAnsi="仿宋" w:eastAsia="仿宋" w:cs="仿宋"/>
                <w:color w:val="auto"/>
                <w:kern w:val="21"/>
                <w:sz w:val="24"/>
                <w:highlight w:val="none"/>
                <w:lang w:bidi="ar"/>
              </w:rPr>
              <w:t xml:space="preserve"> </w:t>
            </w:r>
          </w:p>
          <w:p w14:paraId="4B6DEE30">
            <w:pPr>
              <w:spacing w:line="360" w:lineRule="auto"/>
              <w:rPr>
                <w:rFonts w:hint="eastAsia" w:ascii="仿宋" w:hAnsi="仿宋" w:eastAsia="仿宋" w:cs="仿宋"/>
                <w:bCs/>
                <w:snapToGrid w:val="0"/>
                <w:color w:val="auto"/>
                <w:kern w:val="0"/>
                <w:sz w:val="24"/>
                <w:highlight w:val="none"/>
                <w:u w:val="single"/>
              </w:rPr>
            </w:pPr>
            <w:r>
              <w:rPr>
                <w:rFonts w:hint="eastAsia" w:ascii="仿宋" w:hAnsi="仿宋" w:eastAsia="仿宋" w:cs="仿宋"/>
                <w:snapToGrid w:val="0"/>
                <w:color w:val="auto"/>
                <w:kern w:val="0"/>
                <w:sz w:val="24"/>
                <w:highlight w:val="none"/>
              </w:rPr>
              <w:t>地址：</w:t>
            </w:r>
            <w:r>
              <w:rPr>
                <w:rFonts w:hint="eastAsia" w:ascii="仿宋" w:hAnsi="仿宋" w:eastAsia="仿宋" w:cs="仿宋"/>
                <w:color w:val="auto"/>
                <w:kern w:val="21"/>
                <w:sz w:val="24"/>
                <w:highlight w:val="none"/>
                <w:lang w:eastAsia="zh-CN" w:bidi="ar"/>
              </w:rPr>
              <w:t>文山市腾龙北路</w:t>
            </w:r>
          </w:p>
          <w:p w14:paraId="5B1AF6D7">
            <w:pPr>
              <w:spacing w:line="360" w:lineRule="auto"/>
              <w:rPr>
                <w:rFonts w:hint="eastAsia" w:ascii="仿宋" w:hAnsi="仿宋" w:eastAsia="仿宋" w:cs="仿宋"/>
                <w:snapToGrid w:val="0"/>
                <w:color w:val="auto"/>
                <w:kern w:val="0"/>
                <w:sz w:val="24"/>
                <w:highlight w:val="none"/>
                <w:lang w:val="en-US" w:eastAsia="zh-CN"/>
              </w:rPr>
            </w:pPr>
            <w:r>
              <w:rPr>
                <w:rFonts w:hint="eastAsia" w:ascii="仿宋" w:hAnsi="仿宋" w:eastAsia="仿宋" w:cs="仿宋"/>
                <w:snapToGrid w:val="0"/>
                <w:color w:val="auto"/>
                <w:kern w:val="0"/>
                <w:sz w:val="24"/>
                <w:highlight w:val="none"/>
              </w:rPr>
              <w:t>联系人</w:t>
            </w:r>
            <w:r>
              <w:rPr>
                <w:rFonts w:hint="eastAsia" w:ascii="仿宋" w:hAnsi="仿宋" w:eastAsia="仿宋" w:cs="仿宋"/>
                <w:snapToGrid w:val="0"/>
                <w:color w:val="auto"/>
                <w:kern w:val="0"/>
                <w:sz w:val="24"/>
                <w:highlight w:val="none"/>
                <w:lang w:eastAsia="zh-CN"/>
              </w:rPr>
              <w:t>：</w:t>
            </w:r>
            <w:r>
              <w:rPr>
                <w:rFonts w:hint="eastAsia" w:ascii="仿宋" w:hAnsi="仿宋" w:eastAsia="仿宋" w:cs="仿宋"/>
                <w:snapToGrid w:val="0"/>
                <w:color w:val="auto"/>
                <w:kern w:val="0"/>
                <w:sz w:val="24"/>
                <w:highlight w:val="none"/>
                <w:lang w:val="en-US" w:eastAsia="zh-CN"/>
              </w:rPr>
              <w:t>田俊</w:t>
            </w:r>
          </w:p>
          <w:p w14:paraId="0F750B0C">
            <w:pPr>
              <w:spacing w:line="360" w:lineRule="auto"/>
              <w:rPr>
                <w:rFonts w:hint="eastAsia" w:ascii="仿宋" w:hAnsi="仿宋" w:eastAsia="仿宋" w:cs="仿宋"/>
                <w:color w:val="auto"/>
                <w:kern w:val="21"/>
                <w:sz w:val="24"/>
                <w:highlight w:val="none"/>
                <w:lang w:bidi="ar"/>
              </w:rPr>
            </w:pPr>
            <w:r>
              <w:rPr>
                <w:rFonts w:hint="eastAsia" w:ascii="仿宋" w:hAnsi="仿宋" w:eastAsia="仿宋" w:cs="仿宋"/>
                <w:snapToGrid w:val="0"/>
                <w:color w:val="auto"/>
                <w:kern w:val="0"/>
                <w:sz w:val="24"/>
                <w:highlight w:val="none"/>
                <w:lang w:val="en-US" w:eastAsia="zh-CN"/>
              </w:rPr>
              <w:t>联系电话</w:t>
            </w:r>
            <w:r>
              <w:rPr>
                <w:rFonts w:hint="eastAsia" w:ascii="仿宋" w:hAnsi="仿宋" w:eastAsia="仿宋" w:cs="仿宋"/>
                <w:snapToGrid w:val="0"/>
                <w:color w:val="auto"/>
                <w:kern w:val="0"/>
                <w:sz w:val="24"/>
                <w:highlight w:val="none"/>
                <w:lang w:eastAsia="zh-CN"/>
              </w:rPr>
              <w:t>：</w:t>
            </w:r>
            <w:r>
              <w:rPr>
                <w:rFonts w:hint="eastAsia" w:ascii="仿宋" w:hAnsi="仿宋" w:eastAsia="仿宋" w:cs="仿宋"/>
                <w:snapToGrid w:val="0"/>
                <w:color w:val="auto"/>
                <w:kern w:val="0"/>
                <w:sz w:val="24"/>
                <w:highlight w:val="none"/>
                <w:lang w:val="en-US" w:eastAsia="zh-CN"/>
              </w:rPr>
              <w:t>0876-2140421</w:t>
            </w:r>
          </w:p>
        </w:tc>
      </w:tr>
      <w:tr w14:paraId="64E77CCA">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4C04C4E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0371B44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采购代理机构</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03D1593D">
            <w:pPr>
              <w:spacing w:line="360" w:lineRule="auto"/>
              <w:rPr>
                <w:rFonts w:hint="eastAsia" w:ascii="仿宋" w:hAnsi="仿宋" w:eastAsia="仿宋" w:cs="仿宋"/>
                <w:snapToGrid w:val="0"/>
                <w:color w:val="auto"/>
                <w:kern w:val="0"/>
                <w:sz w:val="24"/>
                <w:szCs w:val="24"/>
                <w:highlight w:val="none"/>
              </w:rPr>
            </w:pPr>
            <w:r>
              <w:rPr>
                <w:rFonts w:hint="eastAsia" w:ascii="仿宋" w:hAnsi="仿宋" w:eastAsia="仿宋" w:cs="仿宋"/>
                <w:color w:val="auto"/>
                <w:sz w:val="24"/>
                <w:szCs w:val="24"/>
                <w:highlight w:val="none"/>
                <w:lang w:val="en-US" w:eastAsia="zh-CN"/>
              </w:rPr>
              <w:t>采购代理机构</w:t>
            </w:r>
            <w:r>
              <w:rPr>
                <w:rFonts w:hint="eastAsia" w:ascii="仿宋" w:hAnsi="仿宋" w:eastAsia="仿宋" w:cs="仿宋"/>
                <w:snapToGrid w:val="0"/>
                <w:color w:val="auto"/>
                <w:kern w:val="0"/>
                <w:sz w:val="24"/>
                <w:szCs w:val="24"/>
                <w:highlight w:val="none"/>
              </w:rPr>
              <w:t>：云南谦浩项目咨询有限公司</w:t>
            </w:r>
          </w:p>
          <w:p w14:paraId="76E432FF">
            <w:pPr>
              <w:spacing w:line="360" w:lineRule="auto"/>
              <w:rPr>
                <w:rFonts w:hint="eastAsia" w:ascii="仿宋" w:hAnsi="仿宋" w:eastAsia="仿宋" w:cs="仿宋"/>
                <w:snapToGrid w:val="0"/>
                <w:color w:val="auto"/>
                <w:kern w:val="0"/>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文山市卧龙街道大以古社区仁和苑一期E幢01号</w:t>
            </w:r>
          </w:p>
          <w:p w14:paraId="6060AEED">
            <w:pPr>
              <w:spacing w:line="360" w:lineRule="auto"/>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rPr>
              <w:t>联系人：</w:t>
            </w:r>
            <w:r>
              <w:rPr>
                <w:rFonts w:hint="eastAsia" w:ascii="仿宋" w:hAnsi="仿宋" w:eastAsia="仿宋" w:cs="仿宋"/>
                <w:color w:val="auto"/>
                <w:sz w:val="24"/>
                <w:szCs w:val="24"/>
                <w:highlight w:val="none"/>
                <w:lang w:val="en-US" w:eastAsia="zh-CN"/>
              </w:rPr>
              <w:t>蒋俊、刘成晨、阳庆谦</w:t>
            </w:r>
          </w:p>
          <w:p w14:paraId="5CD2592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联系</w:t>
            </w:r>
            <w:r>
              <w:rPr>
                <w:rFonts w:hint="eastAsia" w:ascii="仿宋" w:hAnsi="仿宋" w:eastAsia="仿宋" w:cs="仿宋"/>
                <w:snapToGrid w:val="0"/>
                <w:color w:val="auto"/>
                <w:kern w:val="0"/>
                <w:sz w:val="24"/>
                <w:szCs w:val="24"/>
                <w:highlight w:val="none"/>
                <w:lang w:val="en-US" w:eastAsia="zh-CN"/>
              </w:rPr>
              <w:t>电话</w:t>
            </w:r>
            <w:r>
              <w:rPr>
                <w:rFonts w:hint="eastAsia" w:ascii="仿宋" w:hAnsi="仿宋" w:eastAsia="仿宋" w:cs="仿宋"/>
                <w:snapToGrid w:val="0"/>
                <w:color w:val="auto"/>
                <w:kern w:val="0"/>
                <w:sz w:val="24"/>
                <w:szCs w:val="24"/>
                <w:highlight w:val="none"/>
              </w:rPr>
              <w:t>：0876-2198077</w:t>
            </w:r>
          </w:p>
        </w:tc>
      </w:tr>
      <w:tr w14:paraId="5AD481FF">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6FE0DF4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581F37F1">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名称</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编号</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4817855A">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名称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文山州人民医院GE 1.5T核磁共振设备维保服务采购项目</w:t>
            </w:r>
          </w:p>
          <w:p w14:paraId="26D8A3A7">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编号</w:t>
            </w:r>
            <w:r>
              <w:rPr>
                <w:rFonts w:hint="eastAsia" w:ascii="仿宋" w:hAnsi="仿宋" w:eastAsia="仿宋" w:cs="仿宋"/>
                <w:color w:val="auto"/>
                <w:sz w:val="24"/>
                <w:highlight w:val="none"/>
              </w:rPr>
              <w:t>：WSZC2025-C3-00523-YNQH-0007</w:t>
            </w:r>
          </w:p>
        </w:tc>
      </w:tr>
      <w:tr w14:paraId="6153EF24">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148B0A9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70D0A19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资金来源及预算金额</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667E61CA">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详见竞争性磋商文件第一章《竞争性磋商公告》“一、项目基本情况”</w:t>
            </w:r>
          </w:p>
        </w:tc>
      </w:tr>
      <w:tr w14:paraId="100ACA43">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0A50B9C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44D08C9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采购内容</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30EA4573">
            <w:pPr>
              <w:spacing w:line="360" w:lineRule="auto"/>
              <w:rPr>
                <w:rFonts w:hint="eastAsia" w:ascii="仿宋" w:hAnsi="仿宋" w:eastAsia="仿宋" w:cs="仿宋"/>
                <w:color w:val="auto"/>
                <w:kern w:val="0"/>
                <w:sz w:val="24"/>
                <w:highlight w:val="none"/>
              </w:rPr>
            </w:pPr>
            <w:r>
              <w:rPr>
                <w:rFonts w:hint="eastAsia" w:ascii="仿宋" w:hAnsi="仿宋" w:eastAsia="仿宋" w:cs="仿宋"/>
                <w:bCs/>
                <w:color w:val="auto"/>
                <w:sz w:val="24"/>
                <w:highlight w:val="none"/>
              </w:rPr>
              <w:t>详见竞争性磋商文件第一章《竞争性磋商公告》“一、项目基本情况”</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具体要求等详见本竞争性磋商文件第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章《采购需求》。</w:t>
            </w:r>
          </w:p>
        </w:tc>
      </w:tr>
      <w:tr w14:paraId="477406D2">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03E2BA6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48FD904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合同履行期限（服务周期）、服务地点</w:t>
            </w:r>
            <w:r>
              <w:rPr>
                <w:rFonts w:hint="eastAsia" w:ascii="仿宋" w:hAnsi="仿宋" w:eastAsia="仿宋" w:cs="仿宋"/>
                <w:color w:val="auto"/>
                <w:sz w:val="24"/>
                <w:highlight w:val="none"/>
                <w:lang w:val="en-US" w:eastAsia="zh-CN"/>
              </w:rPr>
              <w:t>及</w:t>
            </w:r>
            <w:r>
              <w:rPr>
                <w:rFonts w:hint="eastAsia" w:ascii="仿宋" w:hAnsi="仿宋" w:eastAsia="仿宋" w:cs="仿宋"/>
                <w:color w:val="auto"/>
                <w:sz w:val="24"/>
                <w:szCs w:val="24"/>
                <w:highlight w:val="none"/>
                <w:lang w:eastAsia="zh-CN"/>
              </w:rPr>
              <w:t>质量要求</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55C8E2FA">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详见竞争性磋商文件第一章《竞争性磋商公告》“一、项目基本情况”</w:t>
            </w:r>
          </w:p>
        </w:tc>
      </w:tr>
      <w:tr w14:paraId="373F192F">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13A92F9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0D44EFB1">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资格要求</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16AB0DBF">
            <w:pPr>
              <w:widowControl/>
              <w:spacing w:line="36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详见竞争性磋商文件第一章《竞争性磋商公告》“</w:t>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t>二、申请人的资格要求</w:t>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sz w:val="24"/>
                <w:highlight w:val="none"/>
              </w:rPr>
              <w:t>”</w:t>
            </w:r>
          </w:p>
        </w:tc>
      </w:tr>
      <w:tr w14:paraId="2596DB61">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75E3159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74DAA28F">
            <w:pPr>
              <w:spacing w:line="360" w:lineRule="auto"/>
              <w:jc w:val="center"/>
              <w:rPr>
                <w:rFonts w:hint="eastAsia" w:ascii="仿宋" w:hAnsi="仿宋" w:eastAsia="仿宋" w:cs="仿宋"/>
                <w:bCs/>
                <w:color w:val="auto"/>
                <w:sz w:val="24"/>
                <w:highlight w:val="none"/>
              </w:rPr>
            </w:pPr>
            <w:r>
              <w:rPr>
                <w:rFonts w:hint="eastAsia" w:ascii="仿宋" w:hAnsi="仿宋" w:eastAsia="仿宋" w:cs="仿宋"/>
                <w:color w:val="auto"/>
                <w:sz w:val="24"/>
                <w:highlight w:val="none"/>
              </w:rPr>
              <w:t>采购人根据采购项目的特殊要求规定的特定条件</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311EF1C3">
            <w:pPr>
              <w:widowControl/>
              <w:spacing w:line="36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详见竞争性磋商文件第一章《竞争性磋商公告》“</w:t>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kern w:val="0"/>
                <w:sz w:val="24"/>
                <w:szCs w:val="24"/>
                <w:highlight w:val="none"/>
                <w:lang w:val="en-US" w:eastAsia="zh-CN" w:bidi="ar"/>
              </w:rPr>
              <w:fldChar w:fldCharType="begin"/>
            </w:r>
            <w:r>
              <w:rPr>
                <w:rFonts w:hint="eastAsia" w:ascii="仿宋" w:hAnsi="仿宋" w:eastAsia="仿宋" w:cs="仿宋"/>
                <w:b w:val="0"/>
                <w:bCs w:val="0"/>
                <w:color w:val="auto"/>
                <w:kern w:val="0"/>
                <w:sz w:val="24"/>
                <w:szCs w:val="24"/>
                <w:highlight w:val="none"/>
                <w:lang w:val="en-US" w:eastAsia="zh-CN" w:bidi="ar"/>
              </w:rPr>
              <w:instrText xml:space="preserve"> HYPERLINK "http:///"</w:instrText>
            </w:r>
            <w:r>
              <w:rPr>
                <w:rFonts w:hint="eastAsia" w:ascii="仿宋" w:hAnsi="仿宋" w:eastAsia="仿宋" w:cs="仿宋"/>
                <w:b w:val="0"/>
                <w:bCs w:val="0"/>
                <w:color w:val="auto"/>
                <w:kern w:val="0"/>
                <w:sz w:val="24"/>
                <w:szCs w:val="24"/>
                <w:highlight w:val="none"/>
                <w:lang w:val="en-US" w:eastAsia="zh-CN" w:bidi="ar"/>
              </w:rPr>
              <w:fldChar w:fldCharType="separate"/>
            </w:r>
            <w:r>
              <w:rPr>
                <w:rFonts w:hint="eastAsia" w:ascii="仿宋" w:hAnsi="仿宋" w:eastAsia="仿宋" w:cs="仿宋"/>
                <w:b w:val="0"/>
                <w:bCs w:val="0"/>
                <w:color w:val="auto"/>
                <w:kern w:val="0"/>
                <w:sz w:val="24"/>
                <w:szCs w:val="24"/>
                <w:highlight w:val="none"/>
                <w:lang w:val="en-US" w:eastAsia="zh-CN" w:bidi="ar"/>
              </w:rPr>
              <w:t>二、申请人的资格要求</w:t>
            </w:r>
            <w:r>
              <w:rPr>
                <w:rFonts w:hint="eastAsia" w:ascii="仿宋" w:hAnsi="仿宋" w:eastAsia="仿宋" w:cs="仿宋"/>
                <w:b w:val="0"/>
                <w:bCs w:val="0"/>
                <w:color w:val="auto"/>
                <w:kern w:val="0"/>
                <w:sz w:val="24"/>
                <w:szCs w:val="24"/>
                <w:highlight w:val="none"/>
                <w:lang w:val="en-US" w:eastAsia="zh-CN" w:bidi="ar"/>
              </w:rPr>
              <w:fldChar w:fldCharType="end"/>
            </w:r>
            <w:r>
              <w:rPr>
                <w:rFonts w:hint="eastAsia" w:ascii="仿宋" w:hAnsi="仿宋" w:eastAsia="仿宋" w:cs="仿宋"/>
                <w:b w:val="0"/>
                <w:bCs w:val="0"/>
                <w:color w:val="auto"/>
                <w:sz w:val="24"/>
                <w:highlight w:val="none"/>
              </w:rPr>
              <w:t>”</w:t>
            </w:r>
          </w:p>
        </w:tc>
      </w:tr>
      <w:tr w14:paraId="62E20648">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2480EB7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4.3</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30F101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是否接受联合体参加</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597177D7">
            <w:pPr>
              <w:widowControl/>
              <w:spacing w:line="36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sym w:font="Wingdings" w:char="00FE"/>
            </w:r>
            <w:r>
              <w:rPr>
                <w:rFonts w:hint="eastAsia" w:ascii="仿宋" w:hAnsi="仿宋" w:eastAsia="仿宋" w:cs="仿宋"/>
                <w:bCs/>
                <w:color w:val="auto"/>
                <w:sz w:val="24"/>
                <w:highlight w:val="none"/>
              </w:rPr>
              <w:t>不接受   □接受</w:t>
            </w:r>
          </w:p>
        </w:tc>
      </w:tr>
      <w:tr w14:paraId="04185CA2">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57F151E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739704B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现场考察</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257218D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不组织</w:t>
            </w:r>
          </w:p>
        </w:tc>
      </w:tr>
      <w:tr w14:paraId="0E9FCDD1">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5D73561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4E90A3A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开标前答疑会</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70265D4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不组织  </w:t>
            </w:r>
          </w:p>
        </w:tc>
      </w:tr>
      <w:tr w14:paraId="34FE4847">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6D0A16E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794ECAC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竞争性磋商文件的询问时间</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66D8928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应认真阅读</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，若有问题需要澄清，</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必须在</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截止时间</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日前凭企业数字证书（CA）登录</w:t>
            </w:r>
            <w:r>
              <w:rPr>
                <w:rFonts w:hint="eastAsia" w:ascii="仿宋" w:hAnsi="仿宋" w:eastAsia="仿宋" w:cs="仿宋"/>
                <w:b w:val="0"/>
                <w:bCs w:val="0"/>
                <w:color w:val="auto"/>
                <w:kern w:val="0"/>
                <w:sz w:val="24"/>
                <w:szCs w:val="24"/>
                <w:highlight w:val="none"/>
                <w:lang w:val="en-US" w:eastAsia="zh-CN" w:bidi="ar"/>
              </w:rPr>
              <w:t>“政采云”平台（https://www.zcygov.cn/）</w:t>
            </w:r>
            <w:r>
              <w:rPr>
                <w:rFonts w:hint="eastAsia" w:ascii="仿宋" w:hAnsi="仿宋" w:eastAsia="仿宋" w:cs="仿宋"/>
                <w:color w:val="auto"/>
                <w:sz w:val="24"/>
                <w:highlight w:val="none"/>
              </w:rPr>
              <w:t>，通过在线</w:t>
            </w:r>
            <w:r>
              <w:rPr>
                <w:rFonts w:hint="eastAsia" w:ascii="仿宋" w:hAnsi="仿宋" w:eastAsia="仿宋" w:cs="仿宋"/>
                <w:color w:val="auto"/>
                <w:sz w:val="24"/>
                <w:highlight w:val="none"/>
                <w:lang w:val="en-US" w:eastAsia="zh-CN"/>
              </w:rPr>
              <w:t>上</w:t>
            </w:r>
            <w:r>
              <w:rPr>
                <w:rFonts w:hint="eastAsia" w:ascii="仿宋" w:hAnsi="仿宋" w:eastAsia="仿宋" w:cs="仿宋"/>
                <w:color w:val="auto"/>
                <w:sz w:val="24"/>
                <w:highlight w:val="none"/>
              </w:rPr>
              <w:t>方式提出询问（不署名），</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人或者</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在接到询问后的3日内对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依法提出的询问作出答复，但答复的内容不涉及商业秘密。</w:t>
            </w:r>
          </w:p>
        </w:tc>
      </w:tr>
      <w:tr w14:paraId="4AB2F362">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1B263ED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11.2</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2662125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竞争性磋商文件询问联系方式</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32DA3CF4">
            <w:pPr>
              <w:autoSpaceDE w:val="0"/>
              <w:autoSpaceDN w:val="0"/>
              <w:snapToGrid w:val="0"/>
              <w:spacing w:line="360" w:lineRule="auto"/>
              <w:textAlignment w:val="bottom"/>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询问联系人：</w:t>
            </w:r>
            <w:r>
              <w:rPr>
                <w:rFonts w:hint="eastAsia" w:ascii="仿宋" w:hAnsi="仿宋" w:eastAsia="仿宋" w:cs="仿宋"/>
                <w:color w:val="auto"/>
                <w:sz w:val="24"/>
                <w:szCs w:val="24"/>
                <w:highlight w:val="none"/>
                <w:lang w:val="en-US" w:eastAsia="zh-CN"/>
              </w:rPr>
              <w:t>蒋俊、刘成晨、阳庆谦</w:t>
            </w:r>
          </w:p>
          <w:p w14:paraId="32035EAE">
            <w:pPr>
              <w:autoSpaceDE w:val="0"/>
              <w:autoSpaceDN w:val="0"/>
              <w:snapToGrid w:val="0"/>
              <w:spacing w:line="360" w:lineRule="auto"/>
              <w:textAlignment w:val="bottom"/>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联系</w:t>
            </w:r>
            <w:r>
              <w:rPr>
                <w:rFonts w:hint="eastAsia" w:ascii="仿宋" w:hAnsi="仿宋" w:eastAsia="仿宋" w:cs="仿宋"/>
                <w:color w:val="auto"/>
                <w:sz w:val="24"/>
                <w:highlight w:val="none"/>
              </w:rPr>
              <w:t>电话：0876-2198077</w:t>
            </w:r>
          </w:p>
        </w:tc>
      </w:tr>
      <w:tr w14:paraId="64D01448">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2043B37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11.3</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2100F29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竞争性磋商文件澄清、修改时间</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28241AB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采购代理机构</w:t>
            </w:r>
            <w:r>
              <w:rPr>
                <w:rFonts w:hint="eastAsia" w:ascii="仿宋" w:hAnsi="仿宋" w:eastAsia="仿宋" w:cs="仿宋"/>
                <w:color w:val="auto"/>
                <w:sz w:val="24"/>
                <w:highlight w:val="none"/>
              </w:rPr>
              <w:t>可以对已发出的</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进行必要的澄清或者修改，澄清或者修改的内容作为</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的组成部分。</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采购代理机构</w:t>
            </w:r>
            <w:r>
              <w:rPr>
                <w:rFonts w:hint="eastAsia" w:ascii="仿宋" w:hAnsi="仿宋" w:eastAsia="仿宋" w:cs="仿宋"/>
                <w:color w:val="auto"/>
                <w:sz w:val="24"/>
                <w:highlight w:val="none"/>
              </w:rPr>
              <w:t>将同时发布澄清、修改文件进行说明以保证</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能重新下载并用于编制</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的澄清、修改文件内容均以网上电子文件为准，当</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澄清、修改文件内容前后相互矛盾时，以最后发出的为准。澄清或者修改的内容可能影响</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编制的，</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或者</w:t>
            </w:r>
            <w:r>
              <w:rPr>
                <w:rFonts w:hint="eastAsia" w:ascii="仿宋" w:hAnsi="仿宋" w:eastAsia="仿宋" w:cs="仿宋"/>
                <w:color w:val="auto"/>
                <w:sz w:val="24"/>
                <w:highlight w:val="none"/>
                <w:lang w:val="en-US" w:eastAsia="zh-CN"/>
              </w:rPr>
              <w:t>采购代理机构</w:t>
            </w:r>
            <w:r>
              <w:rPr>
                <w:rFonts w:hint="eastAsia" w:ascii="仿宋" w:hAnsi="仿宋" w:eastAsia="仿宋" w:cs="仿宋"/>
                <w:color w:val="auto"/>
                <w:sz w:val="24"/>
                <w:highlight w:val="none"/>
              </w:rPr>
              <w:t>将在</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截止时间至少</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日前，以网上电子文件形式通知所有接收</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，不足</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日的，</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或者</w:t>
            </w:r>
            <w:r>
              <w:rPr>
                <w:rFonts w:hint="eastAsia" w:ascii="仿宋" w:hAnsi="仿宋" w:eastAsia="仿宋" w:cs="仿宋"/>
                <w:color w:val="auto"/>
                <w:sz w:val="24"/>
                <w:highlight w:val="none"/>
                <w:lang w:val="en-US" w:eastAsia="zh-CN"/>
              </w:rPr>
              <w:t>采购代理机构</w:t>
            </w:r>
            <w:r>
              <w:rPr>
                <w:rFonts w:hint="eastAsia" w:ascii="仿宋" w:hAnsi="仿宋" w:eastAsia="仿宋" w:cs="仿宋"/>
                <w:color w:val="auto"/>
                <w:sz w:val="24"/>
                <w:highlight w:val="none"/>
              </w:rPr>
              <w:t>将顺延提交</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的截止时间。</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应在电子</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提交截止时间前及时登录</w:t>
            </w:r>
            <w:r>
              <w:rPr>
                <w:rFonts w:hint="eastAsia" w:ascii="仿宋" w:hAnsi="仿宋" w:eastAsia="仿宋" w:cs="仿宋"/>
                <w:b w:val="0"/>
                <w:bCs w:val="0"/>
                <w:color w:val="auto"/>
                <w:kern w:val="0"/>
                <w:sz w:val="24"/>
                <w:szCs w:val="24"/>
                <w:highlight w:val="none"/>
                <w:lang w:val="en-US" w:eastAsia="zh-CN" w:bidi="ar"/>
              </w:rPr>
              <w:t>“政采云”平台（https://www.zcygov.cn/）</w:t>
            </w:r>
            <w:r>
              <w:rPr>
                <w:rFonts w:hint="eastAsia" w:ascii="仿宋" w:hAnsi="仿宋" w:eastAsia="仿宋" w:cs="仿宋"/>
                <w:color w:val="auto"/>
                <w:sz w:val="24"/>
                <w:highlight w:val="none"/>
              </w:rPr>
              <w:t>中查看有关该项目</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的澄清、修改内容。如因</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自身原因导致未及时查看有关该项目</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的澄清、修改内容，由此造成的一切后果由</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自行承担。</w:t>
            </w:r>
          </w:p>
        </w:tc>
      </w:tr>
      <w:tr w14:paraId="1B795810">
        <w:tblPrEx>
          <w:tblCellMar>
            <w:top w:w="0" w:type="dxa"/>
            <w:left w:w="108" w:type="dxa"/>
            <w:bottom w:w="0" w:type="dxa"/>
            <w:right w:w="108" w:type="dxa"/>
          </w:tblCellMar>
        </w:tblPrEx>
        <w:trPr>
          <w:trHeight w:val="551"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15C969D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11.5</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644086A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确认收到竞争性磋商文件澄清、修改时间</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2A7BEA4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确认收到竞争性磋商文件澄清、修改后，应在收到澄清、修改后24小时内以网上电子文件形式通知采购人或采购代理机构，确认已收到该澄清、修改。</w:t>
            </w:r>
          </w:p>
        </w:tc>
      </w:tr>
      <w:tr w14:paraId="41780045">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2ECC01A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11.6</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111809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磋商小组可以根据磋商文件和磋商情况实质性变动的内容</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6BDBBAC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在磋商过程中，磋商小组可以根据磋商文件和磋商情况实质性变动服务要求中的技术、服务要求以及合同草案条款，但不得变动磋商文件中的其他内容。实质性变动的内容，须经采购人代表确认。</w:t>
            </w:r>
          </w:p>
        </w:tc>
      </w:tr>
      <w:tr w14:paraId="3CA6C178">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6A131F2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4B1A985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语言文字</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4470F6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文件以及</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与采购代理机构就有关磋商的所有来往函电统一使用中文（特别规定除外）。</w:t>
            </w:r>
          </w:p>
        </w:tc>
      </w:tr>
      <w:tr w14:paraId="4F17E621">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6C754A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2F7ADA8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计量单位</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659F546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响应文件中使用的计量单位除竞争性磋商文件中有特殊规定外，一律使用中国法定计量单位。</w:t>
            </w:r>
          </w:p>
        </w:tc>
      </w:tr>
      <w:tr w14:paraId="1D014073">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0479222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17.1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19619A3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磋商有效期</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184E8A41">
            <w:pPr>
              <w:spacing w:line="360" w:lineRule="auto"/>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从提交响应文件截止之日起</w:t>
            </w:r>
            <w:r>
              <w:rPr>
                <w:rFonts w:hint="eastAsia" w:ascii="仿宋" w:hAnsi="仿宋" w:eastAsia="仿宋" w:cs="仿宋"/>
                <w:color w:val="auto"/>
                <w:sz w:val="24"/>
                <w:highlight w:val="none"/>
                <w:u w:val="single"/>
              </w:rPr>
              <w:t>90</w:t>
            </w:r>
            <w:r>
              <w:rPr>
                <w:rFonts w:hint="eastAsia" w:ascii="仿宋" w:hAnsi="仿宋" w:eastAsia="仿宋" w:cs="仿宋"/>
                <w:color w:val="auto"/>
                <w:sz w:val="24"/>
                <w:highlight w:val="none"/>
              </w:rPr>
              <w:t>日历天。</w:t>
            </w:r>
          </w:p>
        </w:tc>
      </w:tr>
      <w:tr w14:paraId="73A29304">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402950E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18.1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1143FD8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磋商保证金</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39E03C5C">
            <w:pPr>
              <w:pStyle w:val="16"/>
              <w:spacing w:line="360" w:lineRule="auto"/>
              <w:rPr>
                <w:rFonts w:hint="eastAsia" w:ascii="仿宋" w:hAnsi="仿宋" w:eastAsia="仿宋" w:cs="仿宋"/>
                <w:color w:val="auto"/>
                <w:sz w:val="24"/>
                <w:highlight w:val="none"/>
                <w:u w:val="none"/>
              </w:rPr>
            </w:pPr>
            <w:r>
              <w:rPr>
                <w:rFonts w:hint="eastAsia" w:ascii="仿宋" w:hAnsi="仿宋" w:eastAsia="仿宋" w:cs="仿宋"/>
                <w:color w:val="auto"/>
                <w:sz w:val="24"/>
                <w:highlight w:val="none"/>
                <w:u w:val="none"/>
              </w:rPr>
              <w:t>（1）</w:t>
            </w:r>
            <w:r>
              <w:rPr>
                <w:rFonts w:hint="eastAsia" w:ascii="仿宋" w:hAnsi="仿宋" w:eastAsia="仿宋" w:cs="仿宋"/>
                <w:color w:val="auto"/>
                <w:sz w:val="24"/>
                <w:highlight w:val="none"/>
                <w:u w:val="none"/>
                <w:lang w:val="en-US" w:eastAsia="zh-CN"/>
              </w:rPr>
              <w:t>磋商</w:t>
            </w:r>
            <w:r>
              <w:rPr>
                <w:rFonts w:hint="eastAsia" w:ascii="仿宋" w:hAnsi="仿宋" w:eastAsia="仿宋" w:cs="仿宋"/>
                <w:color w:val="auto"/>
                <w:sz w:val="24"/>
                <w:highlight w:val="none"/>
                <w:u w:val="none"/>
              </w:rPr>
              <w:t>保证金金额：</w:t>
            </w:r>
            <w:r>
              <w:rPr>
                <w:rFonts w:hint="eastAsia" w:ascii="仿宋" w:hAnsi="仿宋" w:eastAsia="仿宋" w:cs="仿宋"/>
                <w:color w:val="auto"/>
                <w:sz w:val="24"/>
                <w:highlight w:val="none"/>
                <w:lang w:val="en-US" w:eastAsia="zh-CN"/>
              </w:rPr>
              <w:t>人民币：15000.00元。</w:t>
            </w:r>
            <w:r>
              <w:rPr>
                <w:rFonts w:hint="eastAsia" w:ascii="仿宋" w:hAnsi="仿宋" w:eastAsia="仿宋" w:cs="仿宋"/>
                <w:color w:val="auto"/>
                <w:sz w:val="24"/>
                <w:highlight w:val="none"/>
                <w:u w:val="none"/>
              </w:rPr>
              <w:t xml:space="preserve"> </w:t>
            </w:r>
          </w:p>
          <w:p w14:paraId="5FC9379E">
            <w:pPr>
              <w:pStyle w:val="16"/>
              <w:spacing w:line="360" w:lineRule="auto"/>
              <w:rPr>
                <w:rFonts w:hint="eastAsia" w:ascii="仿宋" w:hAnsi="仿宋" w:eastAsia="仿宋" w:cs="仿宋"/>
                <w:color w:val="auto"/>
                <w:sz w:val="24"/>
                <w:highlight w:val="none"/>
                <w:u w:val="none"/>
              </w:rPr>
            </w:pPr>
            <w:r>
              <w:rPr>
                <w:rFonts w:hint="eastAsia" w:ascii="仿宋" w:hAnsi="仿宋" w:eastAsia="仿宋" w:cs="仿宋"/>
                <w:color w:val="auto"/>
                <w:sz w:val="24"/>
                <w:highlight w:val="none"/>
                <w:u w:val="none"/>
              </w:rPr>
              <w:t>（2）</w:t>
            </w:r>
            <w:r>
              <w:rPr>
                <w:rFonts w:hint="eastAsia" w:ascii="仿宋" w:hAnsi="仿宋" w:eastAsia="仿宋" w:cs="仿宋"/>
                <w:color w:val="auto"/>
                <w:sz w:val="24"/>
                <w:highlight w:val="none"/>
                <w:u w:val="none"/>
                <w:lang w:val="en-US" w:eastAsia="zh-CN"/>
              </w:rPr>
              <w:t>磋商</w:t>
            </w:r>
            <w:r>
              <w:rPr>
                <w:rFonts w:hint="eastAsia" w:ascii="仿宋" w:hAnsi="仿宋" w:eastAsia="仿宋" w:cs="仿宋"/>
                <w:color w:val="auto"/>
                <w:sz w:val="24"/>
                <w:highlight w:val="none"/>
                <w:u w:val="none"/>
              </w:rPr>
              <w:t>保证金的递交方式：转账、电汇，且</w:t>
            </w:r>
            <w:r>
              <w:rPr>
                <w:rFonts w:hint="eastAsia" w:ascii="仿宋" w:hAnsi="仿宋" w:eastAsia="仿宋" w:cs="仿宋"/>
                <w:color w:val="auto"/>
                <w:sz w:val="24"/>
                <w:highlight w:val="none"/>
                <w:u w:val="none"/>
                <w:lang w:val="en-US" w:eastAsia="zh-CN"/>
              </w:rPr>
              <w:t>磋商</w:t>
            </w:r>
            <w:r>
              <w:rPr>
                <w:rFonts w:hint="eastAsia" w:ascii="仿宋" w:hAnsi="仿宋" w:eastAsia="仿宋" w:cs="仿宋"/>
                <w:color w:val="auto"/>
                <w:sz w:val="24"/>
                <w:highlight w:val="none"/>
                <w:u w:val="none"/>
              </w:rPr>
              <w:t>保证金必须在202</w:t>
            </w:r>
            <w:r>
              <w:rPr>
                <w:rFonts w:hint="eastAsia" w:ascii="仿宋" w:hAnsi="仿宋" w:eastAsia="仿宋" w:cs="仿宋"/>
                <w:color w:val="auto"/>
                <w:sz w:val="24"/>
                <w:highlight w:val="none"/>
                <w:u w:val="none"/>
                <w:lang w:val="en-US" w:eastAsia="zh-CN"/>
              </w:rPr>
              <w:t>5</w:t>
            </w:r>
            <w:r>
              <w:rPr>
                <w:rFonts w:hint="eastAsia" w:ascii="仿宋" w:hAnsi="仿宋" w:eastAsia="仿宋" w:cs="仿宋"/>
                <w:color w:val="auto"/>
                <w:sz w:val="24"/>
                <w:highlight w:val="none"/>
                <w:u w:val="none"/>
              </w:rPr>
              <w:t>年</w:t>
            </w:r>
            <w:r>
              <w:rPr>
                <w:rFonts w:hint="eastAsia" w:ascii="仿宋" w:hAnsi="仿宋" w:eastAsia="仿宋" w:cs="仿宋"/>
                <w:color w:val="auto"/>
                <w:sz w:val="24"/>
                <w:highlight w:val="none"/>
                <w:u w:val="none"/>
                <w:lang w:val="en-US" w:eastAsia="zh-CN"/>
              </w:rPr>
              <w:t>06</w:t>
            </w:r>
            <w:r>
              <w:rPr>
                <w:rFonts w:hint="eastAsia" w:ascii="仿宋" w:hAnsi="仿宋" w:eastAsia="仿宋" w:cs="仿宋"/>
                <w:color w:val="auto"/>
                <w:sz w:val="24"/>
                <w:highlight w:val="none"/>
                <w:u w:val="none"/>
              </w:rPr>
              <w:t>月</w:t>
            </w:r>
            <w:r>
              <w:rPr>
                <w:rFonts w:hint="eastAsia" w:ascii="仿宋" w:hAnsi="仿宋" w:eastAsia="仿宋" w:cs="仿宋"/>
                <w:color w:val="auto"/>
                <w:sz w:val="24"/>
                <w:highlight w:val="none"/>
                <w:u w:val="none"/>
                <w:lang w:val="en-US" w:eastAsia="zh-CN"/>
              </w:rPr>
              <w:t>26</w:t>
            </w:r>
            <w:r>
              <w:rPr>
                <w:rFonts w:hint="eastAsia" w:ascii="仿宋" w:hAnsi="仿宋" w:eastAsia="仿宋" w:cs="仿宋"/>
                <w:color w:val="auto"/>
                <w:sz w:val="24"/>
                <w:highlight w:val="none"/>
                <w:u w:val="none"/>
              </w:rPr>
              <w:t>日</w:t>
            </w:r>
            <w:r>
              <w:rPr>
                <w:rFonts w:hint="eastAsia" w:ascii="仿宋" w:hAnsi="仿宋" w:eastAsia="仿宋" w:cs="仿宋"/>
                <w:color w:val="auto"/>
                <w:sz w:val="24"/>
                <w:highlight w:val="none"/>
                <w:u w:val="none"/>
                <w:lang w:val="en-US" w:eastAsia="zh-CN"/>
              </w:rPr>
              <w:t>上午09</w:t>
            </w:r>
            <w:r>
              <w:rPr>
                <w:rFonts w:hint="eastAsia" w:ascii="仿宋" w:hAnsi="仿宋" w:eastAsia="仿宋" w:cs="仿宋"/>
                <w:color w:val="auto"/>
                <w:sz w:val="24"/>
                <w:highlight w:val="none"/>
                <w:u w:val="none"/>
              </w:rPr>
              <w:t>:00以前提交至云南谦浩项目咨询有限公司账户。转账时，备注栏内必须注明</w:t>
            </w:r>
            <w:r>
              <w:rPr>
                <w:rFonts w:hint="eastAsia" w:ascii="仿宋" w:hAnsi="仿宋" w:eastAsia="仿宋" w:cs="仿宋"/>
                <w:color w:val="auto"/>
                <w:sz w:val="24"/>
                <w:highlight w:val="none"/>
                <w:u w:val="none"/>
                <w:lang w:val="en-US" w:eastAsia="zh-CN"/>
              </w:rPr>
              <w:t>项目名称（简称）、项目编号</w:t>
            </w:r>
            <w:r>
              <w:rPr>
                <w:rFonts w:hint="eastAsia" w:ascii="仿宋" w:hAnsi="仿宋" w:eastAsia="仿宋" w:cs="仿宋"/>
                <w:color w:val="auto"/>
                <w:sz w:val="24"/>
                <w:highlight w:val="none"/>
                <w:u w:val="none"/>
              </w:rPr>
              <w:t>，若分标段投标的，还须注明所投标标段名称。如未注明</w:t>
            </w:r>
            <w:r>
              <w:rPr>
                <w:rFonts w:hint="eastAsia" w:ascii="仿宋" w:hAnsi="仿宋" w:eastAsia="仿宋" w:cs="仿宋"/>
                <w:color w:val="auto"/>
                <w:sz w:val="24"/>
                <w:highlight w:val="none"/>
                <w:u w:val="none"/>
                <w:lang w:val="en-US" w:eastAsia="zh-CN"/>
              </w:rPr>
              <w:t>项目名称</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项目编号</w:t>
            </w:r>
            <w:r>
              <w:rPr>
                <w:rFonts w:hint="eastAsia" w:ascii="仿宋" w:hAnsi="仿宋" w:eastAsia="仿宋" w:cs="仿宋"/>
                <w:color w:val="auto"/>
                <w:sz w:val="24"/>
                <w:highlight w:val="none"/>
                <w:u w:val="none"/>
              </w:rPr>
              <w:t>导致保证金与所投项目不符，后果由</w:t>
            </w:r>
            <w:r>
              <w:rPr>
                <w:rFonts w:hint="eastAsia" w:ascii="仿宋" w:hAnsi="仿宋" w:eastAsia="仿宋" w:cs="仿宋"/>
                <w:color w:val="auto"/>
                <w:sz w:val="24"/>
                <w:highlight w:val="none"/>
                <w:u w:val="none"/>
                <w:lang w:val="en-US" w:eastAsia="zh-CN"/>
              </w:rPr>
              <w:t>供应商</w:t>
            </w:r>
            <w:r>
              <w:rPr>
                <w:rFonts w:hint="eastAsia" w:ascii="仿宋" w:hAnsi="仿宋" w:eastAsia="仿宋" w:cs="仿宋"/>
                <w:color w:val="auto"/>
                <w:sz w:val="24"/>
                <w:highlight w:val="none"/>
                <w:u w:val="none"/>
              </w:rPr>
              <w:t>自负，各</w:t>
            </w:r>
            <w:r>
              <w:rPr>
                <w:rFonts w:hint="eastAsia" w:ascii="仿宋" w:hAnsi="仿宋" w:eastAsia="仿宋" w:cs="仿宋"/>
                <w:color w:val="auto"/>
                <w:sz w:val="24"/>
                <w:highlight w:val="none"/>
                <w:u w:val="none"/>
                <w:lang w:val="en-US" w:eastAsia="zh-CN"/>
              </w:rPr>
              <w:t>供应商</w:t>
            </w:r>
            <w:r>
              <w:rPr>
                <w:rFonts w:hint="eastAsia" w:ascii="仿宋" w:hAnsi="仿宋" w:eastAsia="仿宋" w:cs="仿宋"/>
                <w:color w:val="auto"/>
                <w:sz w:val="24"/>
                <w:highlight w:val="none"/>
                <w:u w:val="none"/>
              </w:rPr>
              <w:t>严格按规定交纳</w:t>
            </w:r>
            <w:r>
              <w:rPr>
                <w:rFonts w:hint="eastAsia" w:ascii="仿宋" w:hAnsi="仿宋" w:eastAsia="仿宋" w:cs="仿宋"/>
                <w:color w:val="auto"/>
                <w:sz w:val="24"/>
                <w:highlight w:val="none"/>
                <w:u w:val="none"/>
                <w:lang w:val="en-US" w:eastAsia="zh-CN"/>
              </w:rPr>
              <w:t>磋商</w:t>
            </w:r>
            <w:r>
              <w:rPr>
                <w:rFonts w:hint="eastAsia" w:ascii="仿宋" w:hAnsi="仿宋" w:eastAsia="仿宋" w:cs="仿宋"/>
                <w:color w:val="auto"/>
                <w:sz w:val="24"/>
                <w:highlight w:val="none"/>
                <w:u w:val="none"/>
              </w:rPr>
              <w:t>保证金，申请文件中装订各</w:t>
            </w:r>
            <w:r>
              <w:rPr>
                <w:rFonts w:hint="eastAsia" w:ascii="仿宋" w:hAnsi="仿宋" w:eastAsia="仿宋" w:cs="仿宋"/>
                <w:color w:val="auto"/>
                <w:sz w:val="24"/>
                <w:highlight w:val="none"/>
                <w:u w:val="none"/>
                <w:lang w:val="en-US" w:eastAsia="zh-CN"/>
              </w:rPr>
              <w:t>供应商</w:t>
            </w:r>
            <w:r>
              <w:rPr>
                <w:rFonts w:hint="eastAsia" w:ascii="仿宋" w:hAnsi="仿宋" w:eastAsia="仿宋" w:cs="仿宋"/>
                <w:color w:val="auto"/>
                <w:sz w:val="24"/>
                <w:highlight w:val="none"/>
                <w:u w:val="none"/>
              </w:rPr>
              <w:t xml:space="preserve">转账凭证即可，保证金的确认时间以银行到账时间为准。 </w:t>
            </w:r>
          </w:p>
          <w:p w14:paraId="5BF0623A">
            <w:pPr>
              <w:pStyle w:val="16"/>
              <w:spacing w:line="360" w:lineRule="auto"/>
              <w:rPr>
                <w:rFonts w:hint="eastAsia" w:ascii="仿宋" w:hAnsi="仿宋" w:eastAsia="仿宋" w:cs="仿宋"/>
                <w:color w:val="auto"/>
                <w:sz w:val="24"/>
                <w:highlight w:val="none"/>
                <w:u w:val="none"/>
              </w:rPr>
            </w:pPr>
            <w:r>
              <w:rPr>
                <w:rFonts w:hint="eastAsia" w:ascii="仿宋" w:hAnsi="仿宋" w:eastAsia="仿宋" w:cs="仿宋"/>
                <w:color w:val="auto"/>
                <w:sz w:val="24"/>
                <w:highlight w:val="none"/>
                <w:u w:val="none"/>
              </w:rPr>
              <w:t xml:space="preserve">单位名称：云南谦浩项目咨询有限公司 </w:t>
            </w:r>
          </w:p>
          <w:p w14:paraId="776F4B3F">
            <w:pPr>
              <w:pStyle w:val="16"/>
              <w:spacing w:line="360" w:lineRule="auto"/>
              <w:rPr>
                <w:rFonts w:hint="eastAsia" w:ascii="仿宋" w:hAnsi="仿宋" w:eastAsia="仿宋" w:cs="仿宋"/>
                <w:color w:val="auto"/>
                <w:sz w:val="24"/>
                <w:highlight w:val="none"/>
                <w:u w:val="none"/>
              </w:rPr>
            </w:pPr>
            <w:r>
              <w:rPr>
                <w:rFonts w:hint="eastAsia" w:ascii="仿宋" w:hAnsi="仿宋" w:eastAsia="仿宋" w:cs="仿宋"/>
                <w:color w:val="auto"/>
                <w:sz w:val="24"/>
                <w:highlight w:val="none"/>
                <w:u w:val="none"/>
              </w:rPr>
              <w:t>开户行：云南文山市农村商业银行股份有限公司永通支行</w:t>
            </w:r>
          </w:p>
          <w:p w14:paraId="481A06FA">
            <w:pPr>
              <w:pStyle w:val="16"/>
              <w:spacing w:line="360" w:lineRule="auto"/>
              <w:rPr>
                <w:rFonts w:hint="eastAsia" w:ascii="仿宋" w:hAnsi="仿宋" w:eastAsia="仿宋" w:cs="仿宋"/>
                <w:color w:val="auto"/>
                <w:sz w:val="24"/>
                <w:highlight w:val="none"/>
                <w:u w:val="none"/>
              </w:rPr>
            </w:pPr>
            <w:r>
              <w:rPr>
                <w:rFonts w:hint="eastAsia" w:ascii="仿宋" w:hAnsi="仿宋" w:eastAsia="仿宋" w:cs="仿宋"/>
                <w:color w:val="auto"/>
                <w:sz w:val="24"/>
                <w:highlight w:val="none"/>
                <w:u w:val="none"/>
                <w:lang w:eastAsia="zh-CN"/>
              </w:rPr>
              <w:t>账号</w:t>
            </w:r>
            <w:r>
              <w:rPr>
                <w:rFonts w:hint="eastAsia" w:ascii="仿宋" w:hAnsi="仿宋" w:eastAsia="仿宋" w:cs="仿宋"/>
                <w:color w:val="auto"/>
                <w:sz w:val="24"/>
                <w:highlight w:val="none"/>
                <w:u w:val="none"/>
              </w:rPr>
              <w:t>：3900 0197 9465 8012</w:t>
            </w:r>
          </w:p>
          <w:p w14:paraId="602A47DB">
            <w:pPr>
              <w:pStyle w:val="16"/>
              <w:spacing w:line="360" w:lineRule="auto"/>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u w:val="none"/>
                <w:lang w:eastAsia="zh-CN"/>
              </w:rPr>
              <w:t>基本账户开户行支行号：402745000078</w:t>
            </w:r>
          </w:p>
          <w:p w14:paraId="0F1C671F">
            <w:pPr>
              <w:spacing w:line="360" w:lineRule="auto"/>
              <w:jc w:val="both"/>
              <w:rPr>
                <w:rFonts w:hint="eastAsia" w:ascii="仿宋" w:hAnsi="仿宋" w:eastAsia="仿宋" w:cs="仿宋"/>
                <w:color w:val="auto"/>
                <w:sz w:val="24"/>
                <w:highlight w:val="none"/>
              </w:rPr>
            </w:pPr>
            <w:r>
              <w:rPr>
                <w:rFonts w:hint="eastAsia" w:ascii="仿宋" w:hAnsi="仿宋" w:eastAsia="仿宋" w:cs="仿宋"/>
                <w:b/>
                <w:bCs/>
                <w:color w:val="auto"/>
                <w:sz w:val="24"/>
                <w:highlight w:val="none"/>
                <w:u w:val="none"/>
              </w:rPr>
              <w:t>注：</w:t>
            </w:r>
            <w:r>
              <w:rPr>
                <w:rFonts w:hint="eastAsia" w:ascii="仿宋" w:hAnsi="仿宋" w:eastAsia="仿宋" w:cs="仿宋"/>
                <w:b/>
                <w:bCs/>
                <w:color w:val="auto"/>
                <w:sz w:val="24"/>
                <w:highlight w:val="none"/>
                <w:u w:val="none"/>
                <w:lang w:val="en-US" w:eastAsia="zh-CN"/>
              </w:rPr>
              <w:t>磋商</w:t>
            </w:r>
            <w:r>
              <w:rPr>
                <w:rFonts w:hint="eastAsia" w:ascii="仿宋" w:hAnsi="仿宋" w:eastAsia="仿宋" w:cs="仿宋"/>
                <w:b/>
                <w:bCs/>
                <w:color w:val="auto"/>
                <w:sz w:val="24"/>
                <w:highlight w:val="none"/>
                <w:u w:val="none"/>
              </w:rPr>
              <w:t>保证金必须从</w:t>
            </w:r>
            <w:r>
              <w:rPr>
                <w:rFonts w:hint="eastAsia" w:ascii="仿宋" w:hAnsi="仿宋" w:eastAsia="仿宋" w:cs="仿宋"/>
                <w:b/>
                <w:bCs/>
                <w:color w:val="auto"/>
                <w:sz w:val="24"/>
                <w:highlight w:val="none"/>
                <w:u w:val="none"/>
                <w:lang w:val="en-US" w:eastAsia="zh-CN"/>
              </w:rPr>
              <w:t>供应商</w:t>
            </w:r>
            <w:r>
              <w:rPr>
                <w:rFonts w:hint="eastAsia" w:ascii="仿宋" w:hAnsi="仿宋" w:eastAsia="仿宋" w:cs="仿宋"/>
                <w:b/>
                <w:bCs/>
                <w:color w:val="auto"/>
                <w:sz w:val="24"/>
                <w:highlight w:val="none"/>
                <w:u w:val="none"/>
              </w:rPr>
              <w:t>的基本账户划出。</w:t>
            </w:r>
          </w:p>
        </w:tc>
      </w:tr>
      <w:tr w14:paraId="11242612">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37AFCA11">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20.</w:t>
            </w:r>
            <w:r>
              <w:rPr>
                <w:rFonts w:hint="eastAsia" w:ascii="仿宋" w:hAnsi="仿宋" w:eastAsia="仿宋" w:cs="仿宋"/>
                <w:color w:val="auto"/>
                <w:sz w:val="24"/>
                <w:highlight w:val="none"/>
                <w:lang w:val="en-US" w:eastAsia="zh-CN"/>
              </w:rPr>
              <w:t>6</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58C62C0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备品备件</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277A0E5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□不包含在磋商报价中</w:t>
            </w:r>
          </w:p>
          <w:p w14:paraId="301D48A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eq \o\ac(□,√)</w:instrTex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包含在磋商报价中</w:t>
            </w:r>
          </w:p>
        </w:tc>
      </w:tr>
      <w:tr w14:paraId="5BFB3DBA">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721A7D27">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20.</w:t>
            </w:r>
            <w:r>
              <w:rPr>
                <w:rFonts w:hint="eastAsia" w:ascii="仿宋" w:hAnsi="仿宋" w:eastAsia="仿宋" w:cs="仿宋"/>
                <w:color w:val="auto"/>
                <w:sz w:val="24"/>
                <w:highlight w:val="none"/>
                <w:lang w:val="en-US" w:eastAsia="zh-CN"/>
              </w:rPr>
              <w:t>8</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32BA6CB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报价货币</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32EB3A6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人民币</w:t>
            </w:r>
          </w:p>
        </w:tc>
      </w:tr>
      <w:tr w14:paraId="35C73DC0">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59CFAF3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21.1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075E08B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电子响应文件</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462AD63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供应商应通过“政采云”平台（https://www.zcygov.cn/）在线递交，供应商须在磋商截止时间前完成所有响应文件的签章、加密及上传，投标截止时间前未完成响应文件上传的，视为撤回响应文件。</w:t>
            </w:r>
          </w:p>
        </w:tc>
      </w:tr>
      <w:tr w14:paraId="3E2D3A3A">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0847D74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61A604D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响应文件提交截止时间、提交响应文件的地点</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57FB06A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响应文件提交截止时间：详见第一章《</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磋商公告》“四、响应文件提交”；</w:t>
            </w:r>
          </w:p>
          <w:p w14:paraId="5FFF799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提交响应文件的地点：详见第一章《</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磋商公告》“四、响应文件提交”。</w:t>
            </w:r>
          </w:p>
        </w:tc>
      </w:tr>
      <w:tr w14:paraId="1C1DA8D6">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348324C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24.2</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0F54307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58FBE86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磋商小组由采购人代表和评审专家共3人以上单数组成，其中评审专家人数不得少于磋商小组成员总数的2/3，由采购人或者采购代理机构从云南省政府采购评审专家库中随机抽取。</w:t>
            </w:r>
          </w:p>
        </w:tc>
      </w:tr>
      <w:tr w14:paraId="695253B4">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2A4D1CA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24.5</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6C5CF94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评审方法</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03C6A8B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综合评分法</w:t>
            </w:r>
          </w:p>
        </w:tc>
      </w:tr>
      <w:tr w14:paraId="4E4597B9">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7DD6FE2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28.1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21B3204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72403976">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履约担保的形式：银行转账、保证保险、银行保函等形式。 </w:t>
            </w:r>
          </w:p>
          <w:p w14:paraId="7CAAA91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履约担保的金额：合同价的5%（具体要求以合同约定为准）。</w:t>
            </w:r>
          </w:p>
        </w:tc>
      </w:tr>
      <w:tr w14:paraId="56A13CB2">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006D796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29.1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297DE29A">
            <w:pPr>
              <w:spacing w:line="360" w:lineRule="auto"/>
              <w:jc w:val="center"/>
              <w:rPr>
                <w:rFonts w:hint="eastAsia" w:ascii="仿宋" w:hAnsi="仿宋" w:eastAsia="仿宋" w:cs="仿宋"/>
                <w:bCs/>
                <w:color w:val="auto"/>
                <w:sz w:val="24"/>
                <w:highlight w:val="none"/>
              </w:rPr>
            </w:pPr>
            <w:r>
              <w:rPr>
                <w:rFonts w:hint="eastAsia" w:ascii="仿宋" w:hAnsi="仿宋" w:eastAsia="仿宋" w:cs="仿宋"/>
                <w:color w:val="auto"/>
                <w:sz w:val="24"/>
                <w:highlight w:val="none"/>
              </w:rPr>
              <w:t>采购代理服务费</w:t>
            </w:r>
          </w:p>
        </w:tc>
        <w:tc>
          <w:tcPr>
            <w:tcW w:w="3181" w:type="pct"/>
            <w:tcBorders>
              <w:top w:val="single" w:color="auto" w:sz="4" w:space="0"/>
              <w:left w:val="single" w:color="auto" w:sz="4" w:space="0"/>
              <w:bottom w:val="single" w:color="auto" w:sz="4" w:space="0"/>
              <w:right w:val="single" w:color="auto" w:sz="4" w:space="0"/>
            </w:tcBorders>
            <w:noWrap w:val="0"/>
            <w:vAlign w:val="top"/>
          </w:tcPr>
          <w:p w14:paraId="65AFE003">
            <w:pPr>
              <w:spacing w:line="360" w:lineRule="auto"/>
              <w:rPr>
                <w:rFonts w:hint="eastAsia" w:ascii="仿宋" w:hAnsi="仿宋" w:eastAsia="仿宋" w:cs="仿宋"/>
                <w:color w:val="auto"/>
                <w:kern w:val="0"/>
                <w:sz w:val="24"/>
                <w:highlight w:val="none"/>
                <w:lang w:eastAsia="zh-CN"/>
              </w:rPr>
            </w:pPr>
            <w:r>
              <w:rPr>
                <w:rFonts w:hint="eastAsia" w:ascii="仿宋" w:hAnsi="仿宋" w:eastAsia="仿宋" w:cs="仿宋"/>
                <w:color w:val="auto"/>
                <w:sz w:val="24"/>
                <w:highlight w:val="none"/>
              </w:rPr>
              <w:t>采购代理服务费</w:t>
            </w:r>
            <w:r>
              <w:rPr>
                <w:rFonts w:hint="eastAsia" w:ascii="仿宋" w:hAnsi="仿宋" w:eastAsia="仿宋" w:cs="仿宋"/>
                <w:color w:val="auto"/>
                <w:spacing w:val="6"/>
                <w:kern w:val="0"/>
                <w:sz w:val="24"/>
                <w:highlight w:val="none"/>
              </w:rPr>
              <w:t>参照</w:t>
            </w:r>
            <w:r>
              <w:rPr>
                <w:rFonts w:hint="eastAsia" w:ascii="仿宋" w:hAnsi="仿宋" w:eastAsia="仿宋" w:cs="仿宋"/>
                <w:color w:val="auto"/>
                <w:spacing w:val="6"/>
                <w:kern w:val="0"/>
                <w:sz w:val="24"/>
                <w:highlight w:val="none"/>
                <w:lang w:val="en-US" w:eastAsia="zh-CN"/>
              </w:rPr>
              <w:t>相关文件</w:t>
            </w:r>
            <w:r>
              <w:rPr>
                <w:rFonts w:hint="eastAsia" w:ascii="仿宋" w:hAnsi="仿宋" w:eastAsia="仿宋" w:cs="仿宋"/>
                <w:color w:val="auto"/>
                <w:spacing w:val="6"/>
                <w:kern w:val="0"/>
                <w:sz w:val="24"/>
                <w:highlight w:val="none"/>
              </w:rPr>
              <w:t>规定的</w:t>
            </w:r>
            <w:r>
              <w:rPr>
                <w:rFonts w:hint="eastAsia" w:ascii="仿宋" w:hAnsi="仿宋" w:eastAsia="仿宋" w:cs="仿宋"/>
                <w:color w:val="auto"/>
                <w:spacing w:val="6"/>
                <w:kern w:val="0"/>
                <w:sz w:val="24"/>
                <w:highlight w:val="none"/>
                <w:lang w:val="en-US" w:eastAsia="zh-CN"/>
              </w:rPr>
              <w:t>服务</w:t>
            </w:r>
            <w:r>
              <w:rPr>
                <w:rFonts w:hint="eastAsia" w:ascii="仿宋" w:hAnsi="仿宋" w:eastAsia="仿宋" w:cs="仿宋"/>
                <w:color w:val="auto"/>
                <w:spacing w:val="6"/>
                <w:kern w:val="0"/>
                <w:sz w:val="24"/>
                <w:highlight w:val="none"/>
              </w:rPr>
              <w:t>收费标准</w:t>
            </w:r>
            <w:r>
              <w:rPr>
                <w:rFonts w:hint="eastAsia" w:ascii="仿宋" w:hAnsi="仿宋" w:eastAsia="仿宋" w:cs="仿宋"/>
                <w:color w:val="auto"/>
                <w:spacing w:val="6"/>
                <w:kern w:val="0"/>
                <w:sz w:val="24"/>
                <w:highlight w:val="none"/>
                <w:lang w:val="en-US" w:eastAsia="zh-CN"/>
              </w:rPr>
              <w:t>计算后下浮30%</w:t>
            </w:r>
            <w:r>
              <w:rPr>
                <w:rFonts w:hint="eastAsia" w:ascii="仿宋" w:hAnsi="仿宋" w:eastAsia="仿宋" w:cs="仿宋"/>
                <w:color w:val="auto"/>
                <w:spacing w:val="6"/>
                <w:kern w:val="0"/>
                <w:sz w:val="24"/>
                <w:highlight w:val="none"/>
              </w:rPr>
              <w:t>向成交人收取（计算基准价为成交金额</w:t>
            </w:r>
            <w:r>
              <w:rPr>
                <w:rFonts w:hint="eastAsia" w:ascii="仿宋" w:hAnsi="仿宋" w:eastAsia="仿宋" w:cs="仿宋"/>
                <w:color w:val="auto"/>
                <w:spacing w:val="6"/>
                <w:kern w:val="0"/>
                <w:sz w:val="24"/>
                <w:highlight w:val="none"/>
                <w:lang w:eastAsia="zh-CN"/>
              </w:rPr>
              <w:t>）。</w:t>
            </w:r>
          </w:p>
        </w:tc>
      </w:tr>
      <w:tr w14:paraId="1B26A677">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4778E8D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31</w:t>
            </w:r>
          </w:p>
        </w:tc>
        <w:tc>
          <w:tcPr>
            <w:tcW w:w="4409" w:type="pct"/>
            <w:gridSpan w:val="2"/>
            <w:tcBorders>
              <w:top w:val="single" w:color="auto" w:sz="4" w:space="0"/>
              <w:left w:val="single" w:color="auto" w:sz="4" w:space="0"/>
              <w:bottom w:val="single" w:color="auto" w:sz="4" w:space="0"/>
              <w:right w:val="single" w:color="auto" w:sz="4" w:space="0"/>
            </w:tcBorders>
            <w:noWrap w:val="0"/>
            <w:vAlign w:val="center"/>
          </w:tcPr>
          <w:p w14:paraId="5A2406F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需要补充的其他内容</w:t>
            </w:r>
          </w:p>
        </w:tc>
      </w:tr>
      <w:tr w14:paraId="2434CD54">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747AF100">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31.1</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1632CB3E">
            <w:pPr>
              <w:spacing w:line="360" w:lineRule="auto"/>
              <w:jc w:val="center"/>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highlight w:val="none"/>
              </w:rPr>
              <w:t>关于中小企业</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46937F41">
            <w:pPr>
              <w:tabs>
                <w:tab w:val="left" w:pos="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是否适用于本项目：■适用 □不适用。</w:t>
            </w:r>
          </w:p>
          <w:p w14:paraId="1163395E">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.1.1根据《关于印发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政府采购促进中小企业发展管理办法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4E00AF03">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符合中小企业划分标准的个体工商户，在政府采购活动中视同中小企业。</w:t>
            </w:r>
          </w:p>
          <w:p w14:paraId="0A198DFF">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.1.2在政府采购活动中，</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提供的货物、工程或者服务符合下列情形的，享受《关于印发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政府采购促进中小企业发展管理办法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的通知》（财库〔2020〕46号）</w:t>
            </w:r>
            <w:r>
              <w:rPr>
                <w:rFonts w:hint="eastAsia" w:ascii="仿宋" w:hAnsi="仿宋" w:eastAsia="仿宋" w:cs="仿宋"/>
                <w:color w:val="auto"/>
                <w:kern w:val="0"/>
                <w:sz w:val="24"/>
                <w:szCs w:val="21"/>
                <w:highlight w:val="none"/>
                <w:lang w:val="en-US" w:eastAsia="zh-CN" w:bidi="ar"/>
              </w:rPr>
              <w:t>《关于进一步加大政府采购支持中小企业力度的通知》（财库[2022]19号）</w:t>
            </w:r>
            <w:r>
              <w:rPr>
                <w:rFonts w:hint="eastAsia" w:ascii="仿宋" w:hAnsi="仿宋" w:eastAsia="仿宋" w:cs="仿宋"/>
                <w:color w:val="auto"/>
                <w:sz w:val="24"/>
                <w:highlight w:val="none"/>
              </w:rPr>
              <w:t>规定的中小企业扶持政策：</w:t>
            </w:r>
          </w:p>
          <w:p w14:paraId="1E3530E7">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（一）在货物采购项目中，货物由中小企业制造，即货物由中小企业生产且使用该中小企业商号或者注册商标；</w:t>
            </w:r>
          </w:p>
          <w:p w14:paraId="7B90B27B">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（二）在工程采购项目中，工程由中小企业承建，即工程施工单位为中小企业；</w:t>
            </w:r>
          </w:p>
          <w:p w14:paraId="3EE84514">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（三）在服务采购项目中，服务由中小企业承接，即提供服务的人员为中小企业依照《中华人民共和国劳动合同法》订立劳动合同的从业人员。</w:t>
            </w:r>
          </w:p>
          <w:p w14:paraId="7208954E">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在货物采购项目中，</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提供的货物既有中小企业制造货物，也有大型企业制造货物的，不享受本办法规定的中小企业扶持政策。</w:t>
            </w:r>
          </w:p>
          <w:p w14:paraId="11DBDFEA">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以联合体形式参加政府采购活动，联合体各方均为中小企业的，联合体视同中小企业。其中，联合体各方均</w:t>
            </w:r>
            <w:r>
              <w:rPr>
                <w:rFonts w:hint="eastAsia" w:ascii="仿宋" w:hAnsi="仿宋" w:eastAsia="仿宋" w:cs="仿宋"/>
                <w:color w:val="auto"/>
                <w:sz w:val="24"/>
                <w:highlight w:val="none"/>
                <w:lang w:eastAsia="zh-CN"/>
              </w:rPr>
              <w:t>中小企业</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联合体视同</w:t>
            </w:r>
            <w:r>
              <w:rPr>
                <w:rFonts w:hint="eastAsia" w:ascii="仿宋" w:hAnsi="仿宋" w:eastAsia="仿宋" w:cs="仿宋"/>
                <w:color w:val="auto"/>
                <w:sz w:val="24"/>
                <w:highlight w:val="none"/>
                <w:lang w:eastAsia="zh-CN"/>
              </w:rPr>
              <w:t>中小企业</w:t>
            </w:r>
            <w:r>
              <w:rPr>
                <w:rFonts w:hint="eastAsia" w:ascii="仿宋" w:hAnsi="仿宋" w:eastAsia="仿宋" w:cs="仿宋"/>
                <w:color w:val="auto"/>
                <w:sz w:val="24"/>
                <w:highlight w:val="none"/>
              </w:rPr>
              <w:t>。</w:t>
            </w:r>
          </w:p>
          <w:p w14:paraId="3DD59899">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.1.3中小企业参加政府采购活动，应当出具《关于印发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政府采购促进中小企业发展管理办法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的通知》（财库〔2020〕46号）规定的《中小企业声明函》，否则不得享受相关中小企业扶持政策。任何单位和个人不得要求</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提供《中小企业声明函》之外的中小企业身份证明文件。</w:t>
            </w:r>
          </w:p>
          <w:p w14:paraId="323DF0EF">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.1.4依据《关于印发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政府采购促进中小企业发展管理办法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的通知》（财库〔2020〕46号）规定享受扶持政策获得政府采购合同的，</w:t>
            </w:r>
            <w:r>
              <w:rPr>
                <w:rFonts w:hint="eastAsia" w:ascii="仿宋" w:hAnsi="仿宋" w:eastAsia="仿宋" w:cs="仿宋"/>
                <w:color w:val="auto"/>
                <w:sz w:val="24"/>
                <w:highlight w:val="none"/>
                <w:lang w:eastAsia="zh-CN"/>
              </w:rPr>
              <w:t>中小企业</w:t>
            </w:r>
            <w:r>
              <w:rPr>
                <w:rFonts w:hint="eastAsia" w:ascii="仿宋" w:hAnsi="仿宋" w:eastAsia="仿宋" w:cs="仿宋"/>
                <w:color w:val="auto"/>
                <w:sz w:val="24"/>
                <w:highlight w:val="none"/>
              </w:rPr>
              <w:t>不得将合同分包给大中型企业，中型企业不得将合同分包给大型企业。</w:t>
            </w:r>
          </w:p>
          <w:p w14:paraId="38C5A06A">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.1.5本项目针对中小企业报价给予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%的扣除，用扣除后的价格参与评审。</w:t>
            </w:r>
          </w:p>
          <w:p w14:paraId="1E88B5D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.1.6中标、</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享受《关于印发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政府采购促进中小企业发展管理办法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的通知》（财库〔2020〕46号）规定的中小企业扶持政策的，采购人、采购代理机构将随中标、成交结果公开中标、</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的《中小企业声明函》。</w:t>
            </w:r>
          </w:p>
          <w:p w14:paraId="16FE0DB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注：本项目对应的中小企业划分标准所属行业，所属行业为：其他未列明行业。</w:t>
            </w:r>
          </w:p>
        </w:tc>
      </w:tr>
      <w:tr w14:paraId="7AAA6EDD">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1B2E98E8">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31.2</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2545831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关于监狱企业</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170AA01C">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是否适用于本项目：■适用 □不适用。</w:t>
            </w:r>
          </w:p>
          <w:p w14:paraId="0161AD3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31.2.1 根据《财政部司法部关于政府采购支持监狱企业发展有关问题的通知》（财库〔2014〕68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E4CAE3">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31.2.2 监狱企业参加政府采购活动时，应当提供由省级以上监狱管理局、戒毒管理局（含新疆生产建设兵团）出具的属于监狱企业的证明文件。</w:t>
            </w:r>
          </w:p>
          <w:p w14:paraId="08ED0B6D">
            <w:pPr>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sz w:val="24"/>
                <w:highlight w:val="none"/>
              </w:rPr>
              <w:t>31.2.3 在政府采购活动中，监狱企业视同小型、微型企业，享受预留份额、评审中价格扣除等政府采购促进中小企业发展的政府采购政策。</w:t>
            </w:r>
          </w:p>
        </w:tc>
      </w:tr>
      <w:tr w14:paraId="01360763">
        <w:tblPrEx>
          <w:tblCellMar>
            <w:top w:w="0" w:type="dxa"/>
            <w:left w:w="108" w:type="dxa"/>
            <w:bottom w:w="0" w:type="dxa"/>
            <w:right w:w="108" w:type="dxa"/>
          </w:tblCellMar>
        </w:tblPrEx>
        <w:trPr>
          <w:trHeight w:val="850"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14:paraId="19A440D8">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31.3</w:t>
            </w:r>
          </w:p>
        </w:tc>
        <w:tc>
          <w:tcPr>
            <w:tcW w:w="1228" w:type="pct"/>
            <w:tcBorders>
              <w:top w:val="single" w:color="auto" w:sz="4" w:space="0"/>
              <w:left w:val="single" w:color="auto" w:sz="4" w:space="0"/>
              <w:bottom w:val="single" w:color="auto" w:sz="4" w:space="0"/>
              <w:right w:val="single" w:color="auto" w:sz="4" w:space="0"/>
            </w:tcBorders>
            <w:noWrap w:val="0"/>
            <w:vAlign w:val="center"/>
          </w:tcPr>
          <w:p w14:paraId="0B5B58D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关于残疾人福利性单位</w:t>
            </w:r>
          </w:p>
        </w:tc>
        <w:tc>
          <w:tcPr>
            <w:tcW w:w="3181" w:type="pct"/>
            <w:tcBorders>
              <w:top w:val="single" w:color="auto" w:sz="4" w:space="0"/>
              <w:left w:val="single" w:color="auto" w:sz="4" w:space="0"/>
              <w:bottom w:val="single" w:color="auto" w:sz="4" w:space="0"/>
              <w:right w:val="single" w:color="auto" w:sz="4" w:space="0"/>
            </w:tcBorders>
            <w:noWrap w:val="0"/>
            <w:vAlign w:val="center"/>
          </w:tcPr>
          <w:p w14:paraId="38542916">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是否适用于本项目：■适用 □不适用。</w:t>
            </w:r>
          </w:p>
          <w:p w14:paraId="662BA50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31.2.1 根据《三部门联合发布关于促进残疾人就业政府采购政策的通知》（财库〔2017〕141号）的规定，享受政府采购支持政策的残疾人福利性单位应当同时满足以下条件：</w:t>
            </w:r>
          </w:p>
          <w:p w14:paraId="7CA29EB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（一）安置的残疾人占本单位在职职工人数的比例不低于 25%（含 25%），并且安置的残疾人人数不少于 10 人（含 10 人）；</w:t>
            </w:r>
          </w:p>
          <w:p w14:paraId="7C5B013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（二）依法与安置的每位残疾人签订了一年以上（含一年）的劳动合同或服务协议；</w:t>
            </w:r>
          </w:p>
          <w:p w14:paraId="63D17E3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（三）为安置的每位残疾人按月足额缴纳了基本养老保险、基本医疗保险、失业保险、工伤保险和生育保险等社会保险费；</w:t>
            </w:r>
          </w:p>
          <w:p w14:paraId="291F530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（四）通过银行等金融机构向安置的每位残疾人，按月支付了不低于单位所在区县适用的经省级人民政府批准的月最低工资标准的工资；</w:t>
            </w:r>
          </w:p>
          <w:p w14:paraId="0A3D8D7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五）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0EE68CD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31.2.2 符合条件的残疾人福利性单位在参加政府采购活动时，应当按《三部门联合发布关于促进残疾人就业政府采购政策的通知》（财库〔2017〕141 号）提供规定的《残疾人福利性单位声明函》，并对声明的真实性负责。</w:t>
            </w:r>
          </w:p>
          <w:p w14:paraId="455B90D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31.2.3 本项目针对残疾人福利性单位产品的价格给予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%的扣除，用扣除后的价格参与评审。残疾人福利性单位属于小型、微型企业的，不重复享受政策。</w:t>
            </w:r>
          </w:p>
        </w:tc>
      </w:tr>
    </w:tbl>
    <w:p w14:paraId="1E05CBCB">
      <w:pPr>
        <w:numPr>
          <w:ilvl w:val="0"/>
          <w:numId w:val="0"/>
        </w:numPr>
        <w:tabs>
          <w:tab w:val="left" w:pos="1021"/>
        </w:tabs>
        <w:spacing w:before="0" w:line="360" w:lineRule="auto"/>
        <w:ind w:left="425"/>
        <w:jc w:val="center"/>
        <w:outlineLvl w:val="9"/>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bookmarkStart w:id="29" w:name="_Toc337822213"/>
      <w:bookmarkStart w:id="30" w:name="_Toc551"/>
      <w:bookmarkStart w:id="31" w:name="_Toc5957278"/>
    </w:p>
    <w:p w14:paraId="44592AB5">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jc w:val="center"/>
        <w:textAlignment w:val="auto"/>
        <w:rPr>
          <w:rFonts w:hint="eastAsia" w:ascii="仿宋" w:hAnsi="仿宋" w:eastAsia="仿宋" w:cs="仿宋"/>
          <w:b/>
          <w:color w:val="auto"/>
          <w:highlight w:val="none"/>
          <w:lang w:val="en-US" w:eastAsia="zh-CN"/>
        </w:rPr>
      </w:pPr>
      <w:bookmarkStart w:id="32" w:name="_Toc19174"/>
      <w:r>
        <w:rPr>
          <w:rFonts w:hint="eastAsia" w:ascii="仿宋" w:hAnsi="仿宋" w:eastAsia="仿宋" w:cs="仿宋"/>
          <w:b/>
          <w:color w:val="auto"/>
          <w:highlight w:val="none"/>
          <w:lang w:val="en-US" w:eastAsia="zh-CN"/>
        </w:rPr>
        <w:t>一、总  则</w:t>
      </w:r>
      <w:bookmarkEnd w:id="28"/>
      <w:bookmarkEnd w:id="29"/>
      <w:bookmarkEnd w:id="30"/>
      <w:bookmarkEnd w:id="31"/>
      <w:bookmarkEnd w:id="32"/>
    </w:p>
    <w:p w14:paraId="4F625E90">
      <w:pPr>
        <w:keepNext w:val="0"/>
        <w:keepLines w:val="0"/>
        <w:pageBreakBefore w:val="0"/>
        <w:widowControl/>
        <w:kinsoku/>
        <w:wordWrap/>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szCs w:val="24"/>
          <w:highlight w:val="none"/>
        </w:rPr>
      </w:pPr>
      <w:bookmarkStart w:id="33" w:name="_Toc25843"/>
      <w:bookmarkStart w:id="34" w:name="_Toc337822214"/>
      <w:bookmarkStart w:id="35" w:name="_Toc8915918"/>
      <w:bookmarkStart w:id="36" w:name="_Toc26229"/>
      <w:bookmarkStart w:id="37" w:name="_Toc24925"/>
      <w:bookmarkStart w:id="38" w:name="_Toc19462"/>
      <w:bookmarkStart w:id="39" w:name="_Toc12830"/>
      <w:bookmarkStart w:id="40" w:name="_Toc5957279"/>
      <w:bookmarkStart w:id="41" w:name="_Toc2212"/>
      <w:bookmarkStart w:id="42" w:name="_Toc14903"/>
      <w:r>
        <w:rPr>
          <w:rFonts w:hint="eastAsia" w:ascii="仿宋" w:hAnsi="仿宋" w:eastAsia="仿宋" w:cs="仿宋"/>
          <w:b/>
          <w:bCs/>
          <w:color w:val="auto"/>
          <w:sz w:val="24"/>
          <w:szCs w:val="24"/>
          <w:highlight w:val="none"/>
        </w:rPr>
        <w:t>1.项目概况</w:t>
      </w:r>
      <w:bookmarkEnd w:id="33"/>
      <w:bookmarkEnd w:id="34"/>
      <w:bookmarkEnd w:id="35"/>
      <w:bookmarkEnd w:id="36"/>
      <w:bookmarkEnd w:id="37"/>
      <w:bookmarkEnd w:id="38"/>
      <w:bookmarkEnd w:id="39"/>
      <w:bookmarkEnd w:id="40"/>
      <w:bookmarkEnd w:id="41"/>
      <w:bookmarkEnd w:id="42"/>
    </w:p>
    <w:p w14:paraId="00988F33">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根据《中华人民共和国政府采购法》《中华人民共和国政府采购法实施条例》《政府采购竞争性磋商采购方式管理暂行办法》（财库〔2014〕214号）等法律法规的规定，本项目由相关部门批准，云南谦浩项目咨询有限公司受</w:t>
      </w:r>
      <w:r>
        <w:rPr>
          <w:rFonts w:hint="eastAsia" w:ascii="仿宋" w:hAnsi="仿宋" w:eastAsia="仿宋" w:cs="仿宋"/>
          <w:color w:val="auto"/>
          <w:sz w:val="24"/>
          <w:highlight w:val="none"/>
          <w:lang w:eastAsia="zh-CN"/>
        </w:rPr>
        <w:t>云南省文山壮族苗族自治州人民医院</w:t>
      </w:r>
      <w:r>
        <w:rPr>
          <w:rFonts w:hint="eastAsia" w:ascii="仿宋" w:hAnsi="仿宋" w:eastAsia="仿宋" w:cs="仿宋"/>
          <w:color w:val="auto"/>
          <w:sz w:val="24"/>
          <w:highlight w:val="none"/>
        </w:rPr>
        <w:t>（以下简称“采购人”）的委托，组织对本项目进行竞争性磋商采购。本项目已具备竞争性磋商条件，现对本项目进行竞争性磋商采购。</w:t>
      </w:r>
    </w:p>
    <w:p w14:paraId="028E7EF0">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 本项目采购人：详见《磋商须知前附表》。</w:t>
      </w:r>
    </w:p>
    <w:p w14:paraId="1605797E">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 本项目采购代理机构：详见《磋商须知前附表》。</w:t>
      </w:r>
    </w:p>
    <w:p w14:paraId="432D7546">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1.4 本</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名称</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编号</w:t>
      </w:r>
      <w:r>
        <w:rPr>
          <w:rFonts w:hint="eastAsia" w:ascii="仿宋" w:hAnsi="仿宋" w:eastAsia="仿宋" w:cs="仿宋"/>
          <w:color w:val="auto"/>
          <w:sz w:val="24"/>
          <w:highlight w:val="none"/>
        </w:rPr>
        <w:t>：详见《磋商须知前附表》。</w:t>
      </w:r>
    </w:p>
    <w:p w14:paraId="59F7385A">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43" w:name="_Toc8518"/>
      <w:bookmarkStart w:id="44" w:name="_Toc20983"/>
      <w:bookmarkStart w:id="45" w:name="_Toc265142411"/>
      <w:bookmarkStart w:id="46" w:name="_Toc5957280"/>
      <w:bookmarkStart w:id="47" w:name="_Toc8915919"/>
      <w:bookmarkStart w:id="48" w:name="_Toc337822215"/>
      <w:bookmarkStart w:id="49" w:name="_Toc16892"/>
      <w:bookmarkStart w:id="50" w:name="_Toc18666"/>
      <w:bookmarkStart w:id="51" w:name="_Toc20447"/>
      <w:bookmarkStart w:id="52" w:name="_Toc21639"/>
      <w:bookmarkStart w:id="53" w:name="_Toc18626"/>
      <w:r>
        <w:rPr>
          <w:rFonts w:hint="eastAsia" w:ascii="仿宋" w:hAnsi="仿宋" w:eastAsia="仿宋" w:cs="仿宋"/>
          <w:b/>
          <w:bCs/>
          <w:color w:val="auto"/>
          <w:sz w:val="24"/>
          <w:szCs w:val="24"/>
          <w:highlight w:val="none"/>
        </w:rPr>
        <w:t>2.资金来源</w:t>
      </w:r>
      <w:bookmarkEnd w:id="43"/>
      <w:bookmarkEnd w:id="44"/>
      <w:bookmarkEnd w:id="45"/>
      <w:bookmarkEnd w:id="46"/>
      <w:bookmarkEnd w:id="47"/>
      <w:bookmarkEnd w:id="48"/>
      <w:bookmarkEnd w:id="49"/>
      <w:r>
        <w:rPr>
          <w:rFonts w:hint="eastAsia" w:ascii="仿宋" w:hAnsi="仿宋" w:eastAsia="仿宋" w:cs="仿宋"/>
          <w:b/>
          <w:bCs/>
          <w:color w:val="auto"/>
          <w:sz w:val="24"/>
          <w:szCs w:val="24"/>
          <w:highlight w:val="none"/>
        </w:rPr>
        <w:t>及预算金额</w:t>
      </w:r>
      <w:bookmarkEnd w:id="50"/>
      <w:bookmarkEnd w:id="51"/>
      <w:bookmarkEnd w:id="52"/>
      <w:bookmarkEnd w:id="53"/>
    </w:p>
    <w:p w14:paraId="1CF1BA7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bookmarkStart w:id="54" w:name="_Toc8915920"/>
      <w:bookmarkStart w:id="55" w:name="_Toc17169"/>
      <w:bookmarkStart w:id="56" w:name="_Toc5957281"/>
      <w:bookmarkStart w:id="57" w:name="_Toc265142412"/>
      <w:bookmarkStart w:id="58" w:name="_Toc32182"/>
      <w:bookmarkStart w:id="59" w:name="_Toc433"/>
      <w:bookmarkStart w:id="60" w:name="_Toc337822216"/>
      <w:r>
        <w:rPr>
          <w:rFonts w:hint="eastAsia" w:ascii="仿宋" w:hAnsi="仿宋" w:eastAsia="仿宋" w:cs="仿宋"/>
          <w:color w:val="auto"/>
          <w:sz w:val="24"/>
          <w:highlight w:val="none"/>
        </w:rPr>
        <w:t>2.1资金来源及预算金额：详见《磋商须知前附表》。</w:t>
      </w:r>
    </w:p>
    <w:p w14:paraId="6F668320">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lang w:val="en-US" w:eastAsia="zh-CN"/>
        </w:rPr>
      </w:pPr>
      <w:bookmarkStart w:id="61" w:name="_Toc30068"/>
      <w:bookmarkStart w:id="62" w:name="_Toc3068"/>
      <w:bookmarkStart w:id="63" w:name="_Toc13641"/>
      <w:bookmarkStart w:id="64" w:name="_Toc22690"/>
      <w:r>
        <w:rPr>
          <w:rFonts w:hint="eastAsia" w:ascii="仿宋" w:hAnsi="仿宋" w:eastAsia="仿宋" w:cs="仿宋"/>
          <w:b/>
          <w:bCs/>
          <w:color w:val="auto"/>
          <w:sz w:val="24"/>
          <w:szCs w:val="24"/>
          <w:highlight w:val="none"/>
        </w:rPr>
        <w:t>3.</w:t>
      </w:r>
      <w:bookmarkEnd w:id="54"/>
      <w:bookmarkEnd w:id="55"/>
      <w:bookmarkEnd w:id="56"/>
      <w:bookmarkEnd w:id="57"/>
      <w:bookmarkEnd w:id="58"/>
      <w:bookmarkEnd w:id="59"/>
      <w:bookmarkEnd w:id="60"/>
      <w:bookmarkEnd w:id="61"/>
      <w:bookmarkEnd w:id="62"/>
      <w:bookmarkEnd w:id="63"/>
      <w:r>
        <w:rPr>
          <w:rFonts w:hint="eastAsia" w:ascii="仿宋" w:hAnsi="仿宋" w:eastAsia="仿宋" w:cs="仿宋"/>
          <w:b/>
          <w:bCs/>
          <w:color w:val="auto"/>
          <w:sz w:val="24"/>
          <w:szCs w:val="24"/>
          <w:highlight w:val="none"/>
          <w:lang w:val="en-US" w:eastAsia="zh-CN"/>
        </w:rPr>
        <w:t>采购内容及</w:t>
      </w:r>
      <w:bookmarkEnd w:id="64"/>
      <w:r>
        <w:rPr>
          <w:rFonts w:hint="eastAsia" w:ascii="仿宋" w:hAnsi="仿宋" w:eastAsia="仿宋" w:cs="仿宋"/>
          <w:b/>
          <w:bCs/>
          <w:color w:val="auto"/>
          <w:sz w:val="24"/>
          <w:szCs w:val="24"/>
          <w:highlight w:val="none"/>
          <w:lang w:val="en-US" w:eastAsia="zh-CN"/>
        </w:rPr>
        <w:t>合同履行期限（服务周期）、服务地点及</w:t>
      </w:r>
      <w:r>
        <w:rPr>
          <w:rFonts w:hint="eastAsia" w:ascii="仿宋" w:hAnsi="仿宋" w:eastAsia="仿宋" w:cs="仿宋"/>
          <w:b/>
          <w:bCs/>
          <w:color w:val="auto"/>
          <w:sz w:val="24"/>
          <w:szCs w:val="24"/>
          <w:highlight w:val="none"/>
          <w:lang w:eastAsia="zh-CN"/>
        </w:rPr>
        <w:t>质量要求</w:t>
      </w:r>
    </w:p>
    <w:p w14:paraId="4E5DB81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3.1采购内容：详见《磋商须知前附表》；</w:t>
      </w:r>
    </w:p>
    <w:p w14:paraId="2947C67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3.2</w:t>
      </w:r>
      <w:r>
        <w:rPr>
          <w:rFonts w:hint="eastAsia" w:ascii="仿宋" w:hAnsi="仿宋" w:eastAsia="仿宋" w:cs="仿宋"/>
          <w:color w:val="auto"/>
          <w:sz w:val="24"/>
          <w:highlight w:val="none"/>
          <w:lang w:val="en-US" w:eastAsia="zh-CN"/>
        </w:rPr>
        <w:t>合同履行期限（服务周期）、服务地点及</w:t>
      </w:r>
      <w:r>
        <w:rPr>
          <w:rFonts w:hint="eastAsia" w:ascii="仿宋" w:hAnsi="仿宋" w:eastAsia="仿宋" w:cs="仿宋"/>
          <w:color w:val="auto"/>
          <w:sz w:val="24"/>
          <w:highlight w:val="none"/>
          <w:lang w:eastAsia="zh-CN"/>
        </w:rPr>
        <w:t>质量要求</w:t>
      </w:r>
      <w:r>
        <w:rPr>
          <w:rFonts w:hint="eastAsia" w:ascii="仿宋" w:hAnsi="仿宋" w:eastAsia="仿宋" w:cs="仿宋"/>
          <w:color w:val="auto"/>
          <w:sz w:val="24"/>
          <w:highlight w:val="none"/>
        </w:rPr>
        <w:t>：详见《磋商须知前附表》；</w:t>
      </w:r>
    </w:p>
    <w:p w14:paraId="148D33B8">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val="0"/>
          <w:color w:val="auto"/>
          <w:sz w:val="24"/>
          <w:szCs w:val="24"/>
          <w:highlight w:val="none"/>
        </w:rPr>
      </w:pPr>
      <w:bookmarkStart w:id="65" w:name="_Toc8915921"/>
      <w:bookmarkStart w:id="66" w:name="_Toc337822217"/>
      <w:bookmarkStart w:id="67" w:name="_Toc18328"/>
      <w:bookmarkStart w:id="68" w:name="_Toc16156"/>
      <w:bookmarkStart w:id="69" w:name="_Toc15802"/>
      <w:bookmarkStart w:id="70" w:name="_Toc5957282"/>
      <w:bookmarkStart w:id="71" w:name="_Toc5989"/>
      <w:bookmarkStart w:id="72" w:name="_Toc21483"/>
      <w:bookmarkStart w:id="73" w:name="_Toc29486"/>
      <w:bookmarkStart w:id="74" w:name="_Toc9238"/>
      <w:r>
        <w:rPr>
          <w:rFonts w:hint="eastAsia" w:ascii="仿宋" w:hAnsi="仿宋" w:eastAsia="仿宋" w:cs="仿宋"/>
          <w:b/>
          <w:bCs w:val="0"/>
          <w:color w:val="auto"/>
          <w:sz w:val="24"/>
          <w:szCs w:val="24"/>
          <w:highlight w:val="none"/>
        </w:rPr>
        <w:t>4.</w:t>
      </w:r>
      <w:bookmarkEnd w:id="65"/>
      <w:bookmarkEnd w:id="66"/>
      <w:bookmarkEnd w:id="67"/>
      <w:bookmarkEnd w:id="68"/>
      <w:bookmarkEnd w:id="69"/>
      <w:bookmarkEnd w:id="70"/>
      <w:r>
        <w:rPr>
          <w:rFonts w:hint="eastAsia" w:ascii="仿宋" w:hAnsi="仿宋" w:eastAsia="仿宋" w:cs="仿宋"/>
          <w:b/>
          <w:bCs w:val="0"/>
          <w:color w:val="auto"/>
          <w:sz w:val="24"/>
          <w:szCs w:val="24"/>
          <w:highlight w:val="none"/>
        </w:rPr>
        <w:t>资格要求</w:t>
      </w:r>
      <w:bookmarkEnd w:id="71"/>
      <w:bookmarkEnd w:id="72"/>
      <w:bookmarkEnd w:id="73"/>
      <w:bookmarkEnd w:id="74"/>
    </w:p>
    <w:p w14:paraId="6106718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bookmarkStart w:id="75" w:name="_Hlt200176664"/>
      <w:bookmarkEnd w:id="75"/>
      <w:r>
        <w:rPr>
          <w:rFonts w:hint="eastAsia" w:ascii="仿宋" w:hAnsi="仿宋" w:eastAsia="仿宋" w:cs="仿宋"/>
          <w:color w:val="auto"/>
          <w:sz w:val="24"/>
          <w:highlight w:val="none"/>
        </w:rPr>
        <w:t>4.1资格要求：详见《磋商须知前附表》</w:t>
      </w:r>
    </w:p>
    <w:p w14:paraId="6274C64A">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未被列入“信用中国”网站（www.creditchina.gov.cn）失信被执行人、税收违法黑名单、政府采购严重违法失信行为记录名单（政府采购不良行为记录）及中国政府采购网（www.ccgp.gov.cn） “政府采购严重违法失信行为信息记录”。</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lang w:eastAsia="zh-CN"/>
        </w:rPr>
        <w:t>代理机构</w:t>
      </w:r>
      <w:r>
        <w:rPr>
          <w:rFonts w:hint="eastAsia" w:ascii="仿宋" w:hAnsi="仿宋" w:eastAsia="仿宋" w:cs="仿宋"/>
          <w:color w:val="auto"/>
          <w:sz w:val="24"/>
          <w:highlight w:val="none"/>
        </w:rPr>
        <w:t>将于开标结束后对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上述信用信息进行查询核对。</w:t>
      </w:r>
    </w:p>
    <w:p w14:paraId="6F9A9E5F">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信 用 信 息 查 询 渠 道 及 时 间 ： 采 购 代 理 机 构 将 于 开 标 结 束 后 在 “ 信 用 中 国 ” 网 站（www.creditchina.gov.cn）、中国政府采购网（www.ccgp.gov.cn）对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上述信用信息进行查询核对。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存在不良信用记录的，不得参与政府采购活动。</w:t>
      </w:r>
    </w:p>
    <w:p w14:paraId="580A3AD4">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信用信息查询记录和证据留存的具体方式：</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将信用信息查询的网页截图打印出来随项目备案资料一起留存。</w:t>
      </w:r>
    </w:p>
    <w:p w14:paraId="12E8B2B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信用信息的使用规则：仅为本项目使用。</w:t>
      </w:r>
    </w:p>
    <w:p w14:paraId="7311FD2C">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4.2采购人根据采购项目的特殊要求规定的特定条件：详见《磋商须知前附表》</w:t>
      </w:r>
    </w:p>
    <w:p w14:paraId="6159D2F5">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bookmarkStart w:id="76" w:name="_Toc31424"/>
      <w:bookmarkStart w:id="77" w:name="_Toc27979"/>
      <w:bookmarkStart w:id="78" w:name="_Toc9045"/>
      <w:bookmarkStart w:id="79" w:name="_Toc337822218"/>
      <w:bookmarkStart w:id="80" w:name="_Toc22829"/>
      <w:bookmarkStart w:id="81" w:name="_Toc5957283"/>
      <w:bookmarkStart w:id="82" w:name="_Toc22418"/>
      <w:bookmarkStart w:id="83" w:name="_Toc20657"/>
      <w:bookmarkStart w:id="84" w:name="_Toc8915922"/>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是否接受联合体参加：不接受。</w:t>
      </w:r>
    </w:p>
    <w:p w14:paraId="191C91F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如</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为满足资格要求提供虚假材料，一经查实，视为未实质性响应磋商文件，</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highlight w:val="none"/>
        </w:rPr>
        <w:t>响应文件将按无效处理。</w:t>
      </w:r>
    </w:p>
    <w:p w14:paraId="7D10670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单位负责人为同一人或者存在直接控股、管理关系的不同</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，不得参加同一合同项下的政府采购活动。</w:t>
      </w:r>
    </w:p>
    <w:p w14:paraId="6DEC53D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参加磋商的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不得直接或间接</w:t>
      </w:r>
      <w:r>
        <w:rPr>
          <w:rFonts w:hint="eastAsia" w:ascii="仿宋" w:hAnsi="仿宋" w:eastAsia="仿宋" w:cs="仿宋"/>
          <w:color w:val="auto"/>
          <w:sz w:val="24"/>
          <w:highlight w:val="none"/>
          <w:lang w:val="en-US" w:eastAsia="zh-CN"/>
        </w:rPr>
        <w:t>地</w:t>
      </w:r>
      <w:r>
        <w:rPr>
          <w:rFonts w:hint="eastAsia" w:ascii="仿宋" w:hAnsi="仿宋" w:eastAsia="仿宋" w:cs="仿宋"/>
          <w:color w:val="auto"/>
          <w:sz w:val="24"/>
          <w:highlight w:val="none"/>
        </w:rPr>
        <w:t xml:space="preserve">与为本次采购项目建设进行设计、编制规范和其他文件的咨询公司、采购人或其附属机构有任何关联。 </w:t>
      </w:r>
    </w:p>
    <w:p w14:paraId="595D5465">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符合上述条件的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应承担磋商及履约中应承担的全部责任与义务。</w:t>
      </w:r>
    </w:p>
    <w:p w14:paraId="793566AC">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85" w:name="_Toc20014"/>
      <w:r>
        <w:rPr>
          <w:rFonts w:hint="eastAsia" w:ascii="仿宋" w:hAnsi="仿宋" w:eastAsia="仿宋" w:cs="仿宋"/>
          <w:b/>
          <w:bCs/>
          <w:color w:val="auto"/>
          <w:sz w:val="24"/>
          <w:szCs w:val="24"/>
          <w:highlight w:val="none"/>
        </w:rPr>
        <w:t>5.磋商费用</w:t>
      </w:r>
      <w:bookmarkEnd w:id="76"/>
      <w:bookmarkEnd w:id="77"/>
      <w:bookmarkEnd w:id="78"/>
      <w:bookmarkEnd w:id="79"/>
      <w:bookmarkEnd w:id="80"/>
      <w:bookmarkEnd w:id="81"/>
      <w:bookmarkEnd w:id="82"/>
      <w:bookmarkEnd w:id="83"/>
      <w:bookmarkEnd w:id="84"/>
      <w:bookmarkEnd w:id="85"/>
    </w:p>
    <w:p w14:paraId="7942CAB5">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无论是否成交，</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自行承担所有与参加磋商有关的全部费用。</w:t>
      </w:r>
    </w:p>
    <w:p w14:paraId="015891AA">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86" w:name="_Toc27485"/>
      <w:bookmarkStart w:id="87" w:name="_Toc31951"/>
      <w:bookmarkStart w:id="88" w:name="_Toc5642"/>
      <w:bookmarkStart w:id="89" w:name="_Toc2947"/>
      <w:r>
        <w:rPr>
          <w:rFonts w:hint="eastAsia" w:ascii="仿宋" w:hAnsi="仿宋" w:eastAsia="仿宋" w:cs="仿宋"/>
          <w:b/>
          <w:bCs/>
          <w:color w:val="auto"/>
          <w:sz w:val="24"/>
          <w:szCs w:val="24"/>
          <w:highlight w:val="none"/>
        </w:rPr>
        <w:t>6.现场考察</w:t>
      </w:r>
      <w:bookmarkEnd w:id="86"/>
      <w:bookmarkEnd w:id="87"/>
      <w:bookmarkEnd w:id="88"/>
      <w:bookmarkEnd w:id="89"/>
    </w:p>
    <w:p w14:paraId="22FB37F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6.1本项目采购人不组织现场考察。</w:t>
      </w:r>
    </w:p>
    <w:p w14:paraId="0E8DD315">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90" w:name="_Toc22058"/>
      <w:bookmarkStart w:id="91" w:name="_Toc28104"/>
      <w:bookmarkStart w:id="92" w:name="_Toc19554"/>
      <w:bookmarkStart w:id="93" w:name="_Toc27006"/>
      <w:r>
        <w:rPr>
          <w:rFonts w:hint="eastAsia" w:ascii="仿宋" w:hAnsi="仿宋" w:eastAsia="仿宋" w:cs="仿宋"/>
          <w:b/>
          <w:bCs/>
          <w:color w:val="auto"/>
          <w:sz w:val="24"/>
          <w:szCs w:val="24"/>
          <w:highlight w:val="none"/>
        </w:rPr>
        <w:t>7.磋商前答疑会</w:t>
      </w:r>
      <w:bookmarkEnd w:id="90"/>
      <w:bookmarkEnd w:id="91"/>
      <w:bookmarkEnd w:id="92"/>
      <w:bookmarkEnd w:id="93"/>
    </w:p>
    <w:p w14:paraId="35C45BC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7.1本项目采购人不组织磋商前答疑会。</w:t>
      </w:r>
    </w:p>
    <w:p w14:paraId="789B4F7E">
      <w:pPr>
        <w:pageBreakBefore w:val="0"/>
        <w:numPr>
          <w:ilvl w:val="0"/>
          <w:numId w:val="0"/>
        </w:numPr>
        <w:tabs>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94" w:name="_Toc489145711"/>
      <w:bookmarkStart w:id="95" w:name="_Toc22909"/>
      <w:bookmarkStart w:id="96" w:name="_Toc10795"/>
      <w:bookmarkStart w:id="97" w:name="_Toc24315"/>
      <w:bookmarkStart w:id="98" w:name="_Toc489197815"/>
      <w:bookmarkStart w:id="99" w:name="_Toc25933"/>
      <w:r>
        <w:rPr>
          <w:rFonts w:hint="eastAsia" w:ascii="仿宋" w:hAnsi="仿宋" w:eastAsia="仿宋" w:cs="仿宋"/>
          <w:b/>
          <w:bCs/>
          <w:color w:val="auto"/>
          <w:sz w:val="24"/>
          <w:szCs w:val="24"/>
          <w:highlight w:val="none"/>
        </w:rPr>
        <w:t>8.质疑</w:t>
      </w:r>
      <w:bookmarkEnd w:id="94"/>
      <w:bookmarkEnd w:id="95"/>
      <w:bookmarkEnd w:id="96"/>
      <w:bookmarkEnd w:id="97"/>
      <w:bookmarkEnd w:id="98"/>
      <w:bookmarkEnd w:id="99"/>
    </w:p>
    <w:p w14:paraId="5BB8D7F6">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8.1</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认为竞争性磋商文件、采购过程、成交结果使自己的权益受到损害的，可以在知道或者应知其权益受到损害之日起7个工作日内，以通过在线</w:t>
      </w:r>
      <w:r>
        <w:rPr>
          <w:rFonts w:hint="eastAsia" w:ascii="仿宋" w:hAnsi="仿宋" w:eastAsia="仿宋" w:cs="仿宋"/>
          <w:color w:val="auto"/>
          <w:sz w:val="24"/>
          <w:highlight w:val="none"/>
          <w:lang w:val="en-US" w:eastAsia="zh-CN"/>
        </w:rPr>
        <w:t>上</w:t>
      </w:r>
      <w:r>
        <w:rPr>
          <w:rFonts w:hint="eastAsia" w:ascii="仿宋" w:hAnsi="仿宋" w:eastAsia="仿宋" w:cs="仿宋"/>
          <w:color w:val="auto"/>
          <w:sz w:val="24"/>
          <w:highlight w:val="none"/>
        </w:rPr>
        <w:t>方式</w:t>
      </w:r>
      <w:r>
        <w:rPr>
          <w:rFonts w:hint="eastAsia" w:ascii="仿宋" w:hAnsi="仿宋" w:eastAsia="仿宋" w:cs="仿宋"/>
          <w:color w:val="auto"/>
          <w:sz w:val="24"/>
          <w:highlight w:val="none"/>
          <w:lang w:val="en-US" w:eastAsia="zh-CN"/>
        </w:rPr>
        <w:t>及</w:t>
      </w:r>
      <w:r>
        <w:rPr>
          <w:rFonts w:hint="eastAsia" w:ascii="仿宋" w:hAnsi="仿宋" w:eastAsia="仿宋" w:cs="仿宋"/>
          <w:color w:val="auto"/>
          <w:sz w:val="24"/>
          <w:highlight w:val="none"/>
        </w:rPr>
        <w:t>书面形式向采购人、采购代理机构提出质疑。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应在法定质疑期内一次性提出针对同一采购程序环节的质疑，否则采购人、采购代理机构有权拒收。</w:t>
      </w:r>
    </w:p>
    <w:p w14:paraId="2A3713C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8.2</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可以委托代理人进行质疑。其授权委托书应当载明代理人的姓名或者名称、代理事项、具体权限、期限和相关事项。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为自然人的，应当由本人签字；</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为法人或者其他组织的，应当由法定代表人、主要负责人签字或者盖章，并加盖公章。代理人提出质疑，应当提交</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签署的授权委托书。</w:t>
      </w:r>
    </w:p>
    <w:p w14:paraId="0FE22BFC">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8.3提出质疑的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应当是参与所质疑项目采购活动的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w:t>
      </w:r>
    </w:p>
    <w:p w14:paraId="04FC4F2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8.4</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提出质疑应符合《政府采购质疑和投诉办法》（中华人民共和国财政部令第94号）和财政部《政府采购</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质疑函范本》的规定。</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提出质疑应当提交质疑函和必要的证明材料。质疑函应当包括下列内容：</w:t>
      </w:r>
    </w:p>
    <w:p w14:paraId="5938D37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（一）</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的姓名或者名称、地址、邮编、联系人及联系电话；</w:t>
      </w:r>
    </w:p>
    <w:p w14:paraId="5146775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（二）质疑项目的名称、编号；</w:t>
      </w:r>
    </w:p>
    <w:p w14:paraId="0340D687">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（三）具体、明确的质疑事项和与质疑事项相关的请求；</w:t>
      </w:r>
    </w:p>
    <w:p w14:paraId="2ADFEA9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（四）事实依据；</w:t>
      </w:r>
    </w:p>
    <w:p w14:paraId="5672367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（五）必要的法律依据；</w:t>
      </w:r>
    </w:p>
    <w:p w14:paraId="68D97807">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（六）提出质疑的日期。</w:t>
      </w:r>
    </w:p>
    <w:p w14:paraId="52558033">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为自然人的，应当由本人签字；</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为法人或者其他组织的，应当由法定代表人、主要负责人，或者其授权代表签字或者盖章，并加盖公章。</w:t>
      </w:r>
    </w:p>
    <w:p w14:paraId="35386F3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8.5</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不得捏造事实、提供虚假材料或者以非法手段取得证明材料。</w:t>
      </w:r>
    </w:p>
    <w:p w14:paraId="52576785">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w:t>
      </w:r>
      <w:r>
        <w:rPr>
          <w:rFonts w:hint="eastAsia" w:ascii="仿宋" w:hAnsi="仿宋" w:eastAsia="仿宋" w:cs="仿宋"/>
          <w:color w:val="auto"/>
          <w:sz w:val="24"/>
          <w:highlight w:val="none"/>
          <w:lang w:val="en-US" w:eastAsia="zh-CN"/>
        </w:rPr>
        <w:t>中国</w:t>
      </w:r>
      <w:r>
        <w:rPr>
          <w:rFonts w:hint="eastAsia" w:ascii="仿宋" w:hAnsi="仿宋" w:eastAsia="仿宋" w:cs="仿宋"/>
          <w:color w:val="auto"/>
          <w:sz w:val="24"/>
          <w:highlight w:val="none"/>
        </w:rPr>
        <w:t>台湾地区内形成的证据，应当履行相关的证明手续。</w:t>
      </w:r>
    </w:p>
    <w:p w14:paraId="13FF8C55">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8.7采购人、采购代理机构将在收到</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质疑函后七个工作日内作出答复，但质疑答复的内容不涉及商业秘密。</w:t>
      </w:r>
    </w:p>
    <w:p w14:paraId="33FFFD8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8.8</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对评审过程、</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结果提出质疑的，采购人、采购代理机构可以组织原</w:t>
      </w:r>
      <w:r>
        <w:rPr>
          <w:rFonts w:hint="eastAsia" w:ascii="仿宋" w:hAnsi="仿宋" w:eastAsia="仿宋" w:cs="仿宋"/>
          <w:color w:val="auto"/>
          <w:sz w:val="24"/>
          <w:highlight w:val="none"/>
          <w:lang w:eastAsia="zh-CN"/>
        </w:rPr>
        <w:t>磋商小组</w:t>
      </w:r>
      <w:r>
        <w:rPr>
          <w:rFonts w:hint="eastAsia" w:ascii="仿宋" w:hAnsi="仿宋" w:eastAsia="仿宋" w:cs="仿宋"/>
          <w:color w:val="auto"/>
          <w:sz w:val="24"/>
          <w:highlight w:val="none"/>
        </w:rPr>
        <w:t>协助答复质疑。质疑答复导致</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结果改变的，采购人或者采购代理机构会将有关情况书面报告本级财政部门。</w:t>
      </w:r>
    </w:p>
    <w:p w14:paraId="15361CC6">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8.9接收质疑函的方式：</w:t>
      </w:r>
      <w:r>
        <w:rPr>
          <w:rFonts w:hint="eastAsia" w:ascii="仿宋" w:hAnsi="仿宋" w:eastAsia="仿宋" w:cs="仿宋"/>
          <w:color w:val="auto"/>
          <w:sz w:val="24"/>
          <w:highlight w:val="none"/>
          <w:lang w:val="en-US" w:eastAsia="zh-CN"/>
        </w:rPr>
        <w:t>网络线上</w:t>
      </w:r>
      <w:r>
        <w:rPr>
          <w:rFonts w:hint="eastAsia" w:ascii="仿宋" w:hAnsi="仿宋" w:eastAsia="仿宋" w:cs="仿宋"/>
          <w:color w:val="auto"/>
          <w:sz w:val="24"/>
          <w:highlight w:val="none"/>
        </w:rPr>
        <w:t>方式</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“政采云”平台（</w:t>
      </w:r>
      <w:r>
        <w:rPr>
          <w:rFonts w:hint="eastAsia" w:ascii="仿宋" w:hAnsi="仿宋" w:eastAsia="仿宋" w:cs="仿宋"/>
          <w:color w:val="auto"/>
          <w:sz w:val="24"/>
          <w:highlight w:val="none"/>
          <w:lang w:eastAsia="zh-CN"/>
        </w:rPr>
        <w:t>https://www.zcygov.cn/</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14:paraId="32AEEB70">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 </w:t>
      </w:r>
      <w:bookmarkStart w:id="100" w:name="_Toc7207"/>
      <w:r>
        <w:rPr>
          <w:rFonts w:hint="eastAsia" w:ascii="仿宋" w:hAnsi="仿宋" w:eastAsia="仿宋" w:cs="仿宋"/>
          <w:b/>
          <w:bCs/>
          <w:color w:val="auto"/>
          <w:sz w:val="24"/>
          <w:szCs w:val="24"/>
          <w:highlight w:val="none"/>
        </w:rPr>
        <w:t>9.投诉</w:t>
      </w:r>
      <w:bookmarkEnd w:id="100"/>
    </w:p>
    <w:p w14:paraId="4AB1A5F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9.1投诉必须首先经过质疑程序。质疑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对采购人、采购代理机构的答复不满意，或者采购人、采购代理机构未在规定时间内作出答复的，可以在答复期满后十五个工作日内书面向财政部门提起投诉。</w:t>
      </w:r>
    </w:p>
    <w:p w14:paraId="27C070B4">
      <w:pPr>
        <w:pStyle w:val="12"/>
        <w:pageBreakBefore w:val="0"/>
        <w:kinsoku/>
        <w:overflowPunct/>
        <w:topLinePunct w:val="0"/>
        <w:autoSpaceDE/>
        <w:autoSpaceDN/>
        <w:bidi w:val="0"/>
        <w:adjustRightInd/>
        <w:snapToGrid/>
        <w:spacing w:line="360" w:lineRule="auto"/>
        <w:ind w:left="0" w:leftChars="0"/>
        <w:textAlignment w:val="auto"/>
        <w:rPr>
          <w:rFonts w:hint="eastAsia" w:ascii="仿宋" w:hAnsi="仿宋" w:eastAsia="仿宋" w:cs="仿宋"/>
          <w:color w:val="auto"/>
          <w:highlight w:val="none"/>
        </w:rPr>
      </w:pPr>
    </w:p>
    <w:p w14:paraId="2DBD7A78">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jc w:val="center"/>
        <w:textAlignment w:val="auto"/>
        <w:rPr>
          <w:rFonts w:hint="eastAsia" w:ascii="仿宋" w:hAnsi="仿宋" w:eastAsia="仿宋" w:cs="仿宋"/>
          <w:b/>
          <w:color w:val="auto"/>
          <w:highlight w:val="none"/>
          <w:lang w:val="en-US" w:eastAsia="zh-CN"/>
        </w:rPr>
      </w:pPr>
      <w:bookmarkStart w:id="101" w:name="_Toc337822219"/>
      <w:bookmarkStart w:id="102" w:name="_Toc1064"/>
      <w:bookmarkStart w:id="103" w:name="_Toc17670"/>
      <w:bookmarkStart w:id="104" w:name="_Toc1308"/>
      <w:bookmarkStart w:id="105" w:name="_Toc5957285"/>
      <w:bookmarkStart w:id="106" w:name="_Toc86124047"/>
      <w:r>
        <w:rPr>
          <w:rFonts w:hint="eastAsia" w:ascii="仿宋" w:hAnsi="仿宋" w:eastAsia="仿宋" w:cs="仿宋"/>
          <w:b/>
          <w:color w:val="auto"/>
          <w:highlight w:val="none"/>
          <w:lang w:val="en-US" w:eastAsia="zh-CN"/>
        </w:rPr>
        <w:t>二、磋商文件</w:t>
      </w:r>
      <w:bookmarkEnd w:id="101"/>
      <w:bookmarkEnd w:id="102"/>
      <w:bookmarkEnd w:id="103"/>
      <w:bookmarkEnd w:id="104"/>
      <w:bookmarkEnd w:id="105"/>
      <w:bookmarkEnd w:id="106"/>
    </w:p>
    <w:p w14:paraId="7EECC0AA">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107" w:name="_Toc11633"/>
      <w:bookmarkStart w:id="108" w:name="_Toc8915925"/>
      <w:bookmarkStart w:id="109" w:name="_Toc5957286"/>
      <w:bookmarkStart w:id="110" w:name="_Toc26928"/>
      <w:bookmarkStart w:id="111" w:name="_Toc7275"/>
      <w:bookmarkStart w:id="112" w:name="_Toc337822220"/>
      <w:bookmarkStart w:id="113" w:name="_Toc17476"/>
      <w:bookmarkStart w:id="114" w:name="_Toc19984"/>
      <w:bookmarkStart w:id="115" w:name="_Toc1933"/>
      <w:bookmarkStart w:id="116" w:name="_Toc3330"/>
      <w:r>
        <w:rPr>
          <w:rFonts w:hint="eastAsia" w:ascii="仿宋" w:hAnsi="仿宋" w:eastAsia="仿宋" w:cs="仿宋"/>
          <w:b/>
          <w:bCs/>
          <w:color w:val="auto"/>
          <w:sz w:val="24"/>
          <w:szCs w:val="24"/>
          <w:highlight w:val="none"/>
        </w:rPr>
        <w:t>10.磋商文件的组成</w:t>
      </w:r>
      <w:bookmarkEnd w:id="107"/>
      <w:bookmarkEnd w:id="108"/>
      <w:bookmarkEnd w:id="109"/>
      <w:bookmarkEnd w:id="110"/>
      <w:bookmarkEnd w:id="111"/>
      <w:bookmarkEnd w:id="112"/>
      <w:bookmarkEnd w:id="113"/>
      <w:bookmarkEnd w:id="114"/>
      <w:bookmarkEnd w:id="115"/>
      <w:bookmarkEnd w:id="116"/>
    </w:p>
    <w:p w14:paraId="0203C64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要求提供的服务、采购过程及合同条款在磋商文件中均有说明，磋商文件共六章，各章的内容如下：</w:t>
      </w:r>
    </w:p>
    <w:p w14:paraId="6E21F9C3">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竞争性磋商公告</w:t>
      </w:r>
    </w:p>
    <w:p w14:paraId="4828186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磋商须知</w:t>
      </w:r>
    </w:p>
    <w:p w14:paraId="79F9108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合同书样式及主要条款</w:t>
      </w:r>
    </w:p>
    <w:p w14:paraId="0042776B">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采购需求</w:t>
      </w:r>
    </w:p>
    <w:p w14:paraId="78E5487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响应文件格式</w:t>
      </w:r>
    </w:p>
    <w:p w14:paraId="61E15B8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第六章  评审办法</w:t>
      </w:r>
    </w:p>
    <w:p w14:paraId="3E1CE12B">
      <w:pPr>
        <w:pageBreakBefore w:val="0"/>
        <w:numPr>
          <w:ilvl w:val="0"/>
          <w:numId w:val="0"/>
        </w:numPr>
        <w:tabs>
          <w:tab w:val="left" w:pos="570"/>
          <w:tab w:val="left" w:pos="1588"/>
        </w:tabs>
        <w:kinsoku/>
        <w:wordWrap/>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117" w:name="_Toc15527"/>
      <w:bookmarkStart w:id="118" w:name="_Toc12037"/>
      <w:bookmarkStart w:id="119" w:name="_Toc8915926"/>
      <w:bookmarkStart w:id="120" w:name="_Toc5957287"/>
      <w:bookmarkStart w:id="121" w:name="_Toc22404"/>
      <w:bookmarkStart w:id="122" w:name="_Toc18160"/>
      <w:bookmarkStart w:id="123" w:name="_Toc25277"/>
      <w:bookmarkStart w:id="124" w:name="_Toc27120"/>
      <w:bookmarkStart w:id="125" w:name="_Toc9956"/>
      <w:r>
        <w:rPr>
          <w:rFonts w:hint="eastAsia" w:ascii="仿宋" w:hAnsi="仿宋" w:eastAsia="仿宋" w:cs="仿宋"/>
          <w:b/>
          <w:bCs/>
          <w:color w:val="auto"/>
          <w:sz w:val="24"/>
          <w:szCs w:val="24"/>
          <w:highlight w:val="none"/>
        </w:rPr>
        <w:t>11.竞争性磋商文件的询问、澄清、修改</w:t>
      </w:r>
      <w:bookmarkEnd w:id="117"/>
      <w:bookmarkEnd w:id="118"/>
      <w:bookmarkEnd w:id="119"/>
      <w:bookmarkEnd w:id="120"/>
      <w:bookmarkEnd w:id="121"/>
      <w:bookmarkEnd w:id="122"/>
      <w:bookmarkEnd w:id="123"/>
      <w:bookmarkEnd w:id="124"/>
      <w:bookmarkEnd w:id="125"/>
    </w:p>
    <w:p w14:paraId="3221AEB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11.1</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应认真阅读竞争性磋商响应文件，如有疑问的，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可以向采购人或采购代理机构提出询问，采购人或者采购代理机构在接到询问后的3个工作日内对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依法提出的询问作出答复，但答复的内容不涉及商业秘密。</w:t>
      </w:r>
    </w:p>
    <w:p w14:paraId="41F47606">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11.2磋商文件询问联系方式：详见《磋商须知前附表》。</w:t>
      </w:r>
    </w:p>
    <w:p w14:paraId="3C33BE6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11.3提交首次响应文件截止之日前，采购人、采购代理机构可以对已发出的磋商文件进行必要的澄清或者修改，澄清或者修改的内容作为磋商文件的组成部分。</w:t>
      </w:r>
    </w:p>
    <w:p w14:paraId="7F9B225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11.4澄清或者修改的内容可能影响</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文件编制的，采购人或者采购代理机构将在</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截止时间至少5日前，通过在线方式通知所有获取磋商文件的潜在</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；不足5日的，采购人或者采购代理机构将顺延提交首次响应文件的截止时间。</w:t>
      </w:r>
    </w:p>
    <w:p w14:paraId="28BADB9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11.5</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确认收到竞争性磋商文件澄清、修改后，应在收到澄清、修改后24小时内以</w:t>
      </w:r>
      <w:r>
        <w:rPr>
          <w:rFonts w:hint="eastAsia" w:ascii="仿宋" w:hAnsi="仿宋" w:eastAsia="仿宋" w:cs="仿宋"/>
          <w:color w:val="auto"/>
          <w:sz w:val="24"/>
          <w:highlight w:val="none"/>
          <w:lang w:val="en-US" w:eastAsia="zh-CN"/>
        </w:rPr>
        <w:t>在</w:t>
      </w:r>
      <w:r>
        <w:rPr>
          <w:rFonts w:hint="eastAsia" w:ascii="仿宋" w:hAnsi="仿宋" w:eastAsia="仿宋" w:cs="仿宋"/>
          <w:color w:val="auto"/>
          <w:sz w:val="24"/>
          <w:highlight w:val="none"/>
        </w:rPr>
        <w:t>线方式通知采购人或采购代理机构，确认已收到该澄清、修改。</w:t>
      </w:r>
    </w:p>
    <w:p w14:paraId="79934F2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11.6在磋商过程中，磋商小组可以根据磋商文件和磋商情况实质性变动服务要求中的技术、服务要求以及合同草案条款，但不得变动磋商文件中的其他内容。实质性变动的内容，须经采购人代表确认。本项目磋商小组根据与</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磋商情况可能实质性变动的内容见《磋商须知前附表》。</w:t>
      </w:r>
    </w:p>
    <w:p w14:paraId="4BD850A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11.7实质性变动服务要求中的技术、服务要求以及合同草案条款不得对涉及对竞争性磋商文件公平、公正性内容进行修改、变动。</w:t>
      </w:r>
    </w:p>
    <w:p w14:paraId="076965F8">
      <w:pPr>
        <w:pStyle w:val="12"/>
        <w:pageBreakBefore w:val="0"/>
        <w:kinsoku/>
        <w:overflowPunct/>
        <w:topLinePunct w:val="0"/>
        <w:autoSpaceDE/>
        <w:autoSpaceDN/>
        <w:bidi w:val="0"/>
        <w:adjustRightInd/>
        <w:snapToGrid/>
        <w:spacing w:line="360" w:lineRule="auto"/>
        <w:ind w:left="0" w:leftChars="0"/>
        <w:textAlignment w:val="auto"/>
        <w:rPr>
          <w:rFonts w:hint="eastAsia" w:ascii="仿宋" w:hAnsi="仿宋" w:eastAsia="仿宋" w:cs="仿宋"/>
          <w:color w:val="auto"/>
          <w:highlight w:val="none"/>
        </w:rPr>
      </w:pPr>
    </w:p>
    <w:p w14:paraId="61B63111">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jc w:val="center"/>
        <w:textAlignment w:val="auto"/>
        <w:rPr>
          <w:rFonts w:hint="eastAsia" w:ascii="仿宋" w:hAnsi="仿宋" w:eastAsia="仿宋" w:cs="仿宋"/>
          <w:b/>
          <w:bCs/>
          <w:color w:val="auto"/>
          <w:sz w:val="24"/>
          <w:szCs w:val="24"/>
          <w:highlight w:val="none"/>
        </w:rPr>
      </w:pPr>
      <w:bookmarkStart w:id="126" w:name="_Toc5957288"/>
      <w:bookmarkStart w:id="127" w:name="_Toc12085"/>
      <w:bookmarkStart w:id="128" w:name="_Toc86124051"/>
      <w:bookmarkStart w:id="129" w:name="_Toc337822222"/>
      <w:bookmarkStart w:id="130" w:name="_Toc29018"/>
      <w:r>
        <w:rPr>
          <w:rFonts w:hint="eastAsia" w:ascii="仿宋" w:hAnsi="仿宋" w:eastAsia="仿宋" w:cs="仿宋"/>
          <w:b/>
          <w:bCs/>
          <w:color w:val="auto"/>
          <w:sz w:val="24"/>
          <w:szCs w:val="24"/>
          <w:highlight w:val="none"/>
        </w:rPr>
        <w:t>三、响应文件的编制</w:t>
      </w:r>
      <w:bookmarkEnd w:id="126"/>
      <w:bookmarkEnd w:id="127"/>
      <w:bookmarkEnd w:id="128"/>
      <w:bookmarkEnd w:id="129"/>
      <w:bookmarkEnd w:id="130"/>
    </w:p>
    <w:p w14:paraId="44477D1F">
      <w:pPr>
        <w:pageBreakBefore w:val="0"/>
        <w:numPr>
          <w:ilvl w:val="0"/>
          <w:numId w:val="0"/>
        </w:numPr>
        <w:tabs>
          <w:tab w:val="left" w:pos="570"/>
          <w:tab w:val="left" w:pos="1588"/>
        </w:tabs>
        <w:kinsoku/>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131" w:name="_Toc31700"/>
      <w:bookmarkStart w:id="132" w:name="_Toc24804"/>
      <w:bookmarkStart w:id="133" w:name="_Toc25883"/>
      <w:bookmarkStart w:id="134" w:name="_Toc8915928"/>
      <w:bookmarkStart w:id="135" w:name="_Toc5957289"/>
      <w:bookmarkStart w:id="136" w:name="_Toc19853"/>
      <w:bookmarkStart w:id="137" w:name="_Toc337822223"/>
      <w:bookmarkStart w:id="138" w:name="_Toc19317"/>
      <w:bookmarkStart w:id="139" w:name="_Toc3908"/>
      <w:bookmarkStart w:id="140" w:name="_Toc21145"/>
      <w:bookmarkStart w:id="141" w:name="_Toc86124052"/>
      <w:r>
        <w:rPr>
          <w:rFonts w:hint="eastAsia" w:ascii="仿宋" w:hAnsi="仿宋" w:eastAsia="仿宋" w:cs="仿宋"/>
          <w:b/>
          <w:bCs/>
          <w:color w:val="auto"/>
          <w:sz w:val="24"/>
          <w:szCs w:val="24"/>
          <w:highlight w:val="none"/>
        </w:rPr>
        <w:t>12.响应文件编写注意事项</w:t>
      </w:r>
      <w:bookmarkEnd w:id="131"/>
      <w:bookmarkEnd w:id="132"/>
      <w:bookmarkEnd w:id="133"/>
      <w:bookmarkEnd w:id="134"/>
      <w:bookmarkEnd w:id="135"/>
      <w:bookmarkEnd w:id="136"/>
      <w:bookmarkEnd w:id="137"/>
      <w:bookmarkEnd w:id="138"/>
      <w:bookmarkEnd w:id="139"/>
      <w:bookmarkEnd w:id="140"/>
      <w:bookmarkEnd w:id="141"/>
    </w:p>
    <w:p w14:paraId="2918A2F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 </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应仔细阅读竞争性磋商文件，在完全了解采购的内容、技术性能要求（见第四章《采购需求》）和商务条件后，根据竞争性磋商文件要求编写响应文件。</w:t>
      </w:r>
    </w:p>
    <w:p w14:paraId="769CF2A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12.2 对磋商文件提出的实质性要求和条件</w:t>
      </w:r>
      <w:r>
        <w:rPr>
          <w:rFonts w:hint="eastAsia" w:ascii="仿宋" w:hAnsi="仿宋" w:eastAsia="仿宋" w:cs="仿宋"/>
          <w:color w:val="auto"/>
          <w:sz w:val="24"/>
          <w:highlight w:val="none"/>
          <w:lang w:val="en-US" w:eastAsia="zh-CN"/>
        </w:rPr>
        <w:t>做</w:t>
      </w:r>
      <w:r>
        <w:rPr>
          <w:rFonts w:hint="eastAsia" w:ascii="仿宋" w:hAnsi="仿宋" w:eastAsia="仿宋" w:cs="仿宋"/>
          <w:color w:val="auto"/>
          <w:sz w:val="24"/>
          <w:highlight w:val="none"/>
        </w:rPr>
        <w:t>出响应是指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的响应文件必须对竞争性磋商文件中规定的成交实质性要求和条件作出满足或者优于原要求和条件的承诺，并提供相应的证明材料，否则按无效响应处理。</w:t>
      </w:r>
    </w:p>
    <w:p w14:paraId="7C7E3792">
      <w:pPr>
        <w:pageBreakBefore w:val="0"/>
        <w:numPr>
          <w:ilvl w:val="0"/>
          <w:numId w:val="0"/>
        </w:numPr>
        <w:tabs>
          <w:tab w:val="left" w:pos="570"/>
          <w:tab w:val="left" w:pos="1588"/>
        </w:tabs>
        <w:kinsoku/>
        <w:overflowPunct/>
        <w:topLinePunct w:val="0"/>
        <w:autoSpaceDE/>
        <w:autoSpaceDN/>
        <w:bidi w:val="0"/>
        <w:adjustRightInd/>
        <w:snapToGrid/>
        <w:spacing w:before="0" w:line="360" w:lineRule="auto"/>
        <w:ind w:left="0" w:leftChars="0"/>
        <w:jc w:val="both"/>
        <w:textAlignment w:val="auto"/>
        <w:outlineLvl w:val="9"/>
        <w:rPr>
          <w:rFonts w:hint="eastAsia" w:ascii="仿宋" w:hAnsi="仿宋" w:eastAsia="仿宋" w:cs="仿宋"/>
          <w:b/>
          <w:bCs/>
          <w:color w:val="auto"/>
          <w:sz w:val="24"/>
          <w:szCs w:val="24"/>
          <w:highlight w:val="none"/>
        </w:rPr>
      </w:pPr>
      <w:bookmarkStart w:id="142" w:name="_Toc16453"/>
      <w:bookmarkStart w:id="143" w:name="_Toc26120"/>
      <w:bookmarkStart w:id="144" w:name="_Toc10086"/>
      <w:bookmarkStart w:id="145" w:name="_Toc6133"/>
      <w:bookmarkStart w:id="146" w:name="_Toc337822224"/>
      <w:bookmarkStart w:id="147" w:name="_Toc86124054"/>
      <w:bookmarkStart w:id="148" w:name="_Toc5957290"/>
      <w:bookmarkStart w:id="149" w:name="_Toc8915929"/>
      <w:bookmarkStart w:id="150" w:name="_Toc23027"/>
      <w:bookmarkStart w:id="151" w:name="_Toc2227"/>
      <w:bookmarkStart w:id="152" w:name="_Toc27449"/>
      <w:r>
        <w:rPr>
          <w:rFonts w:hint="eastAsia" w:ascii="仿宋" w:hAnsi="仿宋" w:eastAsia="仿宋" w:cs="仿宋"/>
          <w:b/>
          <w:bCs/>
          <w:color w:val="auto"/>
          <w:sz w:val="24"/>
          <w:szCs w:val="24"/>
          <w:highlight w:val="none"/>
        </w:rPr>
        <w:t>13.语言文字</w:t>
      </w:r>
      <w:bookmarkEnd w:id="142"/>
      <w:bookmarkEnd w:id="143"/>
      <w:bookmarkEnd w:id="144"/>
      <w:bookmarkEnd w:id="145"/>
    </w:p>
    <w:p w14:paraId="12FFF5E5">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 </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的响应文件以及</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与采购人、采购代理机构、磋商小组就有关磋商的所有来往函电统一使用中文（特别规定除外）。</w:t>
      </w:r>
    </w:p>
    <w:p w14:paraId="5938F76A">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14.计量单位</w:t>
      </w:r>
    </w:p>
    <w:p w14:paraId="3ABFC0B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14.1 响应文件中使用的计量单位除磋商文件中有特殊规定外，一律使用中国法定计量单位。</w:t>
      </w:r>
    </w:p>
    <w:p w14:paraId="1AC684C8">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15.响应文件的组成</w:t>
      </w:r>
    </w:p>
    <w:p w14:paraId="066FD17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15.1</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编写的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文件应由下列部分构成，并按第</w:t>
      </w:r>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rPr>
        <w:t>章《响应文件格式》要求填写。</w:t>
      </w:r>
    </w:p>
    <w:p w14:paraId="4545991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15.2</w:t>
      </w:r>
      <w:r>
        <w:rPr>
          <w:rFonts w:hint="eastAsia" w:ascii="仿宋" w:hAnsi="仿宋" w:eastAsia="仿宋" w:cs="仿宋"/>
          <w:color w:val="auto"/>
          <w:sz w:val="24"/>
          <w:highlight w:val="none"/>
        </w:rPr>
        <w:t>资格证明文件：</w:t>
      </w:r>
    </w:p>
    <w:p w14:paraId="595BD07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按本章</w:t>
      </w:r>
      <w:r>
        <w:rPr>
          <w:rFonts w:hint="eastAsia" w:ascii="仿宋" w:hAnsi="仿宋" w:eastAsia="仿宋" w:cs="仿宋"/>
          <w:color w:val="auto"/>
          <w:sz w:val="24"/>
          <w:highlight w:val="none"/>
          <w:lang w:val="en-US" w:eastAsia="zh-CN"/>
        </w:rPr>
        <w:t>4.1</w:t>
      </w:r>
      <w:r>
        <w:rPr>
          <w:rFonts w:hint="eastAsia" w:ascii="仿宋" w:hAnsi="仿宋" w:eastAsia="仿宋" w:cs="仿宋"/>
          <w:color w:val="auto"/>
          <w:sz w:val="24"/>
          <w:highlight w:val="none"/>
        </w:rPr>
        <w:t>条</w:t>
      </w:r>
      <w:r>
        <w:rPr>
          <w:rFonts w:hint="eastAsia" w:ascii="仿宋" w:hAnsi="仿宋" w:eastAsia="仿宋" w:cs="仿宋"/>
          <w:color w:val="auto"/>
          <w:sz w:val="24"/>
          <w:highlight w:val="none"/>
          <w:lang w:val="en-US" w:eastAsia="zh-CN"/>
        </w:rPr>
        <w:t>申请人</w:t>
      </w:r>
      <w:r>
        <w:rPr>
          <w:rFonts w:hint="eastAsia" w:ascii="仿宋" w:hAnsi="仿宋" w:eastAsia="仿宋" w:cs="仿宋"/>
          <w:color w:val="auto"/>
          <w:sz w:val="24"/>
          <w:highlight w:val="none"/>
        </w:rPr>
        <w:t>的资格要求及第</w:t>
      </w:r>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rPr>
        <w:t>章《响应文件格式》要求提供证明文件。</w:t>
      </w:r>
    </w:p>
    <w:p w14:paraId="4379197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15.3报价及商务部分</w:t>
      </w:r>
    </w:p>
    <w:p w14:paraId="14783D7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（1）报价一览表</w:t>
      </w:r>
    </w:p>
    <w:p w14:paraId="0144528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（2）磋商申请函</w:t>
      </w:r>
    </w:p>
    <w:p w14:paraId="27D3757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（3）磋商报价详细说明</w:t>
      </w:r>
    </w:p>
    <w:p w14:paraId="72B5468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（4）供应商基本信息表</w:t>
      </w:r>
    </w:p>
    <w:p w14:paraId="4D9C13D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（5）法定代表人（单位负责人）身份证明书</w:t>
      </w:r>
    </w:p>
    <w:p w14:paraId="6D0E806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（6）法定代表人（单位负责人）授权委托书</w:t>
      </w:r>
    </w:p>
    <w:p w14:paraId="4570014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（7）商务条款偏离表</w:t>
      </w:r>
    </w:p>
    <w:p w14:paraId="148676D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（8）近三年类似项目业绩列表</w:t>
      </w:r>
    </w:p>
    <w:p w14:paraId="32D7522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（9）依法享受价格优惠政策相关证明材料</w:t>
      </w:r>
    </w:p>
    <w:p w14:paraId="56E9907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（10）构成响应文件的其他资料</w:t>
      </w:r>
    </w:p>
    <w:p w14:paraId="06E0A14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15.4技术部分</w:t>
      </w:r>
    </w:p>
    <w:p w14:paraId="2C50D93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（1）技术规格偏离表</w:t>
      </w:r>
    </w:p>
    <w:p w14:paraId="4E8E59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（2）供应商所提供的技术参数指标对磋商文件要求参数指标响应的程度</w:t>
      </w:r>
    </w:p>
    <w:p w14:paraId="46825CE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（3）对本项目理解</w:t>
      </w:r>
    </w:p>
    <w:p w14:paraId="40E230F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（4）项目服务方案</w:t>
      </w:r>
    </w:p>
    <w:p w14:paraId="27B5425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（5）服务保障措施</w:t>
      </w:r>
    </w:p>
    <w:p w14:paraId="1930F9A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（6）服务人员配置</w:t>
      </w:r>
    </w:p>
    <w:p w14:paraId="14420D3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（7）应急预案</w:t>
      </w:r>
    </w:p>
    <w:p w14:paraId="54A94129">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16.响应文件的格式要求</w:t>
      </w:r>
    </w:p>
    <w:p w14:paraId="7DC0422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应按第五章《响应文件格式》提供的格式完整地填写，未按磋商文件规定格式填写的响应文件按无效响应处理。</w:t>
      </w:r>
    </w:p>
    <w:p w14:paraId="427F5F4B">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17.响应文件有效期</w:t>
      </w:r>
    </w:p>
    <w:p w14:paraId="3A762D4B">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17.1 在《磋商须知前附表》规定的有效期内，</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不得要求撤销或修改其响应文件。</w:t>
      </w:r>
    </w:p>
    <w:p w14:paraId="186A429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17.2 因特殊情况需要延长响应文件有效期的，采购代理机构以</w:t>
      </w:r>
      <w:r>
        <w:rPr>
          <w:rFonts w:hint="eastAsia" w:ascii="仿宋" w:hAnsi="仿宋" w:eastAsia="仿宋" w:cs="仿宋"/>
          <w:color w:val="auto"/>
          <w:sz w:val="24"/>
          <w:highlight w:val="none"/>
          <w:lang w:val="en-US" w:eastAsia="zh-CN"/>
        </w:rPr>
        <w:t>在线方式通知</w:t>
      </w:r>
      <w:r>
        <w:rPr>
          <w:rFonts w:hint="eastAsia" w:ascii="仿宋" w:hAnsi="仿宋" w:eastAsia="仿宋" w:cs="仿宋"/>
          <w:color w:val="auto"/>
          <w:sz w:val="24"/>
          <w:highlight w:val="none"/>
        </w:rPr>
        <w:t>所有</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延长有效期。</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同意延长的，应相应延长其响应文件中所有内容及磋商保证金的有效期，但不得要求或被允许修改或撤销其响应文件；</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拒绝延长的，其响应文件失效，但</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有权收回其磋商保证金。</w:t>
      </w:r>
    </w:p>
    <w:p w14:paraId="49A3C768">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18.磋商保证金缴纳及退还</w:t>
      </w:r>
    </w:p>
    <w:p w14:paraId="61D23357">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18.1 本项目免收磋商保证金。</w:t>
      </w:r>
    </w:p>
    <w:p w14:paraId="38992354">
      <w:pPr>
        <w:pStyle w:val="4"/>
        <w:numPr>
          <w:ilvl w:val="2"/>
          <w:numId w:val="0"/>
        </w:numPr>
        <w:spacing w:before="0" w:after="0" w:line="360" w:lineRule="auto"/>
        <w:jc w:val="both"/>
        <w:rPr>
          <w:rFonts w:hint="eastAsia" w:ascii="仿宋" w:hAnsi="仿宋" w:eastAsia="仿宋" w:cs="仿宋"/>
          <w:color w:val="auto"/>
          <w:szCs w:val="24"/>
          <w:highlight w:val="none"/>
        </w:rPr>
      </w:pPr>
      <w:bookmarkStart w:id="153" w:name="_Toc26198424"/>
      <w:bookmarkStart w:id="154" w:name="_Toc489197829"/>
      <w:bookmarkStart w:id="155" w:name="_Toc26266"/>
      <w:bookmarkStart w:id="156" w:name="_Toc489145725"/>
      <w:r>
        <w:rPr>
          <w:rFonts w:hint="eastAsia" w:ascii="仿宋" w:hAnsi="仿宋" w:eastAsia="仿宋" w:cs="仿宋"/>
          <w:color w:val="auto"/>
          <w:szCs w:val="24"/>
          <w:highlight w:val="none"/>
        </w:rPr>
        <w:t>19.</w:t>
      </w:r>
      <w:r>
        <w:rPr>
          <w:rFonts w:hint="eastAsia" w:ascii="仿宋" w:hAnsi="仿宋" w:eastAsia="仿宋" w:cs="仿宋"/>
          <w:color w:val="auto"/>
          <w:szCs w:val="24"/>
          <w:highlight w:val="none"/>
          <w:lang w:val="en-US" w:eastAsia="zh-CN"/>
        </w:rPr>
        <w:t>响应</w:t>
      </w:r>
      <w:r>
        <w:rPr>
          <w:rFonts w:hint="eastAsia" w:ascii="仿宋" w:hAnsi="仿宋" w:eastAsia="仿宋" w:cs="仿宋"/>
          <w:color w:val="auto"/>
          <w:szCs w:val="24"/>
          <w:highlight w:val="none"/>
        </w:rPr>
        <w:t>文件的编制</w:t>
      </w:r>
      <w:bookmarkEnd w:id="153"/>
      <w:bookmarkEnd w:id="154"/>
      <w:bookmarkEnd w:id="155"/>
      <w:bookmarkEnd w:id="156"/>
      <w:bookmarkStart w:id="157" w:name="_Toc296602442"/>
    </w:p>
    <w:bookmarkEnd w:id="157"/>
    <w:p w14:paraId="184CD6C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4"/>
        </w:rPr>
        <w:t>19.1 本</w:t>
      </w:r>
      <w:r>
        <w:rPr>
          <w:rFonts w:hint="eastAsia" w:ascii="仿宋" w:hAnsi="仿宋" w:eastAsia="仿宋" w:cs="仿宋"/>
          <w:color w:val="auto"/>
          <w:sz w:val="24"/>
          <w:highlight w:val="none"/>
          <w:lang w:val="en-US" w:eastAsia="zh-CN"/>
        </w:rPr>
        <w:t>本项目所述的响应文件指电子响应文件。</w:t>
      </w:r>
    </w:p>
    <w:p w14:paraId="4285AE1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19.2 响应文件应尽量避免涂改、行间插字或删除。如果出现上述情况，改动之处应加盖</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的公章或</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法定代表人或委托代理人签字确认。</w:t>
      </w:r>
    </w:p>
    <w:p w14:paraId="2F2CE37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19.3 响应文件应由法定代表人或委托代理人在竞争性磋商文件规定签字处逐一签字或盖章，要求盖章处应加盖公章，若以“投标专用章”或“合同专用章”代替的，须出具</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单位公章对“投标专用章”或“合同专用章”的授权函原件。</w:t>
      </w:r>
    </w:p>
    <w:p w14:paraId="4A49EBD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19.4 响应文件和来往函件均应采用中文书写，计量单位使用中国或国际标准单位。</w:t>
      </w:r>
    </w:p>
    <w:p w14:paraId="5223C42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19.5 最后报价采用人民币进行报价，若中文文字形式表示的数值与数字形式表示的数值不一致，以中文文字形式表示的数值为准。</w:t>
      </w:r>
    </w:p>
    <w:p w14:paraId="48E0960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19.6 响应文件的组成应包括下列内容（但不限于）：详见：《响应文件格式》部分。</w:t>
      </w:r>
    </w:p>
    <w:p w14:paraId="52D717A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19.7 响应文件中提供的资料（包括复印件）、关键内容必须清晰可辨，若出现字迹</w:t>
      </w:r>
      <w:r>
        <w:rPr>
          <w:rFonts w:hint="eastAsia" w:ascii="仿宋" w:hAnsi="仿宋" w:eastAsia="仿宋" w:cs="仿宋"/>
          <w:color w:val="auto"/>
          <w:sz w:val="24"/>
          <w:highlight w:val="none"/>
          <w:lang w:val="en-US" w:eastAsia="zh-CN"/>
        </w:rPr>
        <w:t>模糊</w:t>
      </w:r>
      <w:r>
        <w:rPr>
          <w:rFonts w:hint="eastAsia" w:ascii="仿宋" w:hAnsi="仿宋" w:eastAsia="仿宋" w:cs="仿宋"/>
          <w:color w:val="auto"/>
          <w:sz w:val="24"/>
          <w:highlight w:val="none"/>
        </w:rPr>
        <w:t>、表达不清、未按要求填写而导致非唯一理解，视为未实质性响应竞争性磋商文件，</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响应文件将按无效响应处理</w:t>
      </w:r>
      <w:r>
        <w:rPr>
          <w:rFonts w:hint="eastAsia" w:ascii="仿宋" w:hAnsi="仿宋" w:eastAsia="仿宋" w:cs="仿宋"/>
          <w:color w:val="auto"/>
          <w:sz w:val="24"/>
          <w:szCs w:val="24"/>
          <w:highlight w:val="none"/>
        </w:rPr>
        <w:t>。</w:t>
      </w:r>
    </w:p>
    <w:p w14:paraId="757ECC32">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20</w:t>
      </w:r>
      <w:r>
        <w:rPr>
          <w:rFonts w:hint="eastAsia" w:ascii="仿宋" w:hAnsi="仿宋" w:eastAsia="仿宋" w:cs="仿宋"/>
          <w:b/>
          <w:bCs/>
          <w:color w:val="auto"/>
          <w:sz w:val="24"/>
          <w:highlight w:val="none"/>
        </w:rPr>
        <w:t>.报价和报价货币</w:t>
      </w:r>
    </w:p>
    <w:p w14:paraId="54B3D636">
      <w:pPr>
        <w:spacing w:line="360" w:lineRule="auto"/>
        <w:ind w:firstLine="540" w:firstLineChars="2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必须对所投标段内所有内容作出完整唯一的</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报价，不得缺项、漏项，否则</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文件将按无效处理。</w:t>
      </w:r>
    </w:p>
    <w:p w14:paraId="6192773C">
      <w:pPr>
        <w:spacing w:line="360" w:lineRule="auto"/>
        <w:ind w:firstLine="540" w:firstLineChars="2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 </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依据</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文件的要求及有关资料，执行国家或行业现行技术、经济标准、定额及规范，根据现行市场价格自行测算出满足</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要求的货物、工程或者服务费用及必要的保险费用和各项税金等所有费用的总和。</w:t>
      </w:r>
    </w:p>
    <w:p w14:paraId="523088D7">
      <w:pPr>
        <w:spacing w:line="360" w:lineRule="auto"/>
        <w:ind w:firstLine="540" w:firstLineChars="2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报价应符合市场行情并能保证</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完成履行合同所需的一切工作。合同一旦签订，此价格在合同实施期间将不因市场价格等的变化而调整。项目特别要求提供备品备件的，此部分价格应包含在上述价格中。</w:t>
      </w:r>
    </w:p>
    <w:p w14:paraId="6ACD79BD">
      <w:pPr>
        <w:spacing w:line="360" w:lineRule="auto"/>
        <w:ind w:firstLine="540" w:firstLineChars="2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20.4无论分项价格是否填报完全，</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报价将被视为已经包含了所有分项价格以及与项目相关的所有货物、工程或者服务费用。由于</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分项报价填报不完整、不清楚或存在</w:t>
      </w:r>
      <w:r>
        <w:rPr>
          <w:rFonts w:hint="eastAsia" w:ascii="仿宋" w:hAnsi="仿宋" w:eastAsia="仿宋" w:cs="仿宋"/>
          <w:color w:val="auto"/>
          <w:sz w:val="24"/>
          <w:szCs w:val="24"/>
          <w:highlight w:val="none"/>
          <w:lang w:eastAsia="zh-CN"/>
        </w:rPr>
        <w:t>其他</w:t>
      </w:r>
      <w:r>
        <w:rPr>
          <w:rFonts w:hint="eastAsia" w:ascii="仿宋" w:hAnsi="仿宋" w:eastAsia="仿宋" w:cs="仿宋"/>
          <w:color w:val="auto"/>
          <w:sz w:val="24"/>
          <w:szCs w:val="24"/>
          <w:highlight w:val="none"/>
        </w:rPr>
        <w:t>任何失误所导致的任何不利后果均由</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自行承担。</w:t>
      </w:r>
    </w:p>
    <w:p w14:paraId="66BE4141">
      <w:pPr>
        <w:spacing w:line="360" w:lineRule="auto"/>
        <w:ind w:firstLine="540" w:firstLineChars="2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20.5 除</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文件中指定的标准附件和专用工具外，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应提供货物正常运行和常规保养所需的全套标准附件、专用工具和消耗品。</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文件中需列出这些附件和工具的数量和单价的清单，这些附件和工具的报价的总值需计入投标报价中。</w:t>
      </w:r>
    </w:p>
    <w:p w14:paraId="44EE2C0E">
      <w:pPr>
        <w:spacing w:line="360" w:lineRule="auto"/>
        <w:ind w:firstLine="540" w:firstLineChars="2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20.6 备品备件要求：见《须知前附表》。</w:t>
      </w:r>
    </w:p>
    <w:p w14:paraId="0A4ACA44">
      <w:pPr>
        <w:spacing w:line="360" w:lineRule="auto"/>
        <w:ind w:firstLine="540" w:firstLineChars="2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20.7</w:t>
      </w:r>
      <w:r>
        <w:rPr>
          <w:rFonts w:hint="eastAsia" w:ascii="仿宋" w:hAnsi="仿宋" w:eastAsia="仿宋" w:cs="仿宋"/>
          <w:color w:val="auto"/>
          <w:sz w:val="24"/>
          <w:szCs w:val="24"/>
          <w:highlight w:val="none"/>
          <w:lang w:val="en-US" w:eastAsia="zh-CN"/>
        </w:rPr>
        <w:t>低于成本价投标处理：供应商</w:t>
      </w:r>
      <w:r>
        <w:rPr>
          <w:rFonts w:hint="eastAsia" w:ascii="仿宋" w:hAnsi="仿宋" w:eastAsia="仿宋" w:cs="仿宋"/>
          <w:color w:val="auto"/>
          <w:sz w:val="24"/>
          <w:szCs w:val="24"/>
          <w:highlight w:val="none"/>
        </w:rPr>
        <w:t>不得哄抬报价，也不应低于成本价（或进价）报价。</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认为</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报价或者某些分项报价明显不合理或者低于成本，有可能影响商品质量和不能诚信履约的，将要求其在规定的期限内提供书面文件予以解释说明，并提交相关证明材料；</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不能证明其报价合理性的，</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将认定</w:t>
      </w:r>
      <w:r>
        <w:rPr>
          <w:rFonts w:hint="eastAsia" w:ascii="仿宋" w:hAnsi="仿宋" w:eastAsia="仿宋" w:cs="仿宋"/>
          <w:color w:val="auto"/>
          <w:sz w:val="24"/>
          <w:szCs w:val="24"/>
          <w:highlight w:val="none"/>
          <w:lang w:val="en-US" w:eastAsia="zh-CN"/>
        </w:rPr>
        <w:t>供应商响应</w:t>
      </w:r>
      <w:r>
        <w:rPr>
          <w:rFonts w:hint="eastAsia" w:ascii="仿宋" w:hAnsi="仿宋" w:eastAsia="仿宋" w:cs="仿宋"/>
          <w:color w:val="auto"/>
          <w:sz w:val="24"/>
          <w:szCs w:val="24"/>
          <w:highlight w:val="none"/>
        </w:rPr>
        <w:t>文件无效。</w:t>
      </w:r>
    </w:p>
    <w:p w14:paraId="3D4743C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20.8报价货币为人民币</w:t>
      </w:r>
      <w:r>
        <w:rPr>
          <w:rFonts w:hint="eastAsia" w:ascii="仿宋" w:hAnsi="仿宋" w:eastAsia="仿宋" w:cs="仿宋"/>
          <w:color w:val="auto"/>
          <w:sz w:val="24"/>
          <w:highlight w:val="none"/>
        </w:rPr>
        <w:t>。</w:t>
      </w:r>
    </w:p>
    <w:p w14:paraId="165CF8C3">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jc w:val="center"/>
        <w:textAlignment w:val="auto"/>
        <w:rPr>
          <w:rFonts w:hint="eastAsia" w:ascii="仿宋" w:hAnsi="仿宋" w:eastAsia="仿宋" w:cs="仿宋"/>
          <w:b/>
          <w:bCs/>
          <w:color w:val="auto"/>
          <w:sz w:val="24"/>
          <w:szCs w:val="24"/>
          <w:highlight w:val="none"/>
        </w:rPr>
      </w:pPr>
      <w:bookmarkStart w:id="158" w:name="_Toc11516"/>
      <w:bookmarkStart w:id="159" w:name="_Toc14834"/>
      <w:r>
        <w:rPr>
          <w:rFonts w:hint="eastAsia" w:ascii="仿宋" w:hAnsi="仿宋" w:eastAsia="仿宋" w:cs="仿宋"/>
          <w:b/>
          <w:bCs/>
          <w:color w:val="auto"/>
          <w:sz w:val="24"/>
          <w:szCs w:val="24"/>
          <w:highlight w:val="none"/>
        </w:rPr>
        <w:t>四、提交响应文件</w:t>
      </w:r>
      <w:bookmarkEnd w:id="158"/>
      <w:bookmarkEnd w:id="159"/>
    </w:p>
    <w:p w14:paraId="126B5239">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21.响应文件的密封和标记</w:t>
      </w:r>
    </w:p>
    <w:p w14:paraId="055BD27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 </w:t>
      </w:r>
      <w:r>
        <w:rPr>
          <w:rFonts w:hint="eastAsia" w:ascii="仿宋" w:hAnsi="仿宋" w:eastAsia="仿宋" w:cs="仿宋"/>
          <w:color w:val="auto"/>
          <w:sz w:val="24"/>
          <w:highlight w:val="none"/>
          <w:lang w:val="en-US" w:eastAsia="zh-CN"/>
        </w:rPr>
        <w:t>供应商应通过“政采云”平台（https://www.zcygov.cn/）在线递交，供应商须在磋商截止时间前完成所有响应文件的签章、加密及上传，磋商截止时间前未完成响应文件上传的，视为撤回响应文件。</w:t>
      </w:r>
    </w:p>
    <w:p w14:paraId="1C9350A5">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22.响应文件的提交</w:t>
      </w:r>
    </w:p>
    <w:p w14:paraId="2310A9F5">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22.1 响应文件提交截止时间、提交响应文件的地点：详见《磋商须知前附表》</w:t>
      </w:r>
    </w:p>
    <w:p w14:paraId="37BA8FC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22.2 </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应当在磋商文件要求提交响应文件的截止时间前</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详见《</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须知前附表》</w:t>
      </w:r>
    </w:p>
    <w:p w14:paraId="4001BD7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 xml:space="preserve"> 除《磋商须知前附表》另有规定外，</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所提交的响应文件不予退还。</w:t>
      </w:r>
    </w:p>
    <w:p w14:paraId="2DD1C2B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23.响应文件的补充、修改或者撤回</w:t>
      </w:r>
    </w:p>
    <w:p w14:paraId="36C2A41B">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 </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14:paraId="1A7918E6">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 </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在提交截止时间前撤回已提交的响应文件的，采购人或者采购代理机构将自收到</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书面撤回通知之日起 5 个工作日内，退还已收取的磋商保证金，但因</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自身原因导致无法及时退还的除外。</w:t>
      </w:r>
    </w:p>
    <w:p w14:paraId="59413C0B">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jc w:val="center"/>
        <w:textAlignment w:val="auto"/>
        <w:rPr>
          <w:rFonts w:hint="eastAsia" w:ascii="仿宋" w:hAnsi="仿宋" w:eastAsia="仿宋" w:cs="仿宋"/>
          <w:b/>
          <w:bCs/>
          <w:color w:val="auto"/>
          <w:sz w:val="24"/>
          <w:szCs w:val="24"/>
          <w:highlight w:val="none"/>
        </w:rPr>
      </w:pPr>
      <w:bookmarkStart w:id="160" w:name="_Toc3444"/>
      <w:bookmarkStart w:id="161" w:name="_Toc24160"/>
      <w:r>
        <w:rPr>
          <w:rFonts w:hint="eastAsia" w:ascii="仿宋" w:hAnsi="仿宋" w:eastAsia="仿宋" w:cs="仿宋"/>
          <w:b/>
          <w:bCs/>
          <w:color w:val="auto"/>
          <w:sz w:val="24"/>
          <w:szCs w:val="24"/>
          <w:highlight w:val="none"/>
        </w:rPr>
        <w:t>五、磋商</w:t>
      </w:r>
      <w:bookmarkEnd w:id="160"/>
      <w:bookmarkEnd w:id="161"/>
    </w:p>
    <w:p w14:paraId="53F744EF">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24.磋商小组</w:t>
      </w:r>
    </w:p>
    <w:p w14:paraId="7510A3B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24.1 磋商小组将在规定的时间和地点进行磋商，</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的法定代表人或委托代理人应按时参加。</w:t>
      </w:r>
    </w:p>
    <w:p w14:paraId="6F5C7A6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24.2 磋商小组由采购人依法组建，磋商由磋商小组负责。磋商小组由 3 人或以上单数组成，磋商小组应当推选组长。</w:t>
      </w:r>
    </w:p>
    <w:p w14:paraId="129D820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24.3 磋商小组成员人数及名单在磋商结束之前保密。</w:t>
      </w:r>
    </w:p>
    <w:p w14:paraId="35B5B5B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24.4 采购人可以委派纪检监察等相关人员进入磋商现场，对磋商工作实施监督。</w:t>
      </w:r>
    </w:p>
    <w:p w14:paraId="7E0A816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24.5 评审方法：综合评分法，是指响应文件满足磋商文件全部实质性要求且按评审因素的量化指标评审得分最高的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为成交候选</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的评审方法。未实质性响应竞争性磋商文件的响应文件按无效响应处理，磋商小组应将告知提交响应文件的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不得再继续参加磋商。</w:t>
      </w:r>
    </w:p>
    <w:p w14:paraId="1D35133C">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24.6磋商小组根据竞争性磋商文件规定的磋商程序和方法对各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的响应文件进行综合评分，按照评审得分由高到低顺序推荐3名成交候选</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highlight w:val="none"/>
        </w:rPr>
        <w:t>，评审得分相同的，按照最后报价（符合中小企业划分标准或残疾人福利性单位产品的用扣除后的价格参与评审）由低到高的顺序推荐。评审得分且最后报价相同的，按照技术指标优劣顺序推荐。</w:t>
      </w:r>
    </w:p>
    <w:p w14:paraId="6DA7314B">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24.7 磋商小组在对响应文件的有效性、完整性和响应程度进行审查时，可以要求</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对响应文件中含义不明确、同类问题表述不一致或者有明显文字和计算错误的内容等作出必要的澄清、说明或者更正。</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的澄清、说明或者更正不得超出响应文件的范围或者改变响应文件的实质性内容。</w:t>
      </w:r>
    </w:p>
    <w:p w14:paraId="067B391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24.8 磋商小组要求</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澄清、说明或者更正响应文件应当以书面形式作出。</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的澄清、说明或者更正应当由法定代表人签字或者加盖公章。</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为自然人的，应当由本人签字并附身份证明。由授权代表签字的，应当附法定代表人授权书。</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为自然人的，应当由本人签字并附身份证明。</w:t>
      </w:r>
    </w:p>
    <w:p w14:paraId="09BCEB1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24.9 在磋商中，磋商的任何一方不得透露与磋商有关的其他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的技术资料、价格和其他信息。磋商开始后，直到授予</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合同止，凡是属于审查、澄清、磋商和比较的有关资料以及成交建议等均不向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或其他人员透露。</w:t>
      </w:r>
    </w:p>
    <w:p w14:paraId="5CE5B6A6">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24.10 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提供虚假材料、串通等违法违规行为的，要及时向采购人或采购代理机构报告。</w:t>
      </w:r>
    </w:p>
    <w:p w14:paraId="4DBD77F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24.11 出现下列情形之一的，将终止竞争性磋商采购活动，并发布项目终止公告并说明原因，重新开展采购活动：</w:t>
      </w:r>
    </w:p>
    <w:p w14:paraId="184DC8FC">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（1）因情况变化，不再符合规定的竞争性磋商采购方式适用情形的；</w:t>
      </w:r>
    </w:p>
    <w:p w14:paraId="5C35068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（2）出现影响采购公正的违法、违规行为的；</w:t>
      </w:r>
    </w:p>
    <w:p w14:paraId="731A80F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（3）参照《财政部关于政府采购竞争性磋商采购方式管理暂行办法有关问题的补充通知》的规定，采用竞争性磋商采购方式采购的政府购买服务项目（含政府和社会资本合作项目），在采购过程中符合要求的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（社会资本）只有2家的，竞争性磋商采购活动可以继续进行。采购过程中符合要求的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highlight w:val="none"/>
        </w:rPr>
        <w:t>（社会资本）只有1家的，采购人（项目实施机构）或者采购代理机构应当终止竞争性磋商采购活动，发布项目终止公告并说明原因，重新开展采购活动。</w:t>
      </w:r>
    </w:p>
    <w:p w14:paraId="44F9ADDB">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jc w:val="center"/>
        <w:textAlignment w:val="auto"/>
        <w:rPr>
          <w:rFonts w:hint="eastAsia" w:ascii="仿宋" w:hAnsi="仿宋" w:eastAsia="仿宋" w:cs="仿宋"/>
          <w:b/>
          <w:bCs/>
          <w:color w:val="auto"/>
          <w:sz w:val="24"/>
          <w:szCs w:val="24"/>
          <w:highlight w:val="none"/>
        </w:rPr>
      </w:pPr>
      <w:bookmarkStart w:id="162" w:name="_Toc18131"/>
      <w:bookmarkStart w:id="163" w:name="_Toc17383"/>
      <w:r>
        <w:rPr>
          <w:rFonts w:hint="eastAsia" w:ascii="仿宋" w:hAnsi="仿宋" w:eastAsia="仿宋" w:cs="仿宋"/>
          <w:b/>
          <w:bCs/>
          <w:color w:val="auto"/>
          <w:sz w:val="24"/>
          <w:szCs w:val="24"/>
          <w:highlight w:val="none"/>
        </w:rPr>
        <w:t>六、成交结果</w:t>
      </w:r>
      <w:bookmarkEnd w:id="162"/>
      <w:bookmarkEnd w:id="163"/>
    </w:p>
    <w:p w14:paraId="6AE37A8B">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25.成交</w:t>
      </w:r>
      <w:r>
        <w:rPr>
          <w:rFonts w:hint="eastAsia" w:ascii="仿宋" w:hAnsi="仿宋" w:eastAsia="仿宋" w:cs="仿宋"/>
          <w:b/>
          <w:bCs/>
          <w:color w:val="auto"/>
          <w:sz w:val="24"/>
          <w:highlight w:val="none"/>
          <w:lang w:val="en-US" w:eastAsia="zh-CN"/>
        </w:rPr>
        <w:t>单位</w:t>
      </w:r>
      <w:r>
        <w:rPr>
          <w:rFonts w:hint="eastAsia" w:ascii="仿宋" w:hAnsi="仿宋" w:eastAsia="仿宋" w:cs="仿宋"/>
          <w:b/>
          <w:bCs/>
          <w:color w:val="auto"/>
          <w:sz w:val="24"/>
          <w:highlight w:val="none"/>
        </w:rPr>
        <w:t>的确定</w:t>
      </w:r>
    </w:p>
    <w:p w14:paraId="1D15F9B6">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25.1 采购代理机构在评审结束后2个工作日内将评审报告送采购人确认。</w:t>
      </w:r>
    </w:p>
    <w:p w14:paraId="198DC42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25.2 采购人应当在收到评审报告后5个工作日内，从评审报告提出的成交候选</w:t>
      </w:r>
      <w:r>
        <w:rPr>
          <w:rFonts w:hint="eastAsia" w:ascii="仿宋" w:hAnsi="仿宋" w:eastAsia="仿宋" w:cs="仿宋"/>
          <w:color w:val="auto"/>
          <w:sz w:val="24"/>
          <w:highlight w:val="none"/>
          <w:lang w:val="en-US" w:eastAsia="zh-CN"/>
        </w:rPr>
        <w:t>单位</w:t>
      </w:r>
      <w:r>
        <w:rPr>
          <w:rFonts w:hint="eastAsia" w:ascii="仿宋" w:hAnsi="仿宋" w:eastAsia="仿宋" w:cs="仿宋"/>
          <w:color w:val="auto"/>
          <w:sz w:val="24"/>
          <w:highlight w:val="none"/>
        </w:rPr>
        <w:t>中，按照排序由高到低的原则确定成交</w:t>
      </w:r>
      <w:r>
        <w:rPr>
          <w:rFonts w:hint="eastAsia" w:ascii="仿宋" w:hAnsi="仿宋" w:eastAsia="仿宋" w:cs="仿宋"/>
          <w:color w:val="auto"/>
          <w:sz w:val="24"/>
          <w:highlight w:val="none"/>
          <w:lang w:val="en-US" w:eastAsia="zh-CN"/>
        </w:rPr>
        <w:t>单位</w:t>
      </w:r>
      <w:r>
        <w:rPr>
          <w:rFonts w:hint="eastAsia" w:ascii="仿宋" w:hAnsi="仿宋" w:eastAsia="仿宋" w:cs="仿宋"/>
          <w:color w:val="auto"/>
          <w:sz w:val="24"/>
          <w:highlight w:val="none"/>
        </w:rPr>
        <w:t>。</w:t>
      </w:r>
    </w:p>
    <w:p w14:paraId="1A1DD6C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25.3 采购代理机构无义务向未成交</w:t>
      </w:r>
      <w:r>
        <w:rPr>
          <w:rFonts w:hint="eastAsia" w:ascii="仿宋" w:hAnsi="仿宋" w:eastAsia="仿宋" w:cs="仿宋"/>
          <w:color w:val="auto"/>
          <w:sz w:val="24"/>
          <w:highlight w:val="none"/>
          <w:lang w:val="en-US" w:eastAsia="zh-CN"/>
        </w:rPr>
        <w:t>单位</w:t>
      </w:r>
      <w:r>
        <w:rPr>
          <w:rFonts w:hint="eastAsia" w:ascii="仿宋" w:hAnsi="仿宋" w:eastAsia="仿宋" w:cs="仿宋"/>
          <w:color w:val="auto"/>
          <w:sz w:val="24"/>
          <w:highlight w:val="none"/>
        </w:rPr>
        <w:t>解释未成交原因和退回响应文件。</w:t>
      </w:r>
    </w:p>
    <w:p w14:paraId="1163A98A">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26.成交通知书</w:t>
      </w:r>
    </w:p>
    <w:p w14:paraId="0287601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26.1 成交</w:t>
      </w:r>
      <w:r>
        <w:rPr>
          <w:rFonts w:hint="eastAsia" w:ascii="仿宋" w:hAnsi="仿宋" w:eastAsia="仿宋" w:cs="仿宋"/>
          <w:color w:val="auto"/>
          <w:sz w:val="24"/>
          <w:highlight w:val="none"/>
          <w:lang w:val="en-US" w:eastAsia="zh-CN"/>
        </w:rPr>
        <w:t>单位</w:t>
      </w:r>
      <w:r>
        <w:rPr>
          <w:rFonts w:hint="eastAsia" w:ascii="仿宋" w:hAnsi="仿宋" w:eastAsia="仿宋" w:cs="仿宋"/>
          <w:color w:val="auto"/>
          <w:sz w:val="24"/>
          <w:highlight w:val="none"/>
        </w:rPr>
        <w:t>确定之日起2个工作日内，采购代理机构向成交</w:t>
      </w:r>
      <w:r>
        <w:rPr>
          <w:rFonts w:hint="eastAsia" w:ascii="仿宋" w:hAnsi="仿宋" w:eastAsia="仿宋" w:cs="仿宋"/>
          <w:color w:val="auto"/>
          <w:sz w:val="24"/>
          <w:highlight w:val="none"/>
          <w:lang w:val="en-US" w:eastAsia="zh-CN"/>
        </w:rPr>
        <w:t>单位</w:t>
      </w:r>
      <w:r>
        <w:rPr>
          <w:rFonts w:hint="eastAsia" w:ascii="仿宋" w:hAnsi="仿宋" w:eastAsia="仿宋" w:cs="仿宋"/>
          <w:color w:val="auto"/>
          <w:sz w:val="24"/>
          <w:highlight w:val="none"/>
        </w:rPr>
        <w:t>发出成交通知书，并在指定的采购信息发布媒体上公告成交结果。成交公告期限为1个工作日。</w:t>
      </w:r>
    </w:p>
    <w:p w14:paraId="4102DC5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26.2 成交通知书是合同的一个组成部分。</w:t>
      </w:r>
    </w:p>
    <w:p w14:paraId="3DA9781B">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27.签订合同</w:t>
      </w:r>
    </w:p>
    <w:p w14:paraId="256706C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27.1 采购人与</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应当在成交通知书发出之日起 30 日内，按照磋商文件确定的合同文本以及服务内容、服务要求等事项签订采购合同。</w:t>
      </w:r>
    </w:p>
    <w:p w14:paraId="5324BFB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27.2 采购人不得向</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提出超出磋商文件以外的任何要求作为签订合同的条件，不得与</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订立背离磋商文件确定的合同文本以及采购标的、和服务要求等实质性内容的协议。</w:t>
      </w:r>
    </w:p>
    <w:p w14:paraId="1B5BDD5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27.3 除采购人与</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在合同中另行商定将</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项目的非主体、非关键性工作分包的，</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后将</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项目分包的，采购人取消其</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资格，其磋商保证金不予退还；给采购人造成的损失超过磋商保证金数额的，</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还应当对超过部分予以赔偿。</w:t>
      </w:r>
    </w:p>
    <w:p w14:paraId="621C0E1B">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27.4 政府采购合同履行中，采购人需追加与合同标的相同的货物、工程或者服务的，在不改变合同其他条款的前提下，可以与</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协商签订补充合同，但所有补充合同的采购金额不得超过原合同采购金额的百分之十。</w:t>
      </w:r>
    </w:p>
    <w:p w14:paraId="4658B49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27.5 除不可抗力等因素外，成交通知书发出后，采购人改变成交结果，或者</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拒绝签订政府采购合同的，应当承担相应的法律责任。</w:t>
      </w:r>
    </w:p>
    <w:p w14:paraId="277C272C">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27.6 </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拒绝签订政府采购合同的，采购人可以按照《政府采购竞争性磋商采购方式管理暂行办法》规定的原则确定其他</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作为</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并签订政府采购合同，也可以重新开展采购活动。拒绝签订政府采购合同的</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不得参加对该项目重新开展的采购活动。</w:t>
      </w:r>
    </w:p>
    <w:p w14:paraId="6563C5F6">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28.履约保证金</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质量保修金</w:t>
      </w:r>
    </w:p>
    <w:p w14:paraId="43BF34C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28.1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履约保证金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在签订采购合同前，</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应向采购人提交履约保证金，履约保证金递交的金额及形式详见《磋商须知前附表》。</w:t>
      </w:r>
    </w:p>
    <w:p w14:paraId="694A5F60">
      <w:pPr>
        <w:pStyle w:val="16"/>
        <w:spacing w:line="360" w:lineRule="auto"/>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28.2 签订合同后，除因不可抗力或磋商文件认可的情形以外，成交供应商不与采购人签订合同的，视为自动放弃，采购人将没收其全部履约保证金，履约保证金不足以赔偿损失的，按实际损失赔偿。</w:t>
      </w:r>
    </w:p>
    <w:p w14:paraId="73D9A6E1">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29.采购代理服务费</w:t>
      </w:r>
    </w:p>
    <w:p w14:paraId="028DBEF7">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 </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在领取成交通知书时向采购代理机构支付采购代理服务费。</w:t>
      </w:r>
    </w:p>
    <w:p w14:paraId="5FB77461">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30.磋商文件编制依据</w:t>
      </w:r>
    </w:p>
    <w:p w14:paraId="3BBDB0CC">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30.1 本磋商文件根据《中华人民共和国政府采购法》、《中华人民共和国政府采购法实施条例》、《政府采购竞争性磋商采购方式管理暂行办法》等有关法律、法规和规章进行编制，解释权属于采购人、采购代理机构。</w:t>
      </w:r>
    </w:p>
    <w:p w14:paraId="0F75BF25">
      <w:pPr>
        <w:pageBreakBefore w:val="0"/>
        <w:kinsoku/>
        <w:overflowPunct/>
        <w:topLinePunct w:val="0"/>
        <w:autoSpaceDE/>
        <w:autoSpaceDN/>
        <w:bidi w:val="0"/>
        <w:adjustRightInd/>
        <w:snapToGrid/>
        <w:spacing w:line="360" w:lineRule="auto"/>
        <w:ind w:left="0" w:leftChars="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31.需要补充的其他内容</w:t>
      </w:r>
    </w:p>
    <w:p w14:paraId="76F8A54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31.1 关于中小企业：</w:t>
      </w:r>
    </w:p>
    <w:p w14:paraId="56AC061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31.1.1 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73C4D21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符合中小企业划分标准的个体工商户，在政府采购活动中视同中小企业。</w:t>
      </w:r>
    </w:p>
    <w:p w14:paraId="52DC9473">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31.1.2 在政府采购活动中，</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提供的货物、工程或者服务符合下列情形的，享受《关于印发政府采购促进中小企业发展管理办法的通知》（财库〔2020〕46号）规定的中小企业扶持政策：</w:t>
      </w:r>
    </w:p>
    <w:p w14:paraId="697B207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（一）在货物采购项目中，货物由中小企业制造，即货物由中小企业生产且使用该中小企业商号或者注册商标；</w:t>
      </w:r>
    </w:p>
    <w:p w14:paraId="1EAB3A7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（二）在工程采购项目中，工程由中小企业承建，即工程施工单位为中小企业；</w:t>
      </w:r>
    </w:p>
    <w:p w14:paraId="4492BE3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（三）在服务采购项目中，服务由中小企业承接，即提供服务的人员为中小企业依照《中华人民共和国劳动合同法》订立劳动合同的从业人员。</w:t>
      </w:r>
    </w:p>
    <w:p w14:paraId="1AD7F4B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在货物采购项目中，</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提供的货物既有中小企业制造货物，也有大型企业制造货物的，不享受本办法规定的中小企业扶持政策。</w:t>
      </w:r>
    </w:p>
    <w:p w14:paraId="096D900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以联合体形式参加政府采购活动，联合体各方均为中小企业的，联合体视同中小企业。其中，联合体各方均为小微企业的</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联合体视同小微企业</w:t>
      </w:r>
      <w:r>
        <w:rPr>
          <w:rFonts w:hint="eastAsia" w:ascii="仿宋" w:hAnsi="仿宋" w:eastAsia="仿宋" w:cs="仿宋"/>
          <w:color w:val="auto"/>
          <w:sz w:val="24"/>
          <w:highlight w:val="none"/>
          <w:lang w:eastAsia="zh-CN"/>
        </w:rPr>
        <w:t>。</w:t>
      </w:r>
    </w:p>
    <w:p w14:paraId="0359F41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31.1.3 中小企业参加政府采购活动，应当出具《关于印发政府采购促进中小企业发展管理办法的通知》（财库〔2020〕46号）规定的《中小企业声明函》，否则不得享受相关中小企业扶持政策。任何单位和个人不得要求</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提供《中小企业声明函》之外的中小企业身份证明文件。</w:t>
      </w:r>
    </w:p>
    <w:p w14:paraId="6DF9DCC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31.1.4 依据《关于印发政府采购促进中小企业发展管理办法的通知》（财库〔2020〕46号）规定享受扶持政策获得政府采购合同的，小微企业不得将合同分包给大中型企业，中型企业不得将合同分包给大型企业。</w:t>
      </w:r>
    </w:p>
    <w:p w14:paraId="59834CE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31.1.5 本项目针对中小企业报价给予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%的扣除，用扣除后的价格参与评审。</w:t>
      </w:r>
    </w:p>
    <w:p w14:paraId="2A498915">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31.1.6</w:t>
      </w:r>
      <w:r>
        <w:rPr>
          <w:rFonts w:hint="eastAsia" w:ascii="仿宋" w:hAnsi="仿宋" w:eastAsia="仿宋" w:cs="仿宋"/>
          <w:color w:val="auto"/>
          <w:sz w:val="24"/>
          <w:highlight w:val="none"/>
        </w:rPr>
        <w:t>中标、</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享受《关于印发政府采购促进中小企业发展管理办法的通知》（财库〔2020〕46号）规定的中小企业扶持政策的，采购人、采购代理机构将随中标、成交结果公开中标、</w:t>
      </w:r>
      <w:r>
        <w:rPr>
          <w:rFonts w:hint="eastAsia" w:ascii="仿宋" w:hAnsi="仿宋" w:eastAsia="仿宋" w:cs="仿宋"/>
          <w:color w:val="auto"/>
          <w:sz w:val="24"/>
          <w:highlight w:val="none"/>
          <w:lang w:eastAsia="zh-CN"/>
        </w:rPr>
        <w:t>成交单位</w:t>
      </w:r>
      <w:r>
        <w:rPr>
          <w:rFonts w:hint="eastAsia" w:ascii="仿宋" w:hAnsi="仿宋" w:eastAsia="仿宋" w:cs="仿宋"/>
          <w:color w:val="auto"/>
          <w:sz w:val="24"/>
          <w:highlight w:val="none"/>
        </w:rPr>
        <w:t>的《中小企业声明函》</w:t>
      </w:r>
      <w:r>
        <w:rPr>
          <w:rFonts w:hint="eastAsia" w:ascii="仿宋" w:hAnsi="仿宋" w:eastAsia="仿宋" w:cs="仿宋"/>
          <w:color w:val="auto"/>
          <w:sz w:val="24"/>
          <w:highlight w:val="none"/>
          <w:lang w:eastAsia="zh-CN"/>
        </w:rPr>
        <w:t>。</w:t>
      </w:r>
    </w:p>
    <w:p w14:paraId="4C9BBFA7">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31.2 关于监狱企业：</w:t>
      </w:r>
    </w:p>
    <w:p w14:paraId="12E0AE67">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31.2.1 根据《财政部司法部关于政府采购支持监狱企业发展有关问题的通知》（财库〔2014〕68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A989ED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31.2.2 监狱企业参加政府采购活动时，应当提供由省级以上监狱管理局、戒毒管理局（含新疆生产建设兵团）出具的属于监狱企业的证明文件。</w:t>
      </w:r>
    </w:p>
    <w:p w14:paraId="4E2FB9D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31.2.3 在政府采购活动中，监狱企业视同小型、微型企业，享受预留份额、评审中价格扣除等政府采购促进中小企业发展的政府采购政策。</w:t>
      </w:r>
    </w:p>
    <w:p w14:paraId="5C44F46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31.3 关于残疾人福利性单位：</w:t>
      </w:r>
    </w:p>
    <w:p w14:paraId="7ACC83A3">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31.2.1 根据《三部门联合发布关于促进残疾人就业政府采购政策的通知》（财库〔2017〕141号）的规定，享受政府采购支持政策的残疾人福利性单位应当同时满足以下条件：</w:t>
      </w:r>
    </w:p>
    <w:p w14:paraId="4E90312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（一）安置的残疾人占本单位在职职工人数的比例不低于 25%（含 25%），并且安置的残疾人人数不少于 10 人（含 10 人）；</w:t>
      </w:r>
    </w:p>
    <w:p w14:paraId="5F0F873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（二）依法与安置的每位残疾人签订了一年以上（含一年）的劳动合同或服务协议；</w:t>
      </w:r>
    </w:p>
    <w:p w14:paraId="382CEAB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（三）为安置的每位残疾人按月足额缴纳了基本养老保险、基本医疗保险、失业保险、工伤保险和生育保险等社会保险费；</w:t>
      </w:r>
    </w:p>
    <w:p w14:paraId="7E5D696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（四）通过银行等金融机构向安置的每位残疾人，按月支付了不低于单位所在区县适用的经省级人民政府批准的月最低工资标准的工资；</w:t>
      </w:r>
    </w:p>
    <w:p w14:paraId="7359E13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五）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3EFA84A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31.2.2 符合条件的残疾人福利性单位在参加政府采购活动时，应当按《三部门联合发布关于促进残疾人就业政府采购政策的通知》（财库〔2017〕141 号）提供规定的《残疾人福利性单位声明函》，并对声明的真实性负责。</w:t>
      </w:r>
    </w:p>
    <w:p w14:paraId="4515610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31.2.3 本项目针对残疾人福利性单位产品的价格给予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%的扣除，用扣除后的价格参与评审。残疾人福利性单位属于小型、微型企业的，不重复享受政策。</w:t>
      </w:r>
    </w:p>
    <w:p w14:paraId="73C7A6C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bookmarkEnd w:id="146"/>
      <w:bookmarkEnd w:id="147"/>
      <w:bookmarkEnd w:id="148"/>
      <w:bookmarkEnd w:id="149"/>
      <w:bookmarkEnd w:id="150"/>
      <w:bookmarkEnd w:id="151"/>
      <w:bookmarkEnd w:id="152"/>
    </w:p>
    <w:p w14:paraId="3C9ACCA1">
      <w:pPr>
        <w:spacing w:line="360" w:lineRule="auto"/>
        <w:ind w:firstLine="480" w:firstLineChars="200"/>
        <w:jc w:val="left"/>
        <w:rPr>
          <w:rFonts w:hint="eastAsia" w:ascii="仿宋" w:hAnsi="仿宋" w:eastAsia="仿宋" w:cs="仿宋"/>
          <w:color w:val="auto"/>
          <w:sz w:val="24"/>
          <w:highlight w:val="none"/>
        </w:rPr>
      </w:pPr>
    </w:p>
    <w:p w14:paraId="29BF4613">
      <w:pPr>
        <w:spacing w:line="360" w:lineRule="auto"/>
        <w:ind w:firstLine="480" w:firstLineChars="200"/>
        <w:jc w:val="left"/>
        <w:rPr>
          <w:rFonts w:hint="eastAsia" w:ascii="仿宋" w:hAnsi="仿宋" w:eastAsia="仿宋" w:cs="仿宋"/>
          <w:color w:val="auto"/>
          <w:sz w:val="24"/>
          <w:highlight w:val="none"/>
        </w:rPr>
      </w:pPr>
    </w:p>
    <w:p w14:paraId="7959D230">
      <w:pPr>
        <w:pStyle w:val="12"/>
        <w:spacing w:line="360" w:lineRule="auto"/>
        <w:ind w:firstLine="480"/>
        <w:rPr>
          <w:rFonts w:hint="eastAsia" w:ascii="仿宋" w:hAnsi="仿宋" w:eastAsia="仿宋" w:cs="仿宋"/>
          <w:color w:val="auto"/>
          <w:sz w:val="24"/>
          <w:highlight w:val="none"/>
        </w:rPr>
      </w:pPr>
    </w:p>
    <w:p w14:paraId="4E1FD934">
      <w:pPr>
        <w:pStyle w:val="12"/>
        <w:spacing w:line="360" w:lineRule="auto"/>
        <w:ind w:firstLine="480"/>
        <w:rPr>
          <w:rFonts w:hint="eastAsia" w:ascii="仿宋" w:hAnsi="仿宋" w:eastAsia="仿宋" w:cs="仿宋"/>
          <w:color w:val="auto"/>
          <w:sz w:val="24"/>
          <w:highlight w:val="none"/>
        </w:rPr>
      </w:pPr>
    </w:p>
    <w:p w14:paraId="43F8B675">
      <w:pPr>
        <w:pStyle w:val="12"/>
        <w:spacing w:line="360" w:lineRule="auto"/>
        <w:ind w:firstLine="480"/>
        <w:rPr>
          <w:rFonts w:hint="eastAsia" w:ascii="仿宋" w:hAnsi="仿宋" w:eastAsia="仿宋" w:cs="仿宋"/>
          <w:color w:val="auto"/>
          <w:sz w:val="24"/>
          <w:highlight w:val="none"/>
        </w:rPr>
      </w:pPr>
    </w:p>
    <w:p w14:paraId="63804538">
      <w:pPr>
        <w:pStyle w:val="12"/>
        <w:spacing w:line="360" w:lineRule="auto"/>
        <w:ind w:firstLine="480"/>
        <w:rPr>
          <w:rFonts w:hint="eastAsia" w:ascii="仿宋" w:hAnsi="仿宋" w:eastAsia="仿宋" w:cs="仿宋"/>
          <w:color w:val="auto"/>
          <w:sz w:val="24"/>
          <w:highlight w:val="none"/>
        </w:rPr>
      </w:pPr>
    </w:p>
    <w:p w14:paraId="285E7BD2">
      <w:pPr>
        <w:pStyle w:val="12"/>
        <w:spacing w:line="360" w:lineRule="auto"/>
        <w:ind w:firstLine="480"/>
        <w:rPr>
          <w:rFonts w:hint="eastAsia" w:ascii="仿宋" w:hAnsi="仿宋" w:eastAsia="仿宋" w:cs="仿宋"/>
          <w:color w:val="auto"/>
          <w:sz w:val="24"/>
          <w:highlight w:val="none"/>
        </w:rPr>
      </w:pPr>
    </w:p>
    <w:p w14:paraId="7EAF097F">
      <w:pPr>
        <w:pStyle w:val="12"/>
        <w:spacing w:line="360" w:lineRule="auto"/>
        <w:ind w:firstLine="480"/>
        <w:rPr>
          <w:rFonts w:hint="eastAsia" w:ascii="仿宋" w:hAnsi="仿宋" w:eastAsia="仿宋" w:cs="仿宋"/>
          <w:color w:val="auto"/>
          <w:sz w:val="24"/>
          <w:highlight w:val="none"/>
        </w:rPr>
      </w:pPr>
    </w:p>
    <w:p w14:paraId="411C38A6">
      <w:pPr>
        <w:pStyle w:val="12"/>
        <w:spacing w:line="360" w:lineRule="auto"/>
        <w:ind w:firstLine="480"/>
        <w:rPr>
          <w:rFonts w:hint="eastAsia" w:ascii="仿宋" w:hAnsi="仿宋" w:eastAsia="仿宋" w:cs="仿宋"/>
          <w:color w:val="auto"/>
          <w:sz w:val="24"/>
          <w:highlight w:val="none"/>
        </w:rPr>
      </w:pPr>
    </w:p>
    <w:p w14:paraId="477A2C2E">
      <w:pPr>
        <w:pStyle w:val="13"/>
        <w:spacing w:line="360" w:lineRule="auto"/>
        <w:rPr>
          <w:rFonts w:hint="eastAsia" w:ascii="仿宋" w:hAnsi="仿宋" w:eastAsia="仿宋" w:cs="仿宋"/>
          <w:color w:val="auto"/>
          <w:sz w:val="24"/>
          <w:highlight w:val="none"/>
        </w:rPr>
      </w:pPr>
    </w:p>
    <w:p w14:paraId="6764E3CA">
      <w:pPr>
        <w:pStyle w:val="12"/>
        <w:spacing w:line="360" w:lineRule="auto"/>
        <w:ind w:left="0" w:leftChars="0" w:firstLine="0" w:firstLineChars="0"/>
        <w:rPr>
          <w:rFonts w:hint="eastAsia" w:ascii="仿宋" w:hAnsi="仿宋" w:eastAsia="仿宋" w:cs="仿宋"/>
          <w:color w:val="auto"/>
          <w:sz w:val="24"/>
          <w:highlight w:val="none"/>
        </w:rPr>
      </w:pPr>
    </w:p>
    <w:p w14:paraId="09867FC9">
      <w:pPr>
        <w:pStyle w:val="12"/>
        <w:spacing w:line="360" w:lineRule="auto"/>
        <w:ind w:firstLine="480"/>
        <w:rPr>
          <w:rFonts w:hint="eastAsia" w:ascii="仿宋" w:hAnsi="仿宋" w:eastAsia="仿宋" w:cs="仿宋"/>
          <w:color w:val="auto"/>
          <w:sz w:val="24"/>
          <w:highlight w:val="none"/>
        </w:rPr>
      </w:pPr>
    </w:p>
    <w:p w14:paraId="18083D3D">
      <w:pPr>
        <w:spacing w:line="360" w:lineRule="auto"/>
        <w:rPr>
          <w:rFonts w:hint="eastAsia" w:ascii="仿宋" w:hAnsi="仿宋" w:eastAsia="仿宋" w:cs="仿宋"/>
          <w:color w:val="auto"/>
          <w:highlight w:val="none"/>
        </w:rPr>
      </w:pPr>
      <w:bookmarkStart w:id="164" w:name="_Toc5957312"/>
      <w:bookmarkStart w:id="165" w:name="_Toc16148"/>
      <w:bookmarkStart w:id="166" w:name="_Toc337822247"/>
      <w:bookmarkStart w:id="167" w:name="_Toc86124078"/>
    </w:p>
    <w:p w14:paraId="27048828">
      <w:pPr>
        <w:pStyle w:val="2"/>
        <w:keepLines/>
        <w:numPr>
          <w:ilvl w:val="0"/>
          <w:numId w:val="0"/>
        </w:numPr>
        <w:tabs>
          <w:tab w:val="left" w:pos="1021"/>
        </w:tabs>
        <w:autoSpaceDE/>
        <w:autoSpaceDN/>
        <w:adjustRightInd/>
        <w:spacing w:line="360" w:lineRule="auto"/>
        <w:jc w:val="center"/>
        <w:rPr>
          <w:rFonts w:hint="eastAsia" w:ascii="仿宋" w:hAnsi="仿宋" w:eastAsia="仿宋" w:cs="仿宋"/>
          <w:color w:val="auto"/>
          <w:sz w:val="32"/>
          <w:highlight w:val="none"/>
        </w:rPr>
      </w:pPr>
      <w:bookmarkStart w:id="168" w:name="_Toc29323"/>
      <w:r>
        <w:rPr>
          <w:rFonts w:hint="eastAsia" w:ascii="仿宋" w:hAnsi="仿宋" w:eastAsia="仿宋" w:cs="仿宋"/>
          <w:color w:val="auto"/>
          <w:sz w:val="32"/>
          <w:highlight w:val="none"/>
        </w:rPr>
        <w:t xml:space="preserve">第三章  </w:t>
      </w:r>
      <w:bookmarkEnd w:id="164"/>
      <w:r>
        <w:rPr>
          <w:rFonts w:hint="eastAsia" w:ascii="仿宋" w:hAnsi="仿宋" w:eastAsia="仿宋" w:cs="仿宋"/>
          <w:color w:val="auto"/>
          <w:sz w:val="32"/>
          <w:highlight w:val="none"/>
        </w:rPr>
        <w:t>合同样式及主要条款</w:t>
      </w:r>
      <w:bookmarkEnd w:id="165"/>
      <w:bookmarkEnd w:id="168"/>
    </w:p>
    <w:p w14:paraId="327BBD40">
      <w:pPr>
        <w:keepNext/>
        <w:pageBreakBefore w:val="0"/>
        <w:kinsoku/>
        <w:wordWrap/>
        <w:overflowPunct/>
        <w:topLinePunct w:val="0"/>
        <w:bidi w:val="0"/>
        <w:adjustRightInd w:val="0"/>
        <w:spacing w:line="360" w:lineRule="auto"/>
        <w:ind w:firstLine="0" w:firstLineChars="0"/>
        <w:jc w:val="center"/>
        <w:textAlignment w:val="baseline"/>
        <w:outlineLvl w:val="1"/>
        <w:rPr>
          <w:rFonts w:hint="eastAsia" w:ascii="仿宋" w:hAnsi="仿宋" w:eastAsia="仿宋" w:cs="仿宋"/>
          <w:b/>
          <w:bCs/>
          <w:color w:val="auto"/>
          <w:kern w:val="0"/>
          <w:sz w:val="32"/>
          <w:szCs w:val="32"/>
          <w:highlight w:val="none"/>
          <w:lang w:val="en-US" w:eastAsia="zh-CN" w:bidi="ar-SA"/>
        </w:rPr>
      </w:pPr>
      <w:r>
        <w:rPr>
          <w:rFonts w:hint="eastAsia" w:ascii="仿宋" w:hAnsi="仿宋" w:eastAsia="仿宋" w:cs="仿宋"/>
          <w:color w:val="auto"/>
          <w:sz w:val="32"/>
          <w:highlight w:val="none"/>
        </w:rPr>
        <w:br w:type="page"/>
      </w:r>
      <w:bookmarkEnd w:id="166"/>
      <w:bookmarkEnd w:id="167"/>
      <w:bookmarkStart w:id="169" w:name="_Toc29122"/>
      <w:bookmarkStart w:id="170" w:name="_Toc381887561"/>
      <w:bookmarkStart w:id="171" w:name="_Toc483"/>
      <w:bookmarkStart w:id="172" w:name="_Toc481656329"/>
      <w:bookmarkStart w:id="173" w:name="_Toc29432"/>
      <w:bookmarkStart w:id="174" w:name="_Toc19354"/>
      <w:bookmarkStart w:id="175" w:name="_Toc19214"/>
      <w:bookmarkStart w:id="176" w:name="_Toc26456"/>
      <w:bookmarkStart w:id="177" w:name="_Toc30157"/>
      <w:r>
        <w:rPr>
          <w:rFonts w:hint="eastAsia" w:ascii="仿宋" w:hAnsi="仿宋" w:eastAsia="仿宋" w:cs="仿宋"/>
          <w:b/>
          <w:bCs/>
          <w:color w:val="auto"/>
          <w:kern w:val="0"/>
          <w:sz w:val="32"/>
          <w:szCs w:val="32"/>
          <w:highlight w:val="none"/>
          <w:lang w:val="en-US" w:eastAsia="zh-CN" w:bidi="ar-SA"/>
        </w:rPr>
        <w:t>合同条款前附表</w:t>
      </w:r>
      <w:bookmarkEnd w:id="169"/>
      <w:bookmarkEnd w:id="170"/>
      <w:bookmarkEnd w:id="171"/>
      <w:bookmarkEnd w:id="172"/>
      <w:bookmarkEnd w:id="173"/>
      <w:bookmarkEnd w:id="174"/>
      <w:bookmarkEnd w:id="175"/>
      <w:bookmarkEnd w:id="176"/>
      <w:bookmarkEnd w:id="177"/>
    </w:p>
    <w:tbl>
      <w:tblPr>
        <w:tblStyle w:val="25"/>
        <w:tblW w:w="9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8554"/>
      </w:tblGrid>
      <w:tr w14:paraId="3D402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60" w:type="dxa"/>
            <w:noWrap w:val="0"/>
            <w:vAlign w:val="center"/>
          </w:tcPr>
          <w:p w14:paraId="1AA54E75">
            <w:pPr>
              <w:pageBreakBefore w:val="0"/>
              <w:widowControl/>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号</w:t>
            </w:r>
          </w:p>
        </w:tc>
        <w:tc>
          <w:tcPr>
            <w:tcW w:w="8554" w:type="dxa"/>
            <w:noWrap w:val="0"/>
            <w:vAlign w:val="center"/>
          </w:tcPr>
          <w:p w14:paraId="450D730E">
            <w:pPr>
              <w:pageBreakBefore w:val="0"/>
              <w:kinsoku/>
              <w:wordWrap/>
              <w:overflowPunct/>
              <w:topLinePunct w:val="0"/>
              <w:bidi w:val="0"/>
              <w:spacing w:line="360" w:lineRule="auto"/>
              <w:ind w:firstLine="480" w:firstLineChars="20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内          容</w:t>
            </w:r>
          </w:p>
        </w:tc>
      </w:tr>
      <w:tr w14:paraId="7E0E1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60" w:type="dxa"/>
            <w:noWrap w:val="0"/>
            <w:vAlign w:val="center"/>
          </w:tcPr>
          <w:p w14:paraId="29DF94F9">
            <w:pPr>
              <w:pageBreakBefore w:val="0"/>
              <w:kinsoku/>
              <w:wordWrap/>
              <w:overflowPunct/>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8554" w:type="dxa"/>
            <w:noWrap w:val="0"/>
            <w:vAlign w:val="center"/>
          </w:tcPr>
          <w:p w14:paraId="2C2560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lang w:val="en-US" w:eastAsia="zh-CN"/>
              </w:rPr>
              <w:t>合同履行期限（服务周期）</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lang w:val="en-US" w:eastAsia="zh-CN"/>
              </w:rPr>
              <w:t>36个月，具体以合同签订时间为准；</w:t>
            </w:r>
          </w:p>
          <w:p w14:paraId="4CF4B3C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kern w:val="0"/>
                <w:sz w:val="24"/>
                <w:szCs w:val="24"/>
                <w:highlight w:val="none"/>
                <w:lang w:val="en-US" w:eastAsia="zh-CN"/>
              </w:rPr>
              <w:t>服务地点：文山州人民医院指定地点</w:t>
            </w:r>
            <w:r>
              <w:rPr>
                <w:rFonts w:hint="eastAsia" w:ascii="仿宋" w:hAnsi="仿宋" w:eastAsia="仿宋" w:cs="仿宋"/>
                <w:color w:val="auto"/>
                <w:sz w:val="24"/>
                <w:szCs w:val="24"/>
                <w:highlight w:val="none"/>
                <w:lang w:val="en-US" w:eastAsia="zh-CN"/>
              </w:rPr>
              <w:t>。</w:t>
            </w:r>
          </w:p>
        </w:tc>
      </w:tr>
      <w:tr w14:paraId="11298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160" w:type="dxa"/>
            <w:noWrap w:val="0"/>
            <w:vAlign w:val="center"/>
          </w:tcPr>
          <w:p w14:paraId="6351F299">
            <w:pPr>
              <w:pageBreakBefore w:val="0"/>
              <w:kinsoku/>
              <w:wordWrap/>
              <w:overflowPunct/>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8554" w:type="dxa"/>
            <w:noWrap w:val="0"/>
            <w:vAlign w:val="center"/>
          </w:tcPr>
          <w:p w14:paraId="60509483">
            <w:pPr>
              <w:pageBreakBefore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付款方式：以签订合同为准。</w:t>
            </w:r>
          </w:p>
        </w:tc>
      </w:tr>
    </w:tbl>
    <w:p w14:paraId="352B879B">
      <w:pPr>
        <w:pageBreakBefore w:val="0"/>
        <w:widowControl/>
        <w:kinsoku/>
        <w:wordWrap/>
        <w:overflowPunct/>
        <w:topLinePunct w:val="0"/>
        <w:bidi w:val="0"/>
        <w:spacing w:line="360" w:lineRule="auto"/>
        <w:ind w:firstLine="480" w:firstLineChars="200"/>
        <w:rPr>
          <w:rFonts w:hint="eastAsia" w:ascii="仿宋" w:hAnsi="仿宋" w:eastAsia="仿宋" w:cs="仿宋"/>
          <w:b/>
          <w:bCs/>
          <w:color w:val="auto"/>
          <w:sz w:val="24"/>
          <w:szCs w:val="24"/>
          <w:highlight w:val="none"/>
        </w:rPr>
      </w:pPr>
    </w:p>
    <w:p w14:paraId="2C1555D0">
      <w:pPr>
        <w:pageBreakBefore w:val="0"/>
        <w:widowControl/>
        <w:kinsoku/>
        <w:wordWrap/>
        <w:overflowPunct/>
        <w:topLinePunct w:val="0"/>
        <w:bidi w:val="0"/>
        <w:spacing w:line="360" w:lineRule="auto"/>
        <w:ind w:firstLine="480"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说明：合同格式仅供参考，具体以甲乙签订合同为准。</w:t>
      </w:r>
    </w:p>
    <w:p w14:paraId="6CC206CD">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bookmarkStart w:id="178" w:name="_Toc7818"/>
      <w:r>
        <w:rPr>
          <w:rFonts w:hint="eastAsia" w:ascii="仿宋" w:hAnsi="仿宋" w:eastAsia="仿宋" w:cs="仿宋"/>
          <w:b/>
          <w:color w:val="auto"/>
          <w:sz w:val="32"/>
          <w:szCs w:val="32"/>
          <w:highlight w:val="none"/>
          <w:lang w:eastAsia="zh-CN"/>
        </w:rPr>
        <w:br w:type="page"/>
      </w:r>
      <w:bookmarkEnd w:id="178"/>
      <w:r>
        <w:rPr>
          <w:rFonts w:hint="eastAsia" w:ascii="仿宋" w:hAnsi="仿宋" w:eastAsia="仿宋" w:cs="仿宋"/>
          <w:b/>
          <w:bCs/>
          <w:color w:val="auto"/>
          <w:kern w:val="0"/>
          <w:sz w:val="24"/>
          <w:szCs w:val="24"/>
          <w:highlight w:val="none"/>
        </w:rPr>
        <w:t>仅供参考，根据实际情况签订合同</w:t>
      </w:r>
    </w:p>
    <w:p w14:paraId="426B1770">
      <w:pPr>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合同编号：        合同自编号：          </w:t>
      </w:r>
      <w:r>
        <w:rPr>
          <w:rFonts w:hint="eastAsia" w:ascii="仿宋" w:hAnsi="仿宋" w:eastAsia="仿宋" w:cs="仿宋"/>
          <w:color w:val="auto"/>
          <w:sz w:val="28"/>
          <w:szCs w:val="36"/>
          <w:highlight w:val="none"/>
          <w:lang w:val="en-US" w:eastAsia="zh-CN"/>
        </w:rPr>
        <w:t>项目编号</w:t>
      </w:r>
      <w:r>
        <w:rPr>
          <w:rFonts w:hint="eastAsia" w:ascii="仿宋" w:hAnsi="仿宋" w:eastAsia="仿宋" w:cs="仿宋"/>
          <w:color w:val="auto"/>
          <w:sz w:val="28"/>
          <w:szCs w:val="36"/>
          <w:highlight w:val="none"/>
        </w:rPr>
        <w:t>：</w:t>
      </w:r>
    </w:p>
    <w:p w14:paraId="5D12075F">
      <w:pPr>
        <w:spacing w:line="360" w:lineRule="auto"/>
        <w:rPr>
          <w:rFonts w:hint="eastAsia" w:ascii="仿宋" w:hAnsi="仿宋" w:eastAsia="仿宋" w:cs="仿宋"/>
          <w:color w:val="auto"/>
          <w:sz w:val="28"/>
          <w:szCs w:val="36"/>
          <w:highlight w:val="none"/>
        </w:rPr>
      </w:pPr>
    </w:p>
    <w:p w14:paraId="2E3B8650">
      <w:pPr>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●本合同须加盖甲乙双方骑缝章有效</w:t>
      </w:r>
    </w:p>
    <w:p w14:paraId="49A84383">
      <w:pPr>
        <w:spacing w:line="360" w:lineRule="auto"/>
        <w:rPr>
          <w:rFonts w:hint="eastAsia" w:ascii="仿宋" w:hAnsi="仿宋" w:eastAsia="仿宋" w:cs="仿宋"/>
          <w:color w:val="auto"/>
          <w:sz w:val="28"/>
          <w:szCs w:val="36"/>
          <w:highlight w:val="none"/>
        </w:rPr>
      </w:pPr>
    </w:p>
    <w:p w14:paraId="52717A28">
      <w:pPr>
        <w:spacing w:line="360" w:lineRule="auto"/>
        <w:rPr>
          <w:rFonts w:hint="eastAsia" w:ascii="仿宋" w:hAnsi="仿宋" w:eastAsia="仿宋" w:cs="仿宋"/>
          <w:color w:val="auto"/>
          <w:sz w:val="28"/>
          <w:szCs w:val="36"/>
          <w:highlight w:val="none"/>
        </w:rPr>
      </w:pPr>
    </w:p>
    <w:p w14:paraId="77337926">
      <w:pPr>
        <w:spacing w:line="360" w:lineRule="auto"/>
        <w:jc w:val="center"/>
        <w:rPr>
          <w:rFonts w:hint="eastAsia" w:ascii="仿宋" w:hAnsi="仿宋" w:eastAsia="仿宋" w:cs="仿宋"/>
          <w:color w:val="auto"/>
          <w:sz w:val="40"/>
          <w:szCs w:val="48"/>
          <w:highlight w:val="none"/>
        </w:rPr>
      </w:pPr>
      <w:r>
        <w:rPr>
          <w:rFonts w:hint="eastAsia" w:ascii="仿宋" w:hAnsi="仿宋" w:eastAsia="仿宋" w:cs="仿宋"/>
          <w:color w:val="auto"/>
          <w:sz w:val="40"/>
          <w:szCs w:val="48"/>
          <w:highlight w:val="none"/>
        </w:rPr>
        <w:t>云南省省级政府采购</w:t>
      </w:r>
    </w:p>
    <w:p w14:paraId="2F5887B1">
      <w:pPr>
        <w:spacing w:line="360" w:lineRule="auto"/>
        <w:jc w:val="center"/>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（委托采购）</w:t>
      </w:r>
    </w:p>
    <w:p w14:paraId="0B9979D4">
      <w:pPr>
        <w:spacing w:line="360" w:lineRule="auto"/>
        <w:jc w:val="center"/>
        <w:rPr>
          <w:rFonts w:hint="eastAsia" w:ascii="仿宋" w:hAnsi="仿宋" w:eastAsia="仿宋" w:cs="仿宋"/>
          <w:b/>
          <w:bCs/>
          <w:color w:val="auto"/>
          <w:sz w:val="44"/>
          <w:szCs w:val="52"/>
          <w:highlight w:val="none"/>
        </w:rPr>
      </w:pPr>
    </w:p>
    <w:p w14:paraId="212DB543">
      <w:pPr>
        <w:spacing w:line="360" w:lineRule="auto"/>
        <w:jc w:val="center"/>
        <w:rPr>
          <w:rFonts w:hint="eastAsia" w:ascii="仿宋" w:hAnsi="仿宋" w:eastAsia="仿宋" w:cs="仿宋"/>
          <w:b/>
          <w:bCs/>
          <w:color w:val="auto"/>
          <w:sz w:val="44"/>
          <w:szCs w:val="52"/>
          <w:highlight w:val="none"/>
        </w:rPr>
      </w:pPr>
      <w:r>
        <w:rPr>
          <w:rFonts w:hint="eastAsia" w:ascii="仿宋" w:hAnsi="仿宋" w:eastAsia="仿宋" w:cs="仿宋"/>
          <w:b/>
          <w:bCs/>
          <w:color w:val="auto"/>
          <w:sz w:val="44"/>
          <w:szCs w:val="52"/>
          <w:highlight w:val="none"/>
        </w:rPr>
        <w:t>合</w:t>
      </w:r>
    </w:p>
    <w:p w14:paraId="399F86DE">
      <w:pPr>
        <w:spacing w:line="360" w:lineRule="auto"/>
        <w:jc w:val="center"/>
        <w:rPr>
          <w:rFonts w:hint="eastAsia" w:ascii="仿宋" w:hAnsi="仿宋" w:eastAsia="仿宋" w:cs="仿宋"/>
          <w:b/>
          <w:bCs/>
          <w:color w:val="auto"/>
          <w:sz w:val="44"/>
          <w:szCs w:val="52"/>
          <w:highlight w:val="none"/>
        </w:rPr>
      </w:pPr>
      <w:r>
        <w:rPr>
          <w:rFonts w:hint="eastAsia" w:ascii="仿宋" w:hAnsi="仿宋" w:eastAsia="仿宋" w:cs="仿宋"/>
          <w:b/>
          <w:bCs/>
          <w:color w:val="auto"/>
          <w:sz w:val="44"/>
          <w:szCs w:val="52"/>
          <w:highlight w:val="none"/>
        </w:rPr>
        <w:t>同</w:t>
      </w:r>
    </w:p>
    <w:p w14:paraId="15DD2DBC">
      <w:pPr>
        <w:spacing w:line="360" w:lineRule="auto"/>
        <w:jc w:val="center"/>
        <w:rPr>
          <w:rFonts w:hint="eastAsia" w:ascii="仿宋" w:hAnsi="仿宋" w:eastAsia="仿宋" w:cs="仿宋"/>
          <w:b/>
          <w:bCs/>
          <w:color w:val="auto"/>
          <w:sz w:val="44"/>
          <w:szCs w:val="52"/>
          <w:highlight w:val="none"/>
        </w:rPr>
      </w:pPr>
      <w:r>
        <w:rPr>
          <w:rFonts w:hint="eastAsia" w:ascii="仿宋" w:hAnsi="仿宋" w:eastAsia="仿宋" w:cs="仿宋"/>
          <w:b/>
          <w:bCs/>
          <w:color w:val="auto"/>
          <w:sz w:val="44"/>
          <w:szCs w:val="52"/>
          <w:highlight w:val="none"/>
        </w:rPr>
        <w:t>书</w:t>
      </w:r>
    </w:p>
    <w:p w14:paraId="6FF60737">
      <w:pPr>
        <w:spacing w:line="360" w:lineRule="auto"/>
        <w:jc w:val="center"/>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签订地点</w:t>
      </w:r>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rPr>
        <w:t xml:space="preserve"> </w:t>
      </w:r>
    </w:p>
    <w:p w14:paraId="7C37E3DF">
      <w:pPr>
        <w:spacing w:line="360" w:lineRule="auto"/>
        <w:rPr>
          <w:rFonts w:hint="eastAsia" w:ascii="仿宋" w:hAnsi="仿宋" w:eastAsia="仿宋" w:cs="仿宋"/>
          <w:b/>
          <w:bCs/>
          <w:color w:val="auto"/>
          <w:sz w:val="28"/>
          <w:szCs w:val="36"/>
          <w:highlight w:val="none"/>
        </w:rPr>
      </w:pPr>
    </w:p>
    <w:p w14:paraId="55F4CE25">
      <w:pPr>
        <w:spacing w:line="360" w:lineRule="auto"/>
        <w:jc w:val="center"/>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云南省财政厅 制</w:t>
      </w:r>
    </w:p>
    <w:p w14:paraId="46BB22E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rPr>
        <w:t>甲乙双方经过平等协商，达成本</w:t>
      </w:r>
      <w:r>
        <w:rPr>
          <w:rFonts w:hint="eastAsia" w:ascii="仿宋" w:hAnsi="仿宋" w:eastAsia="仿宋" w:cs="仿宋"/>
          <w:color w:val="auto"/>
          <w:sz w:val="24"/>
          <w:szCs w:val="24"/>
          <w:lang w:eastAsia="zh-CN"/>
        </w:rPr>
        <w:t>GE 1.5T核磁共振设备维保</w:t>
      </w:r>
      <w:r>
        <w:rPr>
          <w:rFonts w:hint="eastAsia" w:ascii="仿宋" w:hAnsi="仿宋" w:eastAsia="仿宋" w:cs="仿宋"/>
          <w:color w:val="auto"/>
          <w:sz w:val="24"/>
          <w:szCs w:val="24"/>
        </w:rPr>
        <w:t xml:space="preserve">合同（以下简称“合同”），供双方遵守。合同内容包括具体条款、附件及合同中提及的其他文件。 </w:t>
      </w:r>
    </w:p>
    <w:p w14:paraId="13E99682">
      <w:pPr>
        <w:keepNext w:val="0"/>
        <w:keepLines w:val="0"/>
        <w:pageBreakBefore w:val="0"/>
        <w:widowControl w:val="0"/>
        <w:kinsoku/>
        <w:wordWrap/>
        <w:overflowPunct/>
        <w:topLinePunct w:val="0"/>
        <w:autoSpaceDE/>
        <w:autoSpaceDN/>
        <w:bidi w:val="0"/>
        <w:adjustRightInd/>
        <w:snapToGrid/>
        <w:spacing w:line="360" w:lineRule="auto"/>
        <w:ind w:left="420" w:hanging="480" w:hanging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1.合同有效期： </w:t>
      </w:r>
    </w:p>
    <w:p w14:paraId="5934BC3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合同期为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年，自</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日至</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日。 </w:t>
      </w:r>
    </w:p>
    <w:p w14:paraId="71BC00AA">
      <w:pPr>
        <w:keepNext w:val="0"/>
        <w:keepLines w:val="0"/>
        <w:pageBreakBefore w:val="0"/>
        <w:widowControl w:val="0"/>
        <w:kinsoku/>
        <w:wordWrap/>
        <w:overflowPunct/>
        <w:topLinePunct w:val="0"/>
        <w:autoSpaceDE/>
        <w:autoSpaceDN/>
        <w:bidi w:val="0"/>
        <w:adjustRightInd/>
        <w:snapToGrid/>
        <w:spacing w:line="360" w:lineRule="auto"/>
        <w:ind w:left="420" w:hanging="480" w:hanging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2.维保服务设备清单及价格：</w:t>
      </w:r>
      <w:r>
        <w:rPr>
          <w:rFonts w:hint="eastAsia" w:ascii="仿宋" w:hAnsi="仿宋" w:eastAsia="仿宋" w:cs="仿宋"/>
          <w:color w:val="auto"/>
          <w:sz w:val="24"/>
          <w:szCs w:val="24"/>
        </w:rPr>
        <w:t xml:space="preserve"> </w:t>
      </w:r>
    </w:p>
    <w:p w14:paraId="31C962B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乙方提供服务的设备名称、型号、数量等详细情况见附件1《设备清单》，非《设备清单》中的设备不在本合同服务范围，如设备后续发生增减，由甲乙双方协商修改，签订补充协议。 </w:t>
      </w:r>
    </w:p>
    <w:p w14:paraId="69FB04BF">
      <w:pPr>
        <w:keepNext w:val="0"/>
        <w:keepLines w:val="0"/>
        <w:pageBreakBefore w:val="0"/>
        <w:widowControl w:val="0"/>
        <w:kinsoku/>
        <w:wordWrap/>
        <w:overflowPunct/>
        <w:topLinePunct w:val="0"/>
        <w:autoSpaceDE/>
        <w:autoSpaceDN/>
        <w:bidi w:val="0"/>
        <w:adjustRightInd/>
        <w:snapToGrid/>
        <w:spacing w:line="360" w:lineRule="auto"/>
        <w:ind w:left="478" w:leftChars="228" w:firstLine="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本服务合同总价：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元。（大写：_______________________） </w:t>
      </w:r>
    </w:p>
    <w:p w14:paraId="709E9109">
      <w:pPr>
        <w:keepNext w:val="0"/>
        <w:keepLines w:val="0"/>
        <w:pageBreakBefore w:val="0"/>
        <w:widowControl w:val="0"/>
        <w:kinsoku/>
        <w:wordWrap/>
        <w:overflowPunct/>
        <w:topLinePunct w:val="0"/>
        <w:autoSpaceDE/>
        <w:autoSpaceDN/>
        <w:bidi w:val="0"/>
        <w:adjustRightInd/>
        <w:snapToGrid/>
        <w:spacing w:line="360" w:lineRule="auto"/>
        <w:ind w:left="420" w:hanging="480" w:hanging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3.服务内容：</w:t>
      </w:r>
      <w:r>
        <w:rPr>
          <w:rFonts w:hint="eastAsia" w:ascii="仿宋" w:hAnsi="仿宋" w:eastAsia="仿宋" w:cs="仿宋"/>
          <w:color w:val="auto"/>
          <w:sz w:val="24"/>
          <w:szCs w:val="24"/>
        </w:rPr>
        <w:t xml:space="preserve"> </w:t>
      </w:r>
    </w:p>
    <w:p w14:paraId="64FE022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3.1在合同期内乙方至少安排</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名工程师常驻在医院提供设备维修服务，工作时间为每周一到周五，作息时间与医院相同，节假日休息。乙方具备400或800客户服务专线电话，确保24小时*365天有客服人员和资深工程师接听电话。如需延长工作时间或提供节假日服务，甲方需提前通知。 </w:t>
      </w:r>
    </w:p>
    <w:p w14:paraId="4D57CC0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3.2乙方驻院工程师在收到服务诉求</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分钟内响应，工作时间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分钟内赶到故障设备所在科室，非工作时间4小时内到达。 </w:t>
      </w:r>
    </w:p>
    <w:p w14:paraId="1F78A27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3.3乙方维修后，向甲方设备使用科室或设备科汇报维修情况，提交《设备维修保养记录单》，经设备使用科室或设备科工作人员签字并存档。 </w:t>
      </w:r>
    </w:p>
    <w:p w14:paraId="1120987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3.4乙方每月对中小型设备进行一次日常巡检，指导使用人员正确操作，检查设备的运行状况并填写《设备巡检记录单》，由使用科室或设备科签字确认并存档。大型设备预防性保养按照原厂标准流程进行，具体保养次数见附件1《设备清单》，内容包括机器清洁、更换定期保养件、性能测试及校准、必要的机械或电气检查、非紧急性质的补救维修和确保系统能按照制造商产品规范运行的其他维修。保养结束后提供《设备定期保养报告》，经设备使用科室或设备科工作人员签字并存档。 </w:t>
      </w:r>
    </w:p>
    <w:p w14:paraId="6A6B398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3.5乙方协助甲方进行新设备的验收，并协同厂家进行维修、保养，该部分设备出保，相关事宜双方另行协商。 </w:t>
      </w:r>
    </w:p>
    <w:p w14:paraId="6A82FDD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3.6乙方协助甲方进行设备的计量和检测。 </w:t>
      </w:r>
    </w:p>
    <w:p w14:paraId="1510502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3.7乙方可应甲方需求进行医疗设备台账的梳理和档案管理，甲方应提供档案管理所需的场所和设施。</w:t>
      </w:r>
    </w:p>
    <w:p w14:paraId="3DBA102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3.8乙方协助甲方进行设备（便于移动或具有移动功能）的调拨和搬迁，大型设备和不可以移动设备不在此服务范围，需另行协商。 </w:t>
      </w:r>
    </w:p>
    <w:p w14:paraId="7F3DA10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3.9乙方协助甲方进行设备的报废工作，为甲方提供相关设备运行状态报告，是否报废由甲方确定。 </w:t>
      </w:r>
    </w:p>
    <w:p w14:paraId="22B994B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4.乙方的责任： </w:t>
      </w:r>
    </w:p>
    <w:p w14:paraId="6E1C506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4.1在合同期内保证全年开机率不低于</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，按全年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天计算，包含节假日，停机时间不超过</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天。 </w:t>
      </w:r>
    </w:p>
    <w:p w14:paraId="58DA1E1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4.2乙方在接到甲方维修需求后24小时（不包含订购备件时间）后无法完成维修，应及时向相关使用科室和设备科说明并提出进一步解决方案，必要时申请原厂维修，相关费用由乙方承担。 </w:t>
      </w:r>
    </w:p>
    <w:p w14:paraId="289F4CB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4.3乙方保证在提供维修服务过程中所更换的备件，是原厂或合法正规渠道产品，维修后设备达到正常运转</w:t>
      </w:r>
    </w:p>
    <w:p w14:paraId="3EA7C45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标准。 </w:t>
      </w:r>
    </w:p>
    <w:p w14:paraId="5757E7C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4.4当甲方所保设备出现故障时，乙方应以合理的方式为甲方提供技术服务，因为乙方工程师的技术原因导</w:t>
      </w:r>
    </w:p>
    <w:p w14:paraId="373378E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致的故障及故障扩大，应由乙方承担责任。 </w:t>
      </w:r>
    </w:p>
    <w:p w14:paraId="75DA4B3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4.5乙方按照应急预案，在突发紧急事件时协助甲方做好设备保障工作，最大限度的避免因紧急事件对医疗设备的正常运行造成不利影响。 </w:t>
      </w:r>
    </w:p>
    <w:p w14:paraId="6519B88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4.6如甲方使用乙方的设备管理软件，双方需签订数据保密协议，使用方式主要包括网页端、app端、微信端。在合同期内乙方为甲方免费提供满足日常工作需要的客户端口数量，合同期届满后将存放在乙方公司的设备维修数据打包返还甲方。如甲方有意向继续使用，由双方协商相关事宜。 </w:t>
      </w:r>
    </w:p>
    <w:p w14:paraId="15DCA11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5.甲方的责任和义务：</w:t>
      </w:r>
      <w:r>
        <w:rPr>
          <w:rFonts w:hint="eastAsia" w:ascii="仿宋" w:hAnsi="仿宋" w:eastAsia="仿宋" w:cs="仿宋"/>
          <w:color w:val="auto"/>
          <w:sz w:val="24"/>
          <w:szCs w:val="24"/>
        </w:rPr>
        <w:t xml:space="preserve"> </w:t>
      </w:r>
    </w:p>
    <w:p w14:paraId="199C6F4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5.1甲方为乙方提供适当的办公场所和维修场所，这些场所应接通必要的水、电和网络，允许乙方人员自费在甲方食堂就餐，提供进入相关办公及维修场所的门禁卡。 </w:t>
      </w:r>
    </w:p>
    <w:p w14:paraId="6C2D45B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5.2甲方应按机器操作手册的要求进行操作及日常维护，保证机器的电气环境（电源质量、接地、温湿度、电磁干扰、腐蚀性气体等符合设备安装手册中的要求，保证机器所需电源、水源、有活性的辐射源（如适用）的正常供应及开启和关闭。由于甲方原因造成设备不能正常运转或无法提供维修，乙方并不承担维修责任。 </w:t>
      </w:r>
    </w:p>
    <w:p w14:paraId="4D0FDD0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5.3甲方应按合同约定的方式按时向乙方支付维修服务费用。若甲方延迟付款，乙方有权暂停对甲方提供服</w:t>
      </w:r>
    </w:p>
    <w:p w14:paraId="4D86D59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务直至甲方支付对应款项。 </w:t>
      </w:r>
    </w:p>
    <w:p w14:paraId="002FA90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5.4甲方应无条件退还更换下来的坏、旧备件，不能以任何理由予以扣留。 </w:t>
      </w:r>
    </w:p>
    <w:p w14:paraId="394CD6C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5.5本次合同服务相关的化学品以及产生的相关废物，甲方应按照国家相关法律法规要求进行管理和处置。 </w:t>
      </w:r>
    </w:p>
    <w:p w14:paraId="260474F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5.6若续签保修合同，或暂停服务时间已超过上一次报修结束日期3个月的，该机器须重新进行状态检测后方可进保。 </w:t>
      </w:r>
    </w:p>
    <w:p w14:paraId="72FE441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5.7如连续续保，具体续保金额由甲乙双方进一步沟通协商而定。 </w:t>
      </w:r>
    </w:p>
    <w:p w14:paraId="6D58200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6.合同金额及付款方式：</w:t>
      </w:r>
      <w:r>
        <w:rPr>
          <w:rFonts w:hint="eastAsia" w:ascii="仿宋" w:hAnsi="仿宋" w:eastAsia="仿宋" w:cs="仿宋"/>
          <w:color w:val="auto"/>
          <w:sz w:val="24"/>
          <w:szCs w:val="24"/>
        </w:rPr>
        <w:t xml:space="preserve"> </w:t>
      </w:r>
    </w:p>
    <w:p w14:paraId="3F981B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日前付清人民币</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元；（大写：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p>
    <w:p w14:paraId="0877FDB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日前付清人民币</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元；（大写：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p>
    <w:p w14:paraId="3945CA2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帐 户： </w:t>
      </w:r>
    </w:p>
    <w:p w14:paraId="4AB5007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帐 号： </w:t>
      </w:r>
    </w:p>
    <w:p w14:paraId="439D231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开户行：</w:t>
      </w:r>
      <w:r>
        <w:rPr>
          <w:rFonts w:hint="eastAsia" w:ascii="仿宋" w:hAnsi="仿宋" w:eastAsia="仿宋" w:cs="仿宋"/>
          <w:color w:val="auto"/>
          <w:sz w:val="24"/>
          <w:szCs w:val="24"/>
        </w:rPr>
        <w:t xml:space="preserve"> </w:t>
      </w:r>
    </w:p>
    <w:p w14:paraId="1A9DF95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7.合同的变更和转让：</w:t>
      </w:r>
      <w:r>
        <w:rPr>
          <w:rFonts w:hint="eastAsia" w:ascii="仿宋" w:hAnsi="仿宋" w:eastAsia="仿宋" w:cs="仿宋"/>
          <w:color w:val="auto"/>
          <w:sz w:val="24"/>
          <w:szCs w:val="24"/>
        </w:rPr>
        <w:t xml:space="preserve"> </w:t>
      </w:r>
    </w:p>
    <w:p w14:paraId="5A5AD36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合同有效期内，任何一方均不得擅自变更合同的权利和义务，除非双方的授权代表以书面的方式确认。 </w:t>
      </w:r>
    </w:p>
    <w:p w14:paraId="4C52A3D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8.信息保密：</w:t>
      </w:r>
      <w:r>
        <w:rPr>
          <w:rFonts w:hint="eastAsia" w:ascii="仿宋" w:hAnsi="仿宋" w:eastAsia="仿宋" w:cs="仿宋"/>
          <w:color w:val="auto"/>
          <w:sz w:val="24"/>
          <w:szCs w:val="24"/>
        </w:rPr>
        <w:t xml:space="preserve"> </w:t>
      </w:r>
    </w:p>
    <w:p w14:paraId="5D1327D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乙双方对本合同，与本合同相关的其它信息，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该保密义务在本合同终止或解除后仍然有效。 </w:t>
      </w:r>
    </w:p>
    <w:p w14:paraId="5D42283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9.豁免及违约责任： </w:t>
      </w:r>
    </w:p>
    <w:p w14:paraId="5C8E399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9.1由于公认的不可抗力事件造成的损坏（如自然灾害、爆炸、房屋倒塌、暴乱、坠机及蓄意破坏、缺乏燃料或水电、劳资纠纷、罢工、战争等），乙方根据实际情况部分或全部免除责任，并及时通知甲方。 </w:t>
      </w:r>
    </w:p>
    <w:p w14:paraId="782C5BF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9.2乙方应甲方要求进行技术服务前，若发生甲方隐瞒其机器曾自行或请第三方修理调整、换装零件、改装机器及备件的，乙方不承担相关责任。 </w:t>
      </w:r>
    </w:p>
    <w:p w14:paraId="5D158C9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9.3甲方或其代表未遵照保养及操作手册上的程序所进行操作所引起的设备故障，乙方不承担相关责任。 </w:t>
      </w:r>
    </w:p>
    <w:p w14:paraId="0113E44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9.4在合同有效期内，未经乙方认可，甲方擅自维修、移机、保养或更换零备件，乙方有权解除合同。 </w:t>
      </w:r>
    </w:p>
    <w:p w14:paraId="3722ED4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9.5除不可抗力或乙方不可能控制的因素导致的情形外，因为乙方过错无故不履行合同或者履行合同不符合约定给甲方造成损失的，乙方负责赔偿直接损失，该损失赔偿额最高不超过本合同签署时双方约定的甲方应支付给乙方的设备当期服务合同价款。 </w:t>
      </w:r>
    </w:p>
    <w:p w14:paraId="52FD531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9.6 如甲方超出本合同付款条款规定期限30天仍未支付相关款项，乙方有权终止或解除合同，并要求甲方支付所有应付款项及违约金（违约金按照每天合同总金额0.3%计算）及其他相关费用（包括但不限于诉讼费，合理的律师费等）。自乙方发出书面通知7个工作日起，合同自动终止或解除。</w:t>
      </w:r>
    </w:p>
    <w:p w14:paraId="6DE91AD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10.争议解决：</w:t>
      </w:r>
      <w:r>
        <w:rPr>
          <w:rFonts w:hint="eastAsia" w:ascii="仿宋" w:hAnsi="仿宋" w:eastAsia="仿宋" w:cs="仿宋"/>
          <w:color w:val="auto"/>
          <w:sz w:val="24"/>
          <w:szCs w:val="24"/>
        </w:rPr>
        <w:t xml:space="preserve"> </w:t>
      </w:r>
    </w:p>
    <w:p w14:paraId="5ED1019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甲乙双方在履行合同过程中发生争议应协商解决，协商不成的，可向合同签订地人民法院起诉。 </w:t>
      </w:r>
    </w:p>
    <w:p w14:paraId="4F19F57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11.其他: </w:t>
      </w:r>
    </w:p>
    <w:p w14:paraId="0AB1A45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11.1本合同附加内容具有与以上条款同样的法律责任。 </w:t>
      </w:r>
    </w:p>
    <w:p w14:paraId="14186C4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11.2合同正本一式 份，甲方执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份，乙方执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份，经双方签字盖章后生效。 </w:t>
      </w:r>
    </w:p>
    <w:p w14:paraId="538B348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12.附件：</w:t>
      </w:r>
      <w:r>
        <w:rPr>
          <w:rFonts w:hint="eastAsia" w:ascii="仿宋" w:hAnsi="仿宋" w:eastAsia="仿宋" w:cs="仿宋"/>
          <w:color w:val="auto"/>
          <w:sz w:val="24"/>
          <w:szCs w:val="24"/>
        </w:rPr>
        <w:t xml:space="preserve"> </w:t>
      </w:r>
    </w:p>
    <w:p w14:paraId="5AC05D1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附件1：《设备清单》 </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8"/>
        <w:gridCol w:w="1737"/>
        <w:gridCol w:w="1217"/>
        <w:gridCol w:w="1331"/>
        <w:gridCol w:w="1286"/>
        <w:gridCol w:w="1393"/>
        <w:gridCol w:w="1480"/>
      </w:tblGrid>
      <w:tr w14:paraId="573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noWrap w:val="0"/>
            <w:vAlign w:val="top"/>
          </w:tcPr>
          <w:p w14:paraId="6E9D15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rPr>
              <w:t>序号</w:t>
            </w:r>
          </w:p>
        </w:tc>
        <w:tc>
          <w:tcPr>
            <w:tcW w:w="1737" w:type="dxa"/>
            <w:noWrap w:val="0"/>
            <w:vAlign w:val="top"/>
          </w:tcPr>
          <w:p w14:paraId="5671DD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rPr>
              <w:t>设备名称</w:t>
            </w:r>
          </w:p>
        </w:tc>
        <w:tc>
          <w:tcPr>
            <w:tcW w:w="1217" w:type="dxa"/>
            <w:noWrap w:val="0"/>
            <w:vAlign w:val="top"/>
          </w:tcPr>
          <w:p w14:paraId="738800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rPr>
              <w:t>型号</w:t>
            </w:r>
          </w:p>
        </w:tc>
        <w:tc>
          <w:tcPr>
            <w:tcW w:w="1331" w:type="dxa"/>
            <w:noWrap w:val="0"/>
            <w:vAlign w:val="top"/>
          </w:tcPr>
          <w:p w14:paraId="52789C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rPr>
              <w:t>厂家</w:t>
            </w:r>
          </w:p>
        </w:tc>
        <w:tc>
          <w:tcPr>
            <w:tcW w:w="1286" w:type="dxa"/>
            <w:noWrap w:val="0"/>
            <w:vAlign w:val="top"/>
          </w:tcPr>
          <w:p w14:paraId="0674D6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rPr>
              <w:t>数量</w:t>
            </w:r>
          </w:p>
        </w:tc>
        <w:tc>
          <w:tcPr>
            <w:tcW w:w="1393" w:type="dxa"/>
            <w:noWrap w:val="0"/>
            <w:vAlign w:val="top"/>
          </w:tcPr>
          <w:p w14:paraId="2D5054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rPr>
              <w:t>保修类型</w:t>
            </w:r>
          </w:p>
        </w:tc>
        <w:tc>
          <w:tcPr>
            <w:tcW w:w="1480" w:type="dxa"/>
            <w:noWrap w:val="0"/>
            <w:vAlign w:val="top"/>
          </w:tcPr>
          <w:p w14:paraId="2F4C6A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rPr>
              <w:t>备注</w:t>
            </w:r>
          </w:p>
        </w:tc>
      </w:tr>
      <w:tr w14:paraId="6823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noWrap w:val="0"/>
            <w:vAlign w:val="top"/>
          </w:tcPr>
          <w:p w14:paraId="4CFCB9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737" w:type="dxa"/>
            <w:noWrap w:val="0"/>
            <w:vAlign w:val="top"/>
          </w:tcPr>
          <w:p w14:paraId="686DB1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217" w:type="dxa"/>
            <w:noWrap w:val="0"/>
            <w:vAlign w:val="top"/>
          </w:tcPr>
          <w:p w14:paraId="45DDC0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331" w:type="dxa"/>
            <w:noWrap w:val="0"/>
            <w:vAlign w:val="top"/>
          </w:tcPr>
          <w:p w14:paraId="045979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286" w:type="dxa"/>
            <w:noWrap w:val="0"/>
            <w:vAlign w:val="top"/>
          </w:tcPr>
          <w:p w14:paraId="33D985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393" w:type="dxa"/>
            <w:noWrap w:val="0"/>
            <w:vAlign w:val="top"/>
          </w:tcPr>
          <w:p w14:paraId="0A14AA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480" w:type="dxa"/>
            <w:noWrap w:val="0"/>
            <w:vAlign w:val="top"/>
          </w:tcPr>
          <w:p w14:paraId="309B9D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r>
      <w:tr w14:paraId="7CD9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noWrap w:val="0"/>
            <w:vAlign w:val="top"/>
          </w:tcPr>
          <w:p w14:paraId="4D198E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737" w:type="dxa"/>
            <w:noWrap w:val="0"/>
            <w:vAlign w:val="top"/>
          </w:tcPr>
          <w:p w14:paraId="635DB5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217" w:type="dxa"/>
            <w:noWrap w:val="0"/>
            <w:vAlign w:val="top"/>
          </w:tcPr>
          <w:p w14:paraId="6CA480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331" w:type="dxa"/>
            <w:noWrap w:val="0"/>
            <w:vAlign w:val="top"/>
          </w:tcPr>
          <w:p w14:paraId="786759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286" w:type="dxa"/>
            <w:noWrap w:val="0"/>
            <w:vAlign w:val="top"/>
          </w:tcPr>
          <w:p w14:paraId="48EA2C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393" w:type="dxa"/>
            <w:noWrap w:val="0"/>
            <w:vAlign w:val="top"/>
          </w:tcPr>
          <w:p w14:paraId="0A3639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480" w:type="dxa"/>
            <w:noWrap w:val="0"/>
            <w:vAlign w:val="top"/>
          </w:tcPr>
          <w:p w14:paraId="11DC9F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r>
      <w:tr w14:paraId="0DDA2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noWrap w:val="0"/>
            <w:vAlign w:val="top"/>
          </w:tcPr>
          <w:p w14:paraId="210AD2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737" w:type="dxa"/>
            <w:noWrap w:val="0"/>
            <w:vAlign w:val="top"/>
          </w:tcPr>
          <w:p w14:paraId="7CA984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217" w:type="dxa"/>
            <w:noWrap w:val="0"/>
            <w:vAlign w:val="top"/>
          </w:tcPr>
          <w:p w14:paraId="2B85BF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331" w:type="dxa"/>
            <w:noWrap w:val="0"/>
            <w:vAlign w:val="top"/>
          </w:tcPr>
          <w:p w14:paraId="0E6CD3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286" w:type="dxa"/>
            <w:noWrap w:val="0"/>
            <w:vAlign w:val="top"/>
          </w:tcPr>
          <w:p w14:paraId="31567D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393" w:type="dxa"/>
            <w:noWrap w:val="0"/>
            <w:vAlign w:val="top"/>
          </w:tcPr>
          <w:p w14:paraId="7A9B67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c>
          <w:tcPr>
            <w:tcW w:w="1480" w:type="dxa"/>
            <w:noWrap w:val="0"/>
            <w:vAlign w:val="top"/>
          </w:tcPr>
          <w:p w14:paraId="630D61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vertAlign w:val="baseline"/>
              </w:rPr>
            </w:pPr>
          </w:p>
        </w:tc>
      </w:tr>
    </w:tbl>
    <w:p w14:paraId="7CC8095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 2：《增配内容》 </w:t>
      </w:r>
    </w:p>
    <w:p w14:paraId="5674E0A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 3：《设备定期保养报告》</w:t>
      </w:r>
    </w:p>
    <w:p w14:paraId="7FCFE18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 </w:t>
      </w:r>
    </w:p>
    <w:p w14:paraId="73C7171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（以下无正文，后为签字页）</w:t>
      </w:r>
    </w:p>
    <w:p w14:paraId="3353A42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kern w:val="0"/>
          <w:sz w:val="24"/>
          <w:szCs w:val="24"/>
          <w:lang w:bidi="ar"/>
        </w:rPr>
      </w:pPr>
    </w:p>
    <w:p w14:paraId="2AA2FD1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br w:type="page"/>
      </w:r>
      <w:r>
        <w:rPr>
          <w:rFonts w:hint="eastAsia" w:ascii="仿宋" w:hAnsi="仿宋" w:eastAsia="仿宋" w:cs="仿宋"/>
          <w:color w:val="auto"/>
          <w:kern w:val="0"/>
          <w:sz w:val="24"/>
          <w:szCs w:val="24"/>
          <w:lang w:bidi="ar"/>
        </w:rPr>
        <w:t xml:space="preserve">甲方名称： </w:t>
      </w:r>
    </w:p>
    <w:p w14:paraId="699A4A3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地址： </w:t>
      </w:r>
    </w:p>
    <w:p w14:paraId="3753596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邮编： </w:t>
      </w:r>
    </w:p>
    <w:p w14:paraId="37A6B4F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法定代表人： </w:t>
      </w:r>
    </w:p>
    <w:p w14:paraId="7E699CC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委托代理人： </w:t>
      </w:r>
    </w:p>
    <w:p w14:paraId="0BFC726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项目（技术）负责人： </w:t>
      </w:r>
    </w:p>
    <w:p w14:paraId="77CD55C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电话： </w:t>
      </w:r>
    </w:p>
    <w:p w14:paraId="745BCCCC">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开户银行： </w:t>
      </w:r>
    </w:p>
    <w:p w14:paraId="61FBB4E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账号： </w:t>
      </w:r>
    </w:p>
    <w:p w14:paraId="28FBE366">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日期： </w:t>
      </w:r>
    </w:p>
    <w:p w14:paraId="69F0312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kern w:val="0"/>
          <w:sz w:val="24"/>
          <w:szCs w:val="24"/>
          <w:lang w:bidi="ar"/>
        </w:rPr>
      </w:pPr>
    </w:p>
    <w:p w14:paraId="6ADCAAD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乙方名称： </w:t>
      </w:r>
    </w:p>
    <w:p w14:paraId="0C3F8B6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地址： </w:t>
      </w:r>
    </w:p>
    <w:p w14:paraId="12A2C5E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邮编： </w:t>
      </w:r>
    </w:p>
    <w:p w14:paraId="029DAF6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法定代表人： </w:t>
      </w:r>
    </w:p>
    <w:p w14:paraId="47AF662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委托代理人： </w:t>
      </w:r>
    </w:p>
    <w:p w14:paraId="3DBFF14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项目（技术）负责人： </w:t>
      </w:r>
    </w:p>
    <w:p w14:paraId="3603C55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电话： </w:t>
      </w:r>
    </w:p>
    <w:p w14:paraId="36E3EE9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开户银行： </w:t>
      </w:r>
    </w:p>
    <w:p w14:paraId="51DAC62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 xml:space="preserve">账号： </w:t>
      </w:r>
    </w:p>
    <w:p w14:paraId="625DF5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lang w:bidi="ar"/>
        </w:rPr>
        <w:t>日期：</w:t>
      </w:r>
    </w:p>
    <w:p w14:paraId="48A15469">
      <w:pPr>
        <w:pStyle w:val="38"/>
        <w:spacing w:line="360" w:lineRule="auto"/>
        <w:ind w:firstLine="960" w:firstLineChars="400"/>
        <w:rPr>
          <w:rFonts w:hint="eastAsia" w:ascii="仿宋" w:hAnsi="仿宋" w:eastAsia="仿宋" w:cs="仿宋"/>
          <w:color w:val="auto"/>
          <w:kern w:val="0"/>
          <w:sz w:val="24"/>
          <w:szCs w:val="24"/>
          <w:highlight w:val="none"/>
        </w:rPr>
      </w:pPr>
    </w:p>
    <w:p w14:paraId="2E496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765020E7">
      <w:pPr>
        <w:pStyle w:val="10"/>
        <w:spacing w:line="360" w:lineRule="auto"/>
        <w:rPr>
          <w:rFonts w:hint="eastAsia" w:ascii="仿宋" w:hAnsi="仿宋" w:eastAsia="仿宋" w:cs="仿宋"/>
          <w:color w:val="auto"/>
          <w:highlight w:val="none"/>
        </w:rPr>
      </w:pPr>
    </w:p>
    <w:p w14:paraId="0FD95E04">
      <w:pPr>
        <w:spacing w:line="360" w:lineRule="auto"/>
        <w:rPr>
          <w:rFonts w:hint="eastAsia" w:ascii="仿宋" w:hAnsi="仿宋" w:eastAsia="仿宋" w:cs="仿宋"/>
          <w:color w:val="auto"/>
          <w:highlight w:val="none"/>
        </w:rPr>
      </w:pPr>
    </w:p>
    <w:p w14:paraId="2BFC5F23">
      <w:pPr>
        <w:spacing w:line="360" w:lineRule="auto"/>
        <w:rPr>
          <w:rFonts w:hint="eastAsia" w:ascii="仿宋" w:hAnsi="仿宋" w:eastAsia="仿宋" w:cs="仿宋"/>
          <w:color w:val="auto"/>
          <w:highlight w:val="none"/>
        </w:rPr>
      </w:pPr>
    </w:p>
    <w:p w14:paraId="7FBA92FC">
      <w:pPr>
        <w:pStyle w:val="12"/>
        <w:spacing w:line="360" w:lineRule="auto"/>
        <w:rPr>
          <w:rFonts w:hint="eastAsia" w:ascii="仿宋" w:hAnsi="仿宋" w:eastAsia="仿宋" w:cs="仿宋"/>
          <w:color w:val="auto"/>
          <w:highlight w:val="none"/>
        </w:rPr>
      </w:pPr>
    </w:p>
    <w:p w14:paraId="5071D52B">
      <w:pPr>
        <w:spacing w:line="360" w:lineRule="auto"/>
        <w:rPr>
          <w:rFonts w:hint="eastAsia" w:ascii="仿宋" w:hAnsi="仿宋" w:eastAsia="仿宋" w:cs="仿宋"/>
          <w:color w:val="auto"/>
          <w:highlight w:val="none"/>
        </w:rPr>
      </w:pPr>
    </w:p>
    <w:p w14:paraId="23095EAB">
      <w:pPr>
        <w:pStyle w:val="12"/>
        <w:spacing w:line="360" w:lineRule="auto"/>
        <w:rPr>
          <w:rFonts w:hint="eastAsia" w:ascii="仿宋" w:hAnsi="仿宋" w:eastAsia="仿宋" w:cs="仿宋"/>
          <w:color w:val="auto"/>
          <w:highlight w:val="none"/>
        </w:rPr>
      </w:pPr>
    </w:p>
    <w:p w14:paraId="682D79FD">
      <w:pPr>
        <w:spacing w:line="360" w:lineRule="auto"/>
        <w:rPr>
          <w:rFonts w:hint="eastAsia" w:ascii="仿宋" w:hAnsi="仿宋" w:eastAsia="仿宋" w:cs="仿宋"/>
          <w:color w:val="auto"/>
          <w:highlight w:val="none"/>
        </w:rPr>
      </w:pPr>
    </w:p>
    <w:p w14:paraId="53F8309E">
      <w:pPr>
        <w:pStyle w:val="12"/>
        <w:spacing w:line="360" w:lineRule="auto"/>
        <w:rPr>
          <w:rFonts w:hint="eastAsia" w:ascii="仿宋" w:hAnsi="仿宋" w:eastAsia="仿宋" w:cs="仿宋"/>
          <w:color w:val="auto"/>
          <w:highlight w:val="none"/>
        </w:rPr>
      </w:pPr>
    </w:p>
    <w:p w14:paraId="7D8ED579">
      <w:pPr>
        <w:spacing w:line="360" w:lineRule="auto"/>
        <w:rPr>
          <w:rFonts w:hint="eastAsia" w:ascii="仿宋" w:hAnsi="仿宋" w:eastAsia="仿宋" w:cs="仿宋"/>
          <w:color w:val="auto"/>
          <w:highlight w:val="none"/>
        </w:rPr>
      </w:pPr>
    </w:p>
    <w:p w14:paraId="2A31105C">
      <w:pPr>
        <w:pStyle w:val="12"/>
        <w:spacing w:line="360" w:lineRule="auto"/>
        <w:rPr>
          <w:rFonts w:hint="eastAsia" w:ascii="仿宋" w:hAnsi="仿宋" w:eastAsia="仿宋" w:cs="仿宋"/>
          <w:color w:val="auto"/>
          <w:highlight w:val="none"/>
        </w:rPr>
      </w:pPr>
    </w:p>
    <w:p w14:paraId="5CF280A6">
      <w:pPr>
        <w:spacing w:line="360" w:lineRule="auto"/>
        <w:rPr>
          <w:rFonts w:hint="eastAsia" w:ascii="仿宋" w:hAnsi="仿宋" w:eastAsia="仿宋" w:cs="仿宋"/>
          <w:color w:val="auto"/>
          <w:highlight w:val="none"/>
        </w:rPr>
      </w:pPr>
    </w:p>
    <w:p w14:paraId="69EB7AF5">
      <w:pPr>
        <w:spacing w:line="360" w:lineRule="auto"/>
        <w:rPr>
          <w:rFonts w:hint="eastAsia" w:ascii="仿宋" w:hAnsi="仿宋" w:eastAsia="仿宋" w:cs="仿宋"/>
          <w:color w:val="auto"/>
          <w:highlight w:val="none"/>
        </w:rPr>
      </w:pPr>
      <w:bookmarkStart w:id="179" w:name="_Toc23098"/>
    </w:p>
    <w:p w14:paraId="0177A74A">
      <w:pPr>
        <w:spacing w:line="360" w:lineRule="auto"/>
        <w:rPr>
          <w:rFonts w:hint="eastAsia" w:ascii="仿宋" w:hAnsi="仿宋" w:eastAsia="仿宋" w:cs="仿宋"/>
          <w:color w:val="auto"/>
          <w:highlight w:val="none"/>
        </w:rPr>
      </w:pPr>
    </w:p>
    <w:p w14:paraId="4071386A">
      <w:pPr>
        <w:pStyle w:val="2"/>
        <w:numPr>
          <w:ilvl w:val="0"/>
          <w:numId w:val="0"/>
        </w:numPr>
        <w:spacing w:line="360" w:lineRule="auto"/>
        <w:jc w:val="center"/>
        <w:outlineLvl w:val="0"/>
        <w:rPr>
          <w:rFonts w:hint="eastAsia" w:ascii="仿宋" w:hAnsi="仿宋" w:eastAsia="仿宋" w:cs="仿宋"/>
          <w:color w:val="auto"/>
          <w:sz w:val="32"/>
          <w:szCs w:val="32"/>
          <w:highlight w:val="none"/>
          <w:lang w:val="en-US" w:eastAsia="zh-CN"/>
        </w:rPr>
      </w:pPr>
      <w:bookmarkStart w:id="180" w:name="_Toc5954"/>
      <w:r>
        <w:rPr>
          <w:rFonts w:hint="eastAsia" w:ascii="仿宋" w:hAnsi="仿宋" w:eastAsia="仿宋" w:cs="仿宋"/>
          <w:color w:val="auto"/>
          <w:sz w:val="32"/>
          <w:szCs w:val="32"/>
          <w:highlight w:val="none"/>
        </w:rPr>
        <w:t>第</w:t>
      </w:r>
      <w:r>
        <w:rPr>
          <w:rFonts w:hint="eastAsia" w:ascii="仿宋" w:hAnsi="仿宋" w:eastAsia="仿宋" w:cs="仿宋"/>
          <w:color w:val="auto"/>
          <w:sz w:val="32"/>
          <w:szCs w:val="32"/>
          <w:highlight w:val="none"/>
          <w:lang w:val="en-US" w:eastAsia="zh-CN"/>
        </w:rPr>
        <w:t>四</w:t>
      </w:r>
      <w:r>
        <w:rPr>
          <w:rFonts w:hint="eastAsia" w:ascii="仿宋" w:hAnsi="仿宋" w:eastAsia="仿宋" w:cs="仿宋"/>
          <w:color w:val="auto"/>
          <w:sz w:val="32"/>
          <w:szCs w:val="32"/>
          <w:highlight w:val="none"/>
        </w:rPr>
        <w:t xml:space="preserve">章  </w:t>
      </w:r>
      <w:r>
        <w:rPr>
          <w:rFonts w:hint="eastAsia" w:ascii="仿宋" w:hAnsi="仿宋" w:eastAsia="仿宋" w:cs="仿宋"/>
          <w:color w:val="auto"/>
          <w:sz w:val="32"/>
          <w:szCs w:val="32"/>
          <w:highlight w:val="none"/>
          <w:lang w:val="en-US" w:eastAsia="zh-CN"/>
        </w:rPr>
        <w:t>采购需求</w:t>
      </w:r>
      <w:bookmarkEnd w:id="180"/>
    </w:p>
    <w:p w14:paraId="7037CCED">
      <w:pPr>
        <w:spacing w:line="360" w:lineRule="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br w:type="page"/>
      </w:r>
    </w:p>
    <w:p w14:paraId="211810EE">
      <w:pPr>
        <w:keepNext w:val="0"/>
        <w:keepLines w:val="0"/>
        <w:pageBreakBefore w:val="0"/>
        <w:widowControl/>
        <w:kinsoku/>
        <w:wordWrap/>
        <w:overflowPunct/>
        <w:topLinePunct w:val="0"/>
        <w:autoSpaceDE/>
        <w:autoSpaceDN/>
        <w:bidi w:val="0"/>
        <w:adjustRightInd/>
        <w:snapToGrid/>
        <w:spacing w:line="336" w:lineRule="auto"/>
        <w:ind w:firstLine="600" w:firstLineChars="200"/>
        <w:jc w:val="center"/>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eastAsia="zh-CN"/>
        </w:rPr>
        <w:t>文山州人民医院GE 1.5T核磁共振设备维保服务采购项目</w:t>
      </w:r>
      <w:r>
        <w:rPr>
          <w:rFonts w:hint="eastAsia" w:ascii="仿宋" w:hAnsi="仿宋" w:eastAsia="仿宋" w:cs="仿宋"/>
          <w:b/>
          <w:bCs/>
          <w:color w:val="auto"/>
          <w:sz w:val="30"/>
          <w:szCs w:val="30"/>
          <w:highlight w:val="none"/>
          <w:lang w:val="en-US" w:eastAsia="zh-CN"/>
        </w:rPr>
        <w:t>采购需求</w:t>
      </w:r>
    </w:p>
    <w:tbl>
      <w:tblPr>
        <w:tblStyle w:val="25"/>
        <w:tblW w:w="49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8842"/>
      </w:tblGrid>
      <w:tr w14:paraId="1FF7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43C22B2E">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4522" w:type="pct"/>
            <w:noWrap w:val="0"/>
            <w:vAlign w:val="center"/>
          </w:tcPr>
          <w:p w14:paraId="6A9284DA">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服务要求</w:t>
            </w:r>
          </w:p>
        </w:tc>
      </w:tr>
      <w:tr w14:paraId="22DE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6D051FF3">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w:t>
            </w:r>
          </w:p>
        </w:tc>
        <w:tc>
          <w:tcPr>
            <w:tcW w:w="4522" w:type="pct"/>
            <w:noWrap w:val="0"/>
            <w:vAlign w:val="center"/>
          </w:tcPr>
          <w:p w14:paraId="343818B1">
            <w:pPr>
              <w:keepNext w:val="0"/>
              <w:keepLines w:val="0"/>
              <w:widowControl/>
              <w:suppressLineNumbers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u w:val="none"/>
                <w:lang w:val="en-US" w:eastAsia="zh-CN" w:bidi="ar"/>
              </w:rPr>
              <w:t>设备型号：1.5T SIGNA VOYAGER G2 TJ SM</w:t>
            </w:r>
          </w:p>
        </w:tc>
      </w:tr>
      <w:tr w14:paraId="4F071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5D9BE26D">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w:t>
            </w:r>
          </w:p>
        </w:tc>
        <w:tc>
          <w:tcPr>
            <w:tcW w:w="4522" w:type="pct"/>
            <w:noWrap w:val="0"/>
            <w:vAlign w:val="center"/>
          </w:tcPr>
          <w:p w14:paraId="6903B18A">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服务内容：1.5T SIGNA VOYAGER G2 TJ SM设备全保，包含：不限次数的现场人工服务，定期的优质保养，所有配件费、线圈，制冷系统，工作站，原厂FMI（系统软硬件改进措施）,临床应用培训，基于MR设备的数字化远程服务。</w:t>
            </w:r>
          </w:p>
        </w:tc>
      </w:tr>
      <w:tr w14:paraId="2011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20899138">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522" w:type="pct"/>
            <w:noWrap w:val="0"/>
            <w:vAlign w:val="center"/>
          </w:tcPr>
          <w:p w14:paraId="1DB65A27">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投标人营业执照须经年检有效。</w:t>
            </w:r>
          </w:p>
        </w:tc>
      </w:tr>
      <w:tr w14:paraId="13F9B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1B38E2F4">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4522" w:type="pct"/>
            <w:noWrap w:val="0"/>
            <w:vAlign w:val="center"/>
          </w:tcPr>
          <w:p w14:paraId="585A6F05">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若投标人不是本次所维保设备的制造商或其分支机构，投标人须提供制造商或其分支机构出具的针对本项目的授权文件。</w:t>
            </w:r>
          </w:p>
        </w:tc>
      </w:tr>
      <w:tr w14:paraId="6217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184F88E9">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4522" w:type="pct"/>
            <w:noWrap w:val="0"/>
            <w:vAlign w:val="center"/>
          </w:tcPr>
          <w:p w14:paraId="7A854B38">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投标人须有合法权限访问所维修保修保养设备的原厂全球维修经验数据库《Offline knowledge》，提供有效的访问用户名。</w:t>
            </w:r>
          </w:p>
        </w:tc>
      </w:tr>
      <w:tr w14:paraId="1B18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769FE306">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4522" w:type="pct"/>
            <w:noWrap w:val="0"/>
            <w:vAlign w:val="center"/>
          </w:tcPr>
          <w:p w14:paraId="29DD5106">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投标人必需能合法获得、完整使用有效的原厂高级故障诊断维修钥匙(Service Key),以解决相应故障。</w:t>
            </w:r>
          </w:p>
        </w:tc>
      </w:tr>
      <w:tr w14:paraId="3113C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156368A9">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4522" w:type="pct"/>
            <w:noWrap w:val="0"/>
            <w:vAlign w:val="center"/>
          </w:tcPr>
          <w:p w14:paraId="0DC76588">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★投标人必需能合法并及时获取并提供全套完整的原厂系统软硬件改进措施即FMI。</w:t>
            </w:r>
          </w:p>
        </w:tc>
      </w:tr>
      <w:tr w14:paraId="421F1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4F9DA4D1">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4522" w:type="pct"/>
            <w:noWrap w:val="0"/>
            <w:vAlign w:val="center"/>
          </w:tcPr>
          <w:p w14:paraId="6EACA2F4">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投标人须提供国家食品药品监督管理局之认证证书(认证证书复印件加盖投标人公司公章)，该证书证明了相关零备件比如线圈与上述所有维修设备整机匹配性。</w:t>
            </w:r>
          </w:p>
        </w:tc>
      </w:tr>
      <w:tr w14:paraId="0E76B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7F4ED146">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4522" w:type="pct"/>
            <w:noWrap w:val="0"/>
            <w:vAlign w:val="center"/>
          </w:tcPr>
          <w:p w14:paraId="79F8A70D">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★提供设备开机率保证, 达到95%以上。</w:t>
            </w:r>
          </w:p>
        </w:tc>
      </w:tr>
      <w:tr w14:paraId="2E827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01546AC6">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4522" w:type="pct"/>
            <w:noWrap w:val="0"/>
            <w:vAlign w:val="center"/>
          </w:tcPr>
          <w:p w14:paraId="65275B7B">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在设备所在省设有一个、邻省不少于3个5年以上稳定的常驻服务机构（人员），其中人员具有与服务设备规格型号相同的原厂培训并考核合格的资质证明。投标人须提供其相关办事处详细地址与联系电话以供核实。</w:t>
            </w:r>
          </w:p>
        </w:tc>
      </w:tr>
      <w:tr w14:paraId="663A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30B6B2E5">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4522" w:type="pct"/>
            <w:shd w:val="clear" w:color="auto" w:fill="auto"/>
            <w:noWrap w:val="0"/>
            <w:vAlign w:val="center"/>
          </w:tcPr>
          <w:p w14:paraId="0499AAB3">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投标人必须具备客户服务专线电话。每年365天开通，每天开通服务时间不少于14小时，并有专人接听并全程协调资源，具备可视化中央控制和实时管理。</w:t>
            </w:r>
          </w:p>
        </w:tc>
      </w:tr>
      <w:tr w14:paraId="052EA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6F1D60C8">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4522" w:type="pct"/>
            <w:noWrap w:val="0"/>
            <w:vAlign w:val="center"/>
          </w:tcPr>
          <w:p w14:paraId="2B84466D">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2"/>
                <w:sz w:val="24"/>
                <w:szCs w:val="24"/>
                <w:highlight w:val="none"/>
                <w:u w:val="none"/>
                <w:lang w:val="en-US" w:eastAsia="zh-CN" w:bidi="ar"/>
              </w:rPr>
              <w:t>投标人具备常驻产品服务工程师≥3名。</w:t>
            </w:r>
            <w:r>
              <w:rPr>
                <w:rFonts w:hint="eastAsia" w:ascii="仿宋" w:hAnsi="仿宋" w:eastAsia="仿宋" w:cs="仿宋"/>
                <w:color w:val="auto"/>
                <w:sz w:val="24"/>
                <w:szCs w:val="24"/>
                <w:highlight w:val="none"/>
                <w:lang w:val="en-US" w:eastAsia="zh-CN"/>
              </w:rPr>
              <w:t>工程师响应周期为全年（法定节假日除外，响应时间须&lt;2小时，响应时间要求：投标人必须在接获报修电话后，提供突发性问题的解决措施及特殊紧急的合理化处理措施。到达现场时间&lt;48小时。</w:t>
            </w:r>
          </w:p>
        </w:tc>
      </w:tr>
      <w:tr w14:paraId="7B63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5E034DA5">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4522" w:type="pct"/>
            <w:noWrap w:val="0"/>
            <w:vAlign w:val="center"/>
          </w:tcPr>
          <w:p w14:paraId="0629B319">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每年提供设备4次定期保养，并提供符合原厂技术要求的保养报告。设备定期保养包含但不限于如下项目：设备清洁、系统性能测试及校准、必要的电气环境检测等。</w:t>
            </w:r>
          </w:p>
        </w:tc>
      </w:tr>
      <w:tr w14:paraId="5334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02C35971">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4522" w:type="pct"/>
            <w:noWrap w:val="0"/>
            <w:vAlign w:val="center"/>
          </w:tcPr>
          <w:p w14:paraId="3925C9F1">
            <w:pPr>
              <w:keepNext w:val="0"/>
              <w:keepLines w:val="0"/>
              <w:pageBreakBefore w:val="0"/>
              <w:kinsoku/>
              <w:wordWrap/>
              <w:overflowPunct/>
              <w:topLinePunct w:val="0"/>
              <w:autoSpaceDE/>
              <w:autoSpaceDN/>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★零备件供应：所有更换的零部件必须为原厂认证/测试合格件, 有追踪号码，线圈等关键部件，必须能提供相应的合法进口报关证明；并有全新磁体更换的能力，并提供5年内磁体海关报关单据复印件以资证明。</w:t>
            </w:r>
          </w:p>
        </w:tc>
      </w:tr>
      <w:tr w14:paraId="4BC4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57A5DC71">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4522" w:type="pct"/>
            <w:noWrap w:val="0"/>
            <w:vAlign w:val="top"/>
          </w:tcPr>
          <w:p w14:paraId="46B1AF7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top"/>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r>
              <w:rPr>
                <w:rFonts w:hint="eastAsia" w:ascii="仿宋" w:hAnsi="仿宋" w:eastAsia="仿宋" w:cs="仿宋"/>
                <w:i w:val="0"/>
                <w:iCs w:val="0"/>
                <w:color w:val="auto"/>
                <w:kern w:val="0"/>
                <w:sz w:val="24"/>
                <w:szCs w:val="24"/>
                <w:highlight w:val="none"/>
                <w:u w:val="none"/>
                <w:lang w:val="en-US" w:eastAsia="zh-CN" w:bidi="ar"/>
              </w:rPr>
              <w:t>投标人提供MR设备表面线圈保用，由投标人按线圈生产方的质量标准进行维修，维修期间投标人提供原厂的备用线圈。</w:t>
            </w:r>
          </w:p>
        </w:tc>
      </w:tr>
      <w:tr w14:paraId="7517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4EA167CD">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4522" w:type="pct"/>
            <w:noWrap w:val="0"/>
            <w:vAlign w:val="top"/>
          </w:tcPr>
          <w:p w14:paraId="73F4351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top"/>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提供制冷系统全保（制冷系统含冷头更换、氦压机、水冷机、吸附器，液氦添加，精密空调等）</w:t>
            </w:r>
          </w:p>
        </w:tc>
      </w:tr>
      <w:tr w14:paraId="495C1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677B3D9C">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4522" w:type="pct"/>
            <w:noWrap w:val="0"/>
            <w:vAlign w:val="top"/>
          </w:tcPr>
          <w:p w14:paraId="223EDA7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top"/>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投标人须具相关专用工具和设备：励磁、匀场工具&gt;=2套，梯度涡流校正工具至少一套，专用射频调试工具&gt;=2套，具有静电防护工具1套和相应安全防护用品，保证服务过程的安全性，并提供相应资料证明。</w:t>
            </w:r>
          </w:p>
        </w:tc>
      </w:tr>
      <w:tr w14:paraId="4597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7260DF64">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4522" w:type="pct"/>
            <w:noWrap w:val="0"/>
            <w:vAlign w:val="top"/>
          </w:tcPr>
          <w:p w14:paraId="5643D3F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★投标人配备有维修保养设备的全职的应用培训专家&gt;2人，能以现场的和远程的形式，提供临床扫描、图像处理和相应业务拓展的专业支持。提供人员姓名、职位及专业背景资料。</w:t>
            </w:r>
          </w:p>
        </w:tc>
      </w:tr>
      <w:tr w14:paraId="2A360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2A2CD48D">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4522" w:type="pct"/>
            <w:noWrap w:val="0"/>
            <w:vAlign w:val="top"/>
          </w:tcPr>
          <w:p w14:paraId="316E5F4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top"/>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MR设备提供原厂的 InSiteTM 数字化远程故障筛排系统，通过远程系统24小时不间断监测MR设备运行健康状况（液氦、制冷、温湿度、数据库系统、梯度、射频等核心信息），提供自动预警、主动预防型保障和维修方案。远程保养ePM：每年2次。</w:t>
            </w:r>
          </w:p>
        </w:tc>
      </w:tr>
      <w:tr w14:paraId="2F62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501D7B9E">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4522" w:type="pct"/>
            <w:noWrap w:val="0"/>
            <w:vAlign w:val="center"/>
          </w:tcPr>
          <w:p w14:paraId="408ADA4D">
            <w:pPr>
              <w:numPr>
                <w:ilvl w:val="0"/>
                <w:numId w:val="0"/>
              </w:numPr>
              <w:spacing w:line="360" w:lineRule="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报告工作站4套（每套包含6M彩色竖屏、工作站、升降阅片工位）。要求：6M专业医用显示器：显示尺寸≥30.4英寸、分辨率≥6MP（3280x2048像素）、最大亮度≥1050cd/m2、校准亮度≥600cd/m²、显示器侧面设置额外大功率USB端口、支持手机或其他移动设备的快速充电，内置一体化任务灯和壁灯照明；阅片工位：尺寸不小于 1.5m×0.75m（长×宽）专业阅片工位、电动升降调节三节625-1220mm、130公斤的承重噪音不超过35分贝、升降速度≥30mm/秒、支持</w:t>
            </w:r>
            <w:r>
              <w:rPr>
                <w:rFonts w:hint="eastAsia" w:ascii="仿宋" w:hAnsi="仿宋" w:eastAsia="仿宋" w:cs="仿宋"/>
                <w:i w:val="0"/>
                <w:iCs w:val="0"/>
                <w:color w:val="auto"/>
                <w:kern w:val="0"/>
                <w:sz w:val="24"/>
                <w:szCs w:val="24"/>
                <w:highlight w:val="none"/>
                <w:u w:val="none"/>
                <w:lang w:val="en-US" w:eastAsia="zh-Hans" w:bidi="ar"/>
              </w:rPr>
              <w:t>遇阻反弹</w:t>
            </w:r>
            <w:r>
              <w:rPr>
                <w:rFonts w:hint="eastAsia" w:ascii="仿宋" w:hAnsi="仿宋" w:eastAsia="仿宋" w:cs="仿宋"/>
                <w:i w:val="0"/>
                <w:iCs w:val="0"/>
                <w:color w:val="auto"/>
                <w:kern w:val="0"/>
                <w:sz w:val="24"/>
                <w:szCs w:val="24"/>
                <w:highlight w:val="none"/>
                <w:u w:val="none"/>
                <w:lang w:val="en-US" w:eastAsia="zh-CN" w:bidi="ar"/>
              </w:rPr>
              <w:t>；工作站：品牌主机、处理器I5以上、内存≥8GB、硬盘≥1T固态、Win11系统、显示器≥23寸</w:t>
            </w:r>
          </w:p>
        </w:tc>
      </w:tr>
      <w:tr w14:paraId="2403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77" w:type="pct"/>
            <w:noWrap w:val="0"/>
            <w:vAlign w:val="center"/>
          </w:tcPr>
          <w:p w14:paraId="2EF6B154">
            <w:pPr>
              <w:keepNext w:val="0"/>
              <w:keepLines w:val="0"/>
              <w:pageBreakBefore w:val="0"/>
              <w:kinsoku/>
              <w:wordWrap/>
              <w:overflowPunct/>
              <w:topLinePunct w:val="0"/>
              <w:autoSpaceDE/>
              <w:autoSpaceDN/>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4522" w:type="pct"/>
            <w:noWrap w:val="0"/>
            <w:vAlign w:val="center"/>
          </w:tcPr>
          <w:p w14:paraId="1BDC88F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top"/>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人员培训：如院内或外出培训技术、诊断培训1次/年，3年共3次，每次不少于2天</w:t>
            </w:r>
          </w:p>
        </w:tc>
      </w:tr>
    </w:tbl>
    <w:p w14:paraId="677107FB">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bCs/>
          <w:color w:val="auto"/>
          <w:sz w:val="24"/>
          <w:highlight w:val="none"/>
          <w:lang w:val="en-US" w:eastAsia="zh-CN"/>
        </w:rPr>
      </w:pPr>
    </w:p>
    <w:p w14:paraId="3053ED0C">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A2B985F">
      <w:pPr>
        <w:spacing w:line="360" w:lineRule="auto"/>
        <w:rPr>
          <w:rFonts w:hint="eastAsia" w:ascii="仿宋" w:hAnsi="仿宋" w:eastAsia="仿宋" w:cs="仿宋"/>
          <w:color w:val="auto"/>
          <w:highlight w:val="none"/>
        </w:rPr>
      </w:pPr>
    </w:p>
    <w:p w14:paraId="1194932A">
      <w:pPr>
        <w:spacing w:line="360" w:lineRule="auto"/>
        <w:rPr>
          <w:rFonts w:hint="eastAsia" w:ascii="仿宋" w:hAnsi="仿宋" w:eastAsia="仿宋" w:cs="仿宋"/>
          <w:color w:val="auto"/>
          <w:highlight w:val="none"/>
        </w:rPr>
      </w:pPr>
    </w:p>
    <w:p w14:paraId="3999371A">
      <w:pPr>
        <w:pStyle w:val="12"/>
        <w:spacing w:line="360" w:lineRule="auto"/>
        <w:rPr>
          <w:rFonts w:hint="eastAsia" w:ascii="仿宋" w:hAnsi="仿宋" w:eastAsia="仿宋" w:cs="仿宋"/>
          <w:color w:val="auto"/>
          <w:highlight w:val="none"/>
        </w:rPr>
      </w:pPr>
    </w:p>
    <w:p w14:paraId="0D5865A5">
      <w:pPr>
        <w:spacing w:line="360" w:lineRule="auto"/>
        <w:rPr>
          <w:rFonts w:hint="eastAsia" w:ascii="仿宋" w:hAnsi="仿宋" w:eastAsia="仿宋" w:cs="仿宋"/>
          <w:color w:val="auto"/>
          <w:highlight w:val="none"/>
        </w:rPr>
      </w:pPr>
    </w:p>
    <w:p w14:paraId="630258CA">
      <w:pPr>
        <w:pStyle w:val="12"/>
        <w:spacing w:line="360" w:lineRule="auto"/>
        <w:rPr>
          <w:rFonts w:hint="eastAsia" w:ascii="仿宋" w:hAnsi="仿宋" w:eastAsia="仿宋" w:cs="仿宋"/>
          <w:color w:val="auto"/>
          <w:highlight w:val="none"/>
        </w:rPr>
      </w:pPr>
    </w:p>
    <w:p w14:paraId="10CF2760">
      <w:pPr>
        <w:spacing w:line="360" w:lineRule="auto"/>
        <w:rPr>
          <w:rFonts w:hint="eastAsia" w:ascii="仿宋" w:hAnsi="仿宋" w:eastAsia="仿宋" w:cs="仿宋"/>
          <w:color w:val="auto"/>
          <w:highlight w:val="none"/>
        </w:rPr>
      </w:pPr>
    </w:p>
    <w:p w14:paraId="497805F2">
      <w:pPr>
        <w:pStyle w:val="12"/>
        <w:spacing w:line="360" w:lineRule="auto"/>
        <w:rPr>
          <w:rFonts w:hint="eastAsia" w:ascii="仿宋" w:hAnsi="仿宋" w:eastAsia="仿宋" w:cs="仿宋"/>
          <w:color w:val="auto"/>
          <w:highlight w:val="none"/>
        </w:rPr>
      </w:pPr>
    </w:p>
    <w:p w14:paraId="05AC0307">
      <w:pPr>
        <w:spacing w:line="360" w:lineRule="auto"/>
        <w:rPr>
          <w:rFonts w:hint="eastAsia" w:ascii="仿宋" w:hAnsi="仿宋" w:eastAsia="仿宋" w:cs="仿宋"/>
          <w:color w:val="auto"/>
          <w:highlight w:val="none"/>
        </w:rPr>
      </w:pPr>
    </w:p>
    <w:p w14:paraId="28FAFD39">
      <w:pPr>
        <w:pStyle w:val="12"/>
        <w:spacing w:line="360" w:lineRule="auto"/>
        <w:rPr>
          <w:rFonts w:hint="eastAsia" w:ascii="仿宋" w:hAnsi="仿宋" w:eastAsia="仿宋" w:cs="仿宋"/>
          <w:color w:val="auto"/>
          <w:highlight w:val="none"/>
        </w:rPr>
      </w:pPr>
    </w:p>
    <w:p w14:paraId="0F6867A2">
      <w:pPr>
        <w:spacing w:line="360" w:lineRule="auto"/>
        <w:rPr>
          <w:rFonts w:hint="eastAsia" w:ascii="仿宋" w:hAnsi="仿宋" w:eastAsia="仿宋" w:cs="仿宋"/>
          <w:color w:val="auto"/>
          <w:highlight w:val="none"/>
        </w:rPr>
      </w:pPr>
    </w:p>
    <w:p w14:paraId="15F3EEA1">
      <w:pPr>
        <w:pStyle w:val="12"/>
        <w:spacing w:line="360" w:lineRule="auto"/>
        <w:rPr>
          <w:rFonts w:hint="eastAsia" w:ascii="仿宋" w:hAnsi="仿宋" w:eastAsia="仿宋" w:cs="仿宋"/>
          <w:color w:val="auto"/>
          <w:highlight w:val="none"/>
        </w:rPr>
      </w:pPr>
    </w:p>
    <w:p w14:paraId="662CF175">
      <w:pPr>
        <w:spacing w:line="360" w:lineRule="auto"/>
        <w:rPr>
          <w:rFonts w:hint="eastAsia" w:ascii="仿宋" w:hAnsi="仿宋" w:eastAsia="仿宋" w:cs="仿宋"/>
          <w:color w:val="auto"/>
          <w:highlight w:val="none"/>
        </w:rPr>
      </w:pPr>
    </w:p>
    <w:p w14:paraId="3DAF6D36">
      <w:pPr>
        <w:spacing w:line="360" w:lineRule="auto"/>
        <w:rPr>
          <w:rFonts w:hint="eastAsia" w:ascii="仿宋" w:hAnsi="仿宋" w:eastAsia="仿宋" w:cs="仿宋"/>
          <w:color w:val="auto"/>
          <w:highlight w:val="none"/>
        </w:rPr>
      </w:pPr>
    </w:p>
    <w:p w14:paraId="29D0C635">
      <w:pPr>
        <w:spacing w:line="360" w:lineRule="auto"/>
        <w:rPr>
          <w:rFonts w:hint="eastAsia" w:ascii="仿宋" w:hAnsi="仿宋" w:eastAsia="仿宋" w:cs="仿宋"/>
          <w:color w:val="auto"/>
          <w:highlight w:val="none"/>
        </w:rPr>
      </w:pPr>
    </w:p>
    <w:p w14:paraId="220BEBF5">
      <w:pPr>
        <w:pStyle w:val="2"/>
        <w:numPr>
          <w:ilvl w:val="0"/>
          <w:numId w:val="0"/>
        </w:numPr>
        <w:spacing w:line="360" w:lineRule="auto"/>
        <w:jc w:val="center"/>
        <w:rPr>
          <w:rFonts w:hint="eastAsia" w:ascii="仿宋" w:hAnsi="仿宋" w:eastAsia="仿宋" w:cs="仿宋"/>
          <w:color w:val="auto"/>
          <w:sz w:val="32"/>
          <w:szCs w:val="32"/>
          <w:highlight w:val="none"/>
        </w:rPr>
      </w:pPr>
      <w:bookmarkStart w:id="181" w:name="_Toc3429"/>
      <w:r>
        <w:rPr>
          <w:rFonts w:hint="eastAsia" w:ascii="仿宋" w:hAnsi="仿宋" w:eastAsia="仿宋" w:cs="仿宋"/>
          <w:color w:val="auto"/>
          <w:sz w:val="32"/>
          <w:szCs w:val="32"/>
          <w:highlight w:val="none"/>
        </w:rPr>
        <w:t>第五章  响应文件格式</w:t>
      </w:r>
      <w:bookmarkEnd w:id="179"/>
      <w:bookmarkEnd w:id="181"/>
    </w:p>
    <w:p w14:paraId="7A155311">
      <w:pPr>
        <w:pStyle w:val="16"/>
        <w:spacing w:line="360" w:lineRule="auto"/>
        <w:jc w:val="center"/>
        <w:rPr>
          <w:rFonts w:hint="eastAsia" w:ascii="仿宋" w:hAnsi="仿宋" w:eastAsia="仿宋" w:cs="仿宋"/>
          <w:bCs/>
          <w:color w:val="auto"/>
          <w:szCs w:val="32"/>
          <w:highlight w:val="none"/>
        </w:rPr>
      </w:pPr>
      <w:r>
        <w:rPr>
          <w:rFonts w:hint="eastAsia" w:ascii="仿宋" w:hAnsi="仿宋" w:eastAsia="仿宋" w:cs="仿宋"/>
          <w:bCs/>
          <w:color w:val="auto"/>
          <w:szCs w:val="32"/>
          <w:highlight w:val="none"/>
        </w:rPr>
        <w:br w:type="page"/>
      </w:r>
    </w:p>
    <w:p w14:paraId="18FDFA3C">
      <w:pPr>
        <w:pStyle w:val="16"/>
        <w:spacing w:line="360" w:lineRule="auto"/>
        <w:jc w:val="center"/>
        <w:rPr>
          <w:rFonts w:hint="eastAsia" w:ascii="仿宋" w:hAnsi="仿宋" w:eastAsia="仿宋" w:cs="仿宋"/>
          <w:b/>
          <w:color w:val="auto"/>
          <w:sz w:val="36"/>
          <w:szCs w:val="36"/>
          <w:highlight w:val="none"/>
          <w:u w:val="single"/>
        </w:rPr>
      </w:pPr>
    </w:p>
    <w:p w14:paraId="31F7D86C">
      <w:pPr>
        <w:pStyle w:val="16"/>
        <w:spacing w:line="360" w:lineRule="auto"/>
        <w:jc w:val="center"/>
        <w:rPr>
          <w:rFonts w:hint="eastAsia" w:ascii="仿宋" w:hAnsi="仿宋" w:eastAsia="仿宋" w:cs="仿宋"/>
          <w:b/>
          <w:color w:val="auto"/>
          <w:sz w:val="36"/>
          <w:szCs w:val="36"/>
          <w:highlight w:val="none"/>
          <w:u w:val="single"/>
        </w:rPr>
      </w:pPr>
    </w:p>
    <w:p w14:paraId="5DB0908B">
      <w:pPr>
        <w:pStyle w:val="16"/>
        <w:spacing w:line="360" w:lineRule="auto"/>
        <w:jc w:val="center"/>
        <w:rPr>
          <w:rFonts w:hint="eastAsia" w:ascii="仿宋" w:hAnsi="仿宋" w:eastAsia="仿宋" w:cs="仿宋"/>
          <w:b/>
          <w:color w:val="auto"/>
          <w:sz w:val="36"/>
          <w:szCs w:val="36"/>
          <w:highlight w:val="none"/>
          <w:u w:val="single"/>
        </w:rPr>
      </w:pPr>
      <w:r>
        <w:rPr>
          <w:rFonts w:hint="eastAsia" w:ascii="仿宋" w:hAnsi="仿宋" w:eastAsia="仿宋" w:cs="仿宋"/>
          <w:b/>
          <w:color w:val="auto"/>
          <w:sz w:val="36"/>
          <w:szCs w:val="36"/>
          <w:highlight w:val="none"/>
          <w:u w:val="single"/>
        </w:rPr>
        <w:t xml:space="preserve"> </w:t>
      </w:r>
      <w:r>
        <w:rPr>
          <w:rFonts w:hint="eastAsia" w:ascii="仿宋" w:hAnsi="仿宋" w:eastAsia="仿宋" w:cs="仿宋"/>
          <w:b/>
          <w:color w:val="auto"/>
          <w:sz w:val="46"/>
          <w:szCs w:val="44"/>
          <w:highlight w:val="none"/>
          <w:u w:val="single"/>
        </w:rPr>
        <w:t xml:space="preserve">              </w:t>
      </w:r>
      <w:r>
        <w:rPr>
          <w:rFonts w:hint="eastAsia" w:ascii="仿宋" w:hAnsi="仿宋" w:eastAsia="仿宋" w:cs="仿宋"/>
          <w:b/>
          <w:color w:val="auto"/>
          <w:sz w:val="46"/>
          <w:szCs w:val="44"/>
          <w:highlight w:val="none"/>
        </w:rPr>
        <w:t>（</w:t>
      </w:r>
      <w:r>
        <w:rPr>
          <w:rFonts w:hint="eastAsia" w:ascii="仿宋" w:hAnsi="仿宋" w:eastAsia="仿宋" w:cs="仿宋"/>
          <w:b/>
          <w:color w:val="auto"/>
          <w:sz w:val="46"/>
          <w:szCs w:val="44"/>
          <w:highlight w:val="none"/>
          <w:lang w:val="en-US" w:eastAsia="zh-CN"/>
        </w:rPr>
        <w:t>项目</w:t>
      </w:r>
      <w:r>
        <w:rPr>
          <w:rFonts w:hint="eastAsia" w:ascii="仿宋" w:hAnsi="仿宋" w:eastAsia="仿宋" w:cs="仿宋"/>
          <w:b/>
          <w:color w:val="auto"/>
          <w:sz w:val="46"/>
          <w:szCs w:val="44"/>
          <w:highlight w:val="none"/>
          <w:lang w:eastAsia="zh-CN"/>
        </w:rPr>
        <w:t>名称</w:t>
      </w:r>
      <w:r>
        <w:rPr>
          <w:rFonts w:hint="eastAsia" w:ascii="仿宋" w:hAnsi="仿宋" w:eastAsia="仿宋" w:cs="仿宋"/>
          <w:b/>
          <w:color w:val="auto"/>
          <w:sz w:val="46"/>
          <w:szCs w:val="44"/>
          <w:highlight w:val="none"/>
        </w:rPr>
        <w:t>）</w:t>
      </w:r>
    </w:p>
    <w:p w14:paraId="756CC470">
      <w:pPr>
        <w:pStyle w:val="16"/>
        <w:spacing w:line="360" w:lineRule="auto"/>
        <w:jc w:val="center"/>
        <w:rPr>
          <w:rFonts w:hint="eastAsia" w:ascii="仿宋" w:hAnsi="仿宋" w:eastAsia="仿宋" w:cs="仿宋"/>
          <w:b/>
          <w:bCs/>
          <w:color w:val="auto"/>
          <w:sz w:val="28"/>
          <w:highlight w:val="none"/>
        </w:rPr>
      </w:pPr>
    </w:p>
    <w:p w14:paraId="3ABAD26E">
      <w:pPr>
        <w:pStyle w:val="16"/>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bCs/>
          <w:color w:val="auto"/>
          <w:sz w:val="28"/>
          <w:highlight w:val="none"/>
        </w:rPr>
        <w:t>（</w:t>
      </w:r>
      <w:r>
        <w:rPr>
          <w:rFonts w:hint="eastAsia" w:ascii="仿宋" w:hAnsi="仿宋" w:eastAsia="仿宋" w:cs="仿宋"/>
          <w:b/>
          <w:bCs/>
          <w:color w:val="auto"/>
          <w:sz w:val="28"/>
          <w:highlight w:val="none"/>
          <w:lang w:val="en-US" w:eastAsia="zh-CN"/>
        </w:rPr>
        <w:t>项目</w:t>
      </w:r>
      <w:r>
        <w:rPr>
          <w:rFonts w:hint="eastAsia" w:ascii="仿宋" w:hAnsi="仿宋" w:eastAsia="仿宋" w:cs="仿宋"/>
          <w:b/>
          <w:bCs/>
          <w:color w:val="auto"/>
          <w:sz w:val="28"/>
          <w:highlight w:val="none"/>
          <w:lang w:eastAsia="zh-CN"/>
        </w:rPr>
        <w:t>编号</w:t>
      </w:r>
      <w:r>
        <w:rPr>
          <w:rFonts w:hint="eastAsia" w:ascii="仿宋" w:hAnsi="仿宋" w:eastAsia="仿宋" w:cs="仿宋"/>
          <w:b/>
          <w:bCs/>
          <w:color w:val="auto"/>
          <w:sz w:val="28"/>
          <w:highlight w:val="none"/>
        </w:rPr>
        <w:t>：</w:t>
      </w:r>
      <w:r>
        <w:rPr>
          <w:rFonts w:hint="eastAsia" w:ascii="仿宋" w:hAnsi="仿宋" w:eastAsia="仿宋" w:cs="仿宋"/>
          <w:b/>
          <w:bCs/>
          <w:color w:val="auto"/>
          <w:sz w:val="28"/>
          <w:highlight w:val="none"/>
          <w:u w:val="single"/>
        </w:rPr>
        <w:t xml:space="preserve">                    </w:t>
      </w:r>
      <w:r>
        <w:rPr>
          <w:rFonts w:hint="eastAsia" w:ascii="仿宋" w:hAnsi="仿宋" w:eastAsia="仿宋" w:cs="仿宋"/>
          <w:b/>
          <w:bCs/>
          <w:color w:val="auto"/>
          <w:sz w:val="28"/>
          <w:highlight w:val="none"/>
        </w:rPr>
        <w:t>）</w:t>
      </w:r>
    </w:p>
    <w:p w14:paraId="1A1FD05D">
      <w:pPr>
        <w:pStyle w:val="16"/>
        <w:spacing w:line="360" w:lineRule="auto"/>
        <w:jc w:val="center"/>
        <w:rPr>
          <w:rFonts w:hint="eastAsia" w:ascii="仿宋" w:hAnsi="仿宋" w:eastAsia="仿宋" w:cs="仿宋"/>
          <w:b/>
          <w:color w:val="auto"/>
          <w:sz w:val="32"/>
          <w:szCs w:val="32"/>
          <w:highlight w:val="none"/>
        </w:rPr>
      </w:pPr>
    </w:p>
    <w:p w14:paraId="51677E54">
      <w:pPr>
        <w:pStyle w:val="16"/>
        <w:spacing w:line="360" w:lineRule="auto"/>
        <w:jc w:val="center"/>
        <w:rPr>
          <w:rFonts w:hint="eastAsia" w:ascii="仿宋" w:hAnsi="仿宋" w:eastAsia="仿宋" w:cs="仿宋"/>
          <w:b/>
          <w:color w:val="auto"/>
          <w:sz w:val="72"/>
          <w:szCs w:val="72"/>
          <w:highlight w:val="none"/>
        </w:rPr>
      </w:pPr>
    </w:p>
    <w:p w14:paraId="12CC057B">
      <w:pPr>
        <w:pStyle w:val="16"/>
        <w:spacing w:line="360" w:lineRule="auto"/>
        <w:jc w:val="center"/>
        <w:rPr>
          <w:rFonts w:hint="eastAsia" w:ascii="仿宋" w:hAnsi="仿宋" w:eastAsia="仿宋" w:cs="仿宋"/>
          <w:b/>
          <w:color w:val="auto"/>
          <w:sz w:val="74"/>
          <w:szCs w:val="72"/>
          <w:highlight w:val="none"/>
        </w:rPr>
      </w:pPr>
    </w:p>
    <w:p w14:paraId="0CF307C4">
      <w:pPr>
        <w:pStyle w:val="16"/>
        <w:spacing w:line="360" w:lineRule="auto"/>
        <w:jc w:val="center"/>
        <w:rPr>
          <w:rFonts w:hint="eastAsia" w:ascii="仿宋" w:hAnsi="仿宋" w:eastAsia="仿宋" w:cs="仿宋"/>
          <w:b/>
          <w:color w:val="auto"/>
          <w:sz w:val="74"/>
          <w:szCs w:val="72"/>
          <w:highlight w:val="none"/>
        </w:rPr>
      </w:pPr>
    </w:p>
    <w:p w14:paraId="042B86A0">
      <w:pPr>
        <w:pStyle w:val="16"/>
        <w:spacing w:line="360" w:lineRule="auto"/>
        <w:jc w:val="center"/>
        <w:rPr>
          <w:rFonts w:hint="eastAsia" w:ascii="仿宋" w:hAnsi="仿宋" w:eastAsia="仿宋" w:cs="仿宋"/>
          <w:b/>
          <w:color w:val="auto"/>
          <w:sz w:val="74"/>
          <w:szCs w:val="72"/>
          <w:highlight w:val="none"/>
        </w:rPr>
      </w:pPr>
      <w:r>
        <w:rPr>
          <w:rFonts w:hint="eastAsia" w:ascii="仿宋" w:hAnsi="仿宋" w:eastAsia="仿宋" w:cs="仿宋"/>
          <w:b/>
          <w:color w:val="auto"/>
          <w:sz w:val="74"/>
          <w:szCs w:val="72"/>
          <w:highlight w:val="none"/>
        </w:rPr>
        <w:t>响 应 文 件</w:t>
      </w:r>
    </w:p>
    <w:p w14:paraId="4CAEBFA5">
      <w:pPr>
        <w:pStyle w:val="16"/>
        <w:spacing w:line="360" w:lineRule="auto"/>
        <w:ind w:firstLine="3586" w:firstLineChars="1281"/>
        <w:rPr>
          <w:rFonts w:hint="eastAsia" w:ascii="仿宋" w:hAnsi="仿宋" w:eastAsia="仿宋" w:cs="仿宋"/>
          <w:b/>
          <w:color w:val="auto"/>
          <w:sz w:val="28"/>
          <w:szCs w:val="28"/>
          <w:highlight w:val="none"/>
          <w:u w:val="single"/>
        </w:rPr>
      </w:pPr>
    </w:p>
    <w:p w14:paraId="12E28474">
      <w:pPr>
        <w:pStyle w:val="16"/>
        <w:spacing w:line="360" w:lineRule="auto"/>
        <w:jc w:val="center"/>
        <w:rPr>
          <w:rFonts w:hint="eastAsia" w:ascii="仿宋" w:hAnsi="仿宋" w:eastAsia="仿宋" w:cs="仿宋"/>
          <w:b/>
          <w:color w:val="auto"/>
          <w:sz w:val="72"/>
          <w:szCs w:val="72"/>
          <w:highlight w:val="none"/>
        </w:rPr>
      </w:pPr>
    </w:p>
    <w:p w14:paraId="45B4B186">
      <w:pPr>
        <w:pStyle w:val="16"/>
        <w:spacing w:line="360" w:lineRule="auto"/>
        <w:jc w:val="center"/>
        <w:rPr>
          <w:rFonts w:hint="eastAsia" w:ascii="仿宋" w:hAnsi="仿宋" w:eastAsia="仿宋" w:cs="仿宋"/>
          <w:b/>
          <w:color w:val="auto"/>
          <w:sz w:val="72"/>
          <w:szCs w:val="72"/>
          <w:highlight w:val="none"/>
        </w:rPr>
      </w:pPr>
    </w:p>
    <w:p w14:paraId="62A905DD">
      <w:pPr>
        <w:pStyle w:val="16"/>
        <w:spacing w:line="360" w:lineRule="auto"/>
        <w:jc w:val="center"/>
        <w:rPr>
          <w:rFonts w:hint="eastAsia" w:ascii="仿宋" w:hAnsi="仿宋" w:eastAsia="仿宋" w:cs="仿宋"/>
          <w:b/>
          <w:color w:val="auto"/>
          <w:sz w:val="72"/>
          <w:szCs w:val="72"/>
          <w:highlight w:val="none"/>
        </w:rPr>
      </w:pPr>
    </w:p>
    <w:p w14:paraId="31B18DC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电子公章</w:t>
      </w:r>
      <w:r>
        <w:rPr>
          <w:rFonts w:hint="eastAsia" w:ascii="仿宋" w:hAnsi="仿宋" w:eastAsia="仿宋" w:cs="仿宋"/>
          <w:color w:val="auto"/>
          <w:sz w:val="24"/>
          <w:highlight w:val="none"/>
          <w:lang w:eastAsia="zh-CN"/>
        </w:rPr>
        <w:t>）</w:t>
      </w:r>
    </w:p>
    <w:p w14:paraId="642E54F3">
      <w:pPr>
        <w:pStyle w:val="16"/>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电子签字</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val="en-US" w:eastAsia="zh-CN"/>
        </w:rPr>
        <w:t>电子签</w:t>
      </w:r>
      <w:r>
        <w:rPr>
          <w:rFonts w:hint="eastAsia" w:ascii="仿宋" w:hAnsi="仿宋" w:eastAsia="仿宋" w:cs="仿宋"/>
          <w:color w:val="auto"/>
          <w:sz w:val="24"/>
          <w:highlight w:val="none"/>
        </w:rPr>
        <w:t>章）</w:t>
      </w:r>
    </w:p>
    <w:p w14:paraId="665B074F">
      <w:pPr>
        <w:pStyle w:val="16"/>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u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6E260E8">
      <w:pPr>
        <w:numPr>
          <w:ilvl w:val="0"/>
          <w:numId w:val="2"/>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color w:val="auto"/>
          <w:sz w:val="28"/>
          <w:szCs w:val="28"/>
          <w:highlight w:val="none"/>
        </w:rPr>
        <w:br w:type="page"/>
      </w:r>
      <w:bookmarkStart w:id="182" w:name="_Toc22458"/>
      <w:bookmarkStart w:id="183" w:name="_Toc113545610"/>
      <w:bookmarkStart w:id="184" w:name="_Toc19250"/>
      <w:r>
        <w:rPr>
          <w:rFonts w:hint="eastAsia" w:ascii="仿宋" w:hAnsi="仿宋" w:eastAsia="仿宋" w:cs="仿宋"/>
          <w:b/>
          <w:bCs/>
          <w:color w:val="auto"/>
          <w:sz w:val="32"/>
          <w:szCs w:val="32"/>
          <w:highlight w:val="none"/>
        </w:rPr>
        <w:t>资格证明文件</w:t>
      </w:r>
      <w:bookmarkEnd w:id="182"/>
      <w:bookmarkEnd w:id="183"/>
      <w:bookmarkEnd w:id="184"/>
    </w:p>
    <w:p w14:paraId="6560B4B5">
      <w:pPr>
        <w:keepNext w:val="0"/>
        <w:keepLines w:val="0"/>
        <w:pageBreakBefore w:val="0"/>
        <w:widowControl/>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szCs w:val="21"/>
          <w:highlight w:val="none"/>
          <w:lang w:val="en-US" w:eastAsia="zh-CN" w:bidi="ar"/>
        </w:rPr>
        <w:t>供应商</w:t>
      </w:r>
      <w:r>
        <w:rPr>
          <w:rFonts w:hint="eastAsia" w:ascii="仿宋" w:hAnsi="仿宋" w:eastAsia="仿宋" w:cs="仿宋"/>
          <w:color w:val="auto"/>
          <w:sz w:val="24"/>
          <w:highlight w:val="none"/>
        </w:rPr>
        <w:t>应根据招标资格条件要求填写和提交有关资料证明材料，并保证所有证明材料真实准确。</w:t>
      </w:r>
    </w:p>
    <w:p w14:paraId="61BF3FAC">
      <w:pPr>
        <w:keepNext w:val="0"/>
        <w:keepLines w:val="0"/>
        <w:pageBreakBefore w:val="0"/>
        <w:kinsoku/>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bCs/>
          <w:color w:val="auto"/>
          <w:sz w:val="24"/>
          <w:szCs w:val="24"/>
          <w:highlight w:val="none"/>
        </w:rPr>
      </w:pPr>
      <w:bookmarkStart w:id="185" w:name="_Toc9391"/>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满足《中华人民共和国政府采购法》第二十二条规定；</w:t>
      </w:r>
      <w:bookmarkEnd w:id="185"/>
    </w:p>
    <w:p w14:paraId="02F9665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1.1供应商须具有独立承担民事责任的能力：提供法人或者其他组织的营业执照等证明文件；</w:t>
      </w:r>
    </w:p>
    <w:p w14:paraId="5BEFD5B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1.2供应商须具有良好的商业信誉和健全的财务会计制度，提供相关证明材料或书面声明；</w:t>
      </w:r>
    </w:p>
    <w:p w14:paraId="32B8FC9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1.3供应商须具有履行合同所必需的设备和专业技术能力，提供相关证明材料或书面声明；</w:t>
      </w:r>
    </w:p>
    <w:p w14:paraId="7EA020C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1.4供应商须具有依法缴纳税收和社会保障资金的良好记录：</w:t>
      </w:r>
    </w:p>
    <w:p w14:paraId="236AD5B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1.4.1供应商须提供缴税所属时间在本项目响应文件提交截止时间前任意1个月的税务局税收通用缴款书或银行电子缴税（费）凭证或税务局出具纳税情况的相关证明；成立未满1个月的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0"/>
          <w:sz w:val="24"/>
          <w:szCs w:val="21"/>
          <w:highlight w:val="none"/>
          <w:lang w:val="en-US" w:eastAsia="zh-CN" w:bidi="ar"/>
        </w:rPr>
        <w:t>提供成立以来的税收缴纳凭证或相关情况说明；依法免税的，应提供依法免税的相关证明文件；</w:t>
      </w:r>
    </w:p>
    <w:p w14:paraId="75BE9EE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1.4.2供应商须提供缴费所属时间在本项目响应文件提交截止时间前任意1个月的社会保险费缴款书或银行电子缴税（费）凭证或社保管理部门出具的有效的缴款证明；成立未满1个月的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0"/>
          <w:sz w:val="24"/>
          <w:szCs w:val="21"/>
          <w:highlight w:val="none"/>
          <w:lang w:val="en-US" w:eastAsia="zh-CN" w:bidi="ar"/>
        </w:rPr>
        <w:t>提供成立以来的税收缴纳凭证或相关情况说明；依法免缴的，应提供依法免缴的相关证明文件；</w:t>
      </w:r>
    </w:p>
    <w:p w14:paraId="47A3FF8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1.5供应商参加政府采购活动前三年内，在经营活动中没有重大违法记录（重大违法记录，是指</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0"/>
          <w:sz w:val="24"/>
          <w:szCs w:val="21"/>
          <w:highlight w:val="none"/>
          <w:lang w:val="en-US" w:eastAsia="zh-CN" w:bidi="ar"/>
        </w:rPr>
        <w:t>因违法经营受到刑事处罚或者责令停产停业、吊销许可证或者执照、较大数额罚款等行政处罚）的书面声明；</w:t>
      </w:r>
    </w:p>
    <w:p w14:paraId="25CCD94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1"/>
          <w:highlight w:val="none"/>
          <w:lang w:val="en-US" w:eastAsia="zh-CN" w:bidi="ar"/>
        </w:rPr>
      </w:pPr>
      <w:r>
        <w:rPr>
          <w:rFonts w:hint="eastAsia" w:ascii="仿宋" w:hAnsi="仿宋" w:eastAsia="仿宋" w:cs="仿宋"/>
          <w:color w:val="auto"/>
          <w:kern w:val="0"/>
          <w:sz w:val="24"/>
          <w:szCs w:val="21"/>
          <w:highlight w:val="none"/>
          <w:lang w:val="en-US" w:eastAsia="zh-CN" w:bidi="ar"/>
        </w:rPr>
        <w:t>1.6法律、行政法规规定的其他条件：（1）供应商未被列入“信用中国”网站（www.creditchina.gov.cn）失信被执行人、税收违法黑名单、政府采购严重违法失信行为记录名单及中国政府采购网（www.ccgp.gov.cn）“政府采购严重违法失信行为信息记录”。采购代理机构将于开标结束后对供应商上述信用信息进行查询核对。供应商存在不良信用记录的，不得参与政府采购活动。（2）单位负责人为同一人或者存在直接控股、管理关系的不同</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0"/>
          <w:sz w:val="24"/>
          <w:szCs w:val="21"/>
          <w:highlight w:val="none"/>
          <w:lang w:val="en-US" w:eastAsia="zh-CN" w:bidi="ar"/>
        </w:rPr>
        <w:t>，不得参加同一合同项下的政府采购活动。</w:t>
      </w:r>
    </w:p>
    <w:p w14:paraId="186FEBDD">
      <w:pPr>
        <w:rPr>
          <w:rFonts w:hint="eastAsia" w:ascii="仿宋" w:hAnsi="仿宋" w:eastAsia="仿宋" w:cs="仿宋"/>
          <w:b/>
          <w:color w:val="auto"/>
          <w:spacing w:val="40"/>
          <w:sz w:val="32"/>
          <w:szCs w:val="20"/>
          <w:highlight w:val="none"/>
        </w:rPr>
      </w:pPr>
      <w:bookmarkStart w:id="186" w:name="_Toc1782"/>
      <w:bookmarkStart w:id="187" w:name="_Toc9389"/>
      <w:r>
        <w:rPr>
          <w:rFonts w:hint="eastAsia" w:ascii="仿宋" w:hAnsi="仿宋" w:eastAsia="仿宋" w:cs="仿宋"/>
          <w:b/>
          <w:color w:val="auto"/>
          <w:spacing w:val="40"/>
          <w:sz w:val="32"/>
          <w:szCs w:val="20"/>
          <w:highlight w:val="none"/>
        </w:rPr>
        <w:br w:type="page"/>
      </w:r>
    </w:p>
    <w:p w14:paraId="0D12AC29">
      <w:pPr>
        <w:widowControl/>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pacing w:val="40"/>
          <w:sz w:val="32"/>
          <w:szCs w:val="20"/>
          <w:highlight w:val="none"/>
        </w:rPr>
        <w:t>二、报价及</w:t>
      </w:r>
      <w:r>
        <w:rPr>
          <w:rFonts w:hint="eastAsia" w:ascii="仿宋" w:hAnsi="仿宋" w:eastAsia="仿宋" w:cs="仿宋"/>
          <w:b/>
          <w:color w:val="auto"/>
          <w:spacing w:val="40"/>
          <w:sz w:val="32"/>
          <w:szCs w:val="20"/>
          <w:highlight w:val="none"/>
          <w:lang w:val="en-US" w:eastAsia="zh-CN"/>
        </w:rPr>
        <w:t>商务</w:t>
      </w:r>
      <w:r>
        <w:rPr>
          <w:rFonts w:hint="eastAsia" w:ascii="仿宋" w:hAnsi="仿宋" w:eastAsia="仿宋" w:cs="仿宋"/>
          <w:b/>
          <w:color w:val="auto"/>
          <w:spacing w:val="40"/>
          <w:sz w:val="32"/>
          <w:szCs w:val="20"/>
          <w:highlight w:val="none"/>
        </w:rPr>
        <w:t>部分</w:t>
      </w:r>
      <w:bookmarkEnd w:id="186"/>
      <w:bookmarkEnd w:id="187"/>
    </w:p>
    <w:p w14:paraId="0133B790">
      <w:pPr>
        <w:widowControl/>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w:t>
      </w:r>
      <w:r>
        <w:rPr>
          <w:rFonts w:hint="eastAsia" w:ascii="仿宋" w:hAnsi="仿宋" w:eastAsia="仿宋" w:cs="仿宋"/>
          <w:b/>
          <w:color w:val="auto"/>
          <w:sz w:val="28"/>
          <w:szCs w:val="28"/>
          <w:highlight w:val="none"/>
        </w:rPr>
        <w:t>：</w:t>
      </w:r>
    </w:p>
    <w:p w14:paraId="10A0079B">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line="360" w:lineRule="auto"/>
        <w:jc w:val="center"/>
        <w:textAlignment w:val="auto"/>
        <w:outlineLvl w:val="9"/>
        <w:rPr>
          <w:rFonts w:hint="eastAsia" w:ascii="仿宋" w:hAnsi="仿宋" w:eastAsia="仿宋" w:cs="仿宋"/>
          <w:b/>
          <w:bCs/>
          <w:color w:val="auto"/>
          <w:sz w:val="28"/>
          <w:szCs w:val="28"/>
          <w:highlight w:val="none"/>
          <w:lang w:val="en-US" w:eastAsia="zh-CN"/>
        </w:rPr>
      </w:pPr>
      <w:bookmarkStart w:id="188" w:name="_Toc481694844"/>
      <w:bookmarkStart w:id="189" w:name="_Toc489197854"/>
      <w:bookmarkStart w:id="190" w:name="_Toc17862"/>
      <w:bookmarkStart w:id="191" w:name="_Toc213141093"/>
      <w:bookmarkStart w:id="192" w:name="_Toc28450"/>
      <w:bookmarkStart w:id="193" w:name="_Toc489145750"/>
      <w:bookmarkStart w:id="194" w:name="_Toc12631"/>
      <w:bookmarkStart w:id="195" w:name="_Toc488633615"/>
      <w:r>
        <w:rPr>
          <w:rFonts w:hint="eastAsia" w:ascii="仿宋" w:hAnsi="仿宋" w:eastAsia="仿宋" w:cs="仿宋"/>
          <w:b/>
          <w:bCs/>
          <w:color w:val="auto"/>
          <w:sz w:val="28"/>
          <w:szCs w:val="28"/>
          <w:highlight w:val="none"/>
          <w:lang w:val="en-US" w:eastAsia="zh-CN"/>
        </w:rPr>
        <w:t>报价一览表</w:t>
      </w:r>
      <w:bookmarkEnd w:id="188"/>
      <w:bookmarkEnd w:id="189"/>
      <w:bookmarkEnd w:id="190"/>
      <w:bookmarkEnd w:id="191"/>
      <w:bookmarkEnd w:id="192"/>
      <w:bookmarkEnd w:id="193"/>
      <w:bookmarkEnd w:id="194"/>
      <w:bookmarkEnd w:id="195"/>
    </w:p>
    <w:p w14:paraId="5419C765">
      <w:pPr>
        <w:pStyle w:val="16"/>
        <w:spacing w:line="360" w:lineRule="auto"/>
        <w:rPr>
          <w:rFonts w:hint="eastAsia" w:ascii="仿宋" w:hAnsi="仿宋" w:eastAsia="仿宋" w:cs="仿宋"/>
          <w:b/>
          <w:color w:val="auto"/>
          <w:sz w:val="24"/>
          <w:highlight w:val="none"/>
          <w:lang w:eastAsia="zh-CN"/>
        </w:rPr>
      </w:pPr>
    </w:p>
    <w:p w14:paraId="11EBBB1D">
      <w:pPr>
        <w:pStyle w:val="16"/>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eastAsia="zh-CN"/>
        </w:rPr>
        <w:t>项目名称</w:t>
      </w:r>
      <w:r>
        <w:rPr>
          <w:rFonts w:hint="eastAsia" w:ascii="仿宋" w:hAnsi="仿宋" w:eastAsia="仿宋" w:cs="仿宋"/>
          <w:b/>
          <w:color w:val="auto"/>
          <w:sz w:val="24"/>
          <w:highlight w:val="none"/>
        </w:rPr>
        <w:t xml:space="preserve">：    </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 xml:space="preserve">  </w:t>
      </w:r>
      <w:r>
        <w:rPr>
          <w:rFonts w:hint="eastAsia" w:ascii="仿宋" w:hAnsi="仿宋" w:eastAsia="仿宋" w:cs="仿宋"/>
          <w:b/>
          <w:color w:val="auto"/>
          <w:sz w:val="24"/>
          <w:highlight w:val="none"/>
          <w:lang w:val="en-US" w:eastAsia="zh-CN"/>
        </w:rPr>
        <w:t>项目编号</w:t>
      </w:r>
      <w:r>
        <w:rPr>
          <w:rFonts w:hint="eastAsia" w:ascii="仿宋" w:hAnsi="仿宋" w:eastAsia="仿宋" w:cs="仿宋"/>
          <w:b/>
          <w:color w:val="auto"/>
          <w:sz w:val="24"/>
          <w:highlight w:val="none"/>
        </w:rPr>
        <w:t>：</w:t>
      </w:r>
    </w:p>
    <w:tbl>
      <w:tblPr>
        <w:tblStyle w:val="25"/>
        <w:tblW w:w="9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4"/>
        <w:gridCol w:w="6289"/>
      </w:tblGrid>
      <w:tr w14:paraId="3A5C2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394" w:type="dxa"/>
            <w:tcBorders>
              <w:top w:val="single" w:color="auto" w:sz="4" w:space="0"/>
              <w:left w:val="single" w:color="auto" w:sz="4" w:space="0"/>
              <w:bottom w:val="single" w:color="auto" w:sz="4" w:space="0"/>
              <w:right w:val="single" w:color="auto" w:sz="4" w:space="0"/>
            </w:tcBorders>
            <w:noWrap w:val="0"/>
            <w:vAlign w:val="center"/>
          </w:tcPr>
          <w:p w14:paraId="7374EFB6">
            <w:pPr>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szCs w:val="21"/>
                <w:highlight w:val="none"/>
                <w:lang w:val="en-US" w:eastAsia="zh-CN" w:bidi="ar"/>
              </w:rPr>
              <w:t>供应商</w:t>
            </w:r>
          </w:p>
        </w:tc>
        <w:tc>
          <w:tcPr>
            <w:tcW w:w="6289" w:type="dxa"/>
            <w:tcBorders>
              <w:top w:val="single" w:color="auto" w:sz="4" w:space="0"/>
              <w:left w:val="single" w:color="auto" w:sz="4" w:space="0"/>
              <w:bottom w:val="single" w:color="auto" w:sz="4" w:space="0"/>
              <w:right w:val="single" w:color="auto" w:sz="4" w:space="0"/>
            </w:tcBorders>
            <w:noWrap w:val="0"/>
            <w:vAlign w:val="center"/>
          </w:tcPr>
          <w:p w14:paraId="5C40F65A">
            <w:pPr>
              <w:spacing w:after="0" w:line="360" w:lineRule="auto"/>
              <w:jc w:val="center"/>
              <w:rPr>
                <w:rFonts w:hint="eastAsia" w:ascii="仿宋" w:hAnsi="仿宋" w:eastAsia="仿宋" w:cs="仿宋"/>
                <w:color w:val="auto"/>
                <w:sz w:val="24"/>
                <w:highlight w:val="none"/>
              </w:rPr>
            </w:pPr>
          </w:p>
        </w:tc>
      </w:tr>
      <w:tr w14:paraId="757DC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394" w:type="dxa"/>
            <w:tcBorders>
              <w:top w:val="single" w:color="auto" w:sz="4" w:space="0"/>
              <w:left w:val="single" w:color="auto" w:sz="4" w:space="0"/>
              <w:bottom w:val="single" w:color="auto" w:sz="4" w:space="0"/>
              <w:right w:val="single" w:color="auto" w:sz="4" w:space="0"/>
            </w:tcBorders>
            <w:noWrap w:val="0"/>
            <w:vAlign w:val="center"/>
          </w:tcPr>
          <w:p w14:paraId="60E1324A">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val="en-US" w:eastAsia="zh-CN"/>
              </w:rPr>
              <w:t>单位：</w:t>
            </w:r>
            <w:r>
              <w:rPr>
                <w:rFonts w:hint="eastAsia" w:ascii="仿宋" w:hAnsi="仿宋" w:eastAsia="仿宋" w:cs="仿宋"/>
                <w:color w:val="auto"/>
                <w:sz w:val="24"/>
                <w:highlight w:val="none"/>
              </w:rPr>
              <w:t>元）</w:t>
            </w:r>
          </w:p>
        </w:tc>
        <w:tc>
          <w:tcPr>
            <w:tcW w:w="6289" w:type="dxa"/>
            <w:tcBorders>
              <w:top w:val="single" w:color="auto" w:sz="4" w:space="0"/>
              <w:left w:val="single" w:color="auto" w:sz="4" w:space="0"/>
              <w:bottom w:val="single" w:color="auto" w:sz="4" w:space="0"/>
              <w:right w:val="single" w:color="auto" w:sz="4" w:space="0"/>
            </w:tcBorders>
            <w:noWrap w:val="0"/>
            <w:vAlign w:val="center"/>
          </w:tcPr>
          <w:p w14:paraId="2E765213">
            <w:pPr>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p w14:paraId="7463EACE">
            <w:pPr>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tc>
      </w:tr>
      <w:tr w14:paraId="7C8EC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394" w:type="dxa"/>
            <w:tcBorders>
              <w:top w:val="single" w:color="auto" w:sz="4" w:space="0"/>
              <w:left w:val="single" w:color="auto" w:sz="4" w:space="0"/>
              <w:bottom w:val="single" w:color="auto" w:sz="4" w:space="0"/>
              <w:right w:val="single" w:color="auto" w:sz="4" w:space="0"/>
            </w:tcBorders>
            <w:noWrap w:val="0"/>
            <w:vAlign w:val="center"/>
          </w:tcPr>
          <w:p w14:paraId="0CDB2A06">
            <w:pPr>
              <w:spacing w:after="0"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kern w:val="2"/>
                <w:sz w:val="24"/>
                <w:highlight w:val="none"/>
                <w:lang w:val="en-US" w:eastAsia="zh-CN" w:bidi="ar-SA"/>
              </w:rPr>
              <w:t>合同履行期限（服务周期）</w:t>
            </w:r>
          </w:p>
        </w:tc>
        <w:tc>
          <w:tcPr>
            <w:tcW w:w="6289" w:type="dxa"/>
            <w:tcBorders>
              <w:top w:val="single" w:color="auto" w:sz="4" w:space="0"/>
              <w:left w:val="single" w:color="auto" w:sz="4" w:space="0"/>
              <w:bottom w:val="single" w:color="auto" w:sz="4" w:space="0"/>
              <w:right w:val="single" w:color="auto" w:sz="4" w:space="0"/>
            </w:tcBorders>
            <w:noWrap w:val="0"/>
            <w:vAlign w:val="center"/>
          </w:tcPr>
          <w:p w14:paraId="1785DB56">
            <w:pPr>
              <w:spacing w:after="0" w:line="360" w:lineRule="auto"/>
              <w:rPr>
                <w:rFonts w:hint="eastAsia" w:ascii="仿宋" w:hAnsi="仿宋" w:eastAsia="仿宋" w:cs="仿宋"/>
                <w:color w:val="auto"/>
                <w:sz w:val="24"/>
                <w:highlight w:val="none"/>
              </w:rPr>
            </w:pPr>
          </w:p>
        </w:tc>
      </w:tr>
      <w:tr w14:paraId="45FE2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394" w:type="dxa"/>
            <w:tcBorders>
              <w:top w:val="single" w:color="auto" w:sz="4" w:space="0"/>
              <w:left w:val="single" w:color="auto" w:sz="4" w:space="0"/>
              <w:bottom w:val="single" w:color="auto" w:sz="4" w:space="0"/>
              <w:right w:val="single" w:color="auto" w:sz="4" w:space="0"/>
            </w:tcBorders>
            <w:noWrap w:val="0"/>
            <w:vAlign w:val="center"/>
          </w:tcPr>
          <w:p w14:paraId="19E3E958">
            <w:pPr>
              <w:spacing w:after="0"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highlight w:val="none"/>
                <w:lang w:val="en-US" w:eastAsia="zh-CN" w:bidi="ar-SA"/>
              </w:rPr>
              <w:t>服务地点</w:t>
            </w:r>
          </w:p>
        </w:tc>
        <w:tc>
          <w:tcPr>
            <w:tcW w:w="6289" w:type="dxa"/>
            <w:tcBorders>
              <w:top w:val="single" w:color="auto" w:sz="4" w:space="0"/>
              <w:left w:val="single" w:color="auto" w:sz="4" w:space="0"/>
              <w:bottom w:val="single" w:color="auto" w:sz="4" w:space="0"/>
              <w:right w:val="single" w:color="auto" w:sz="4" w:space="0"/>
            </w:tcBorders>
            <w:noWrap w:val="0"/>
            <w:vAlign w:val="center"/>
          </w:tcPr>
          <w:p w14:paraId="72E2AC28">
            <w:pPr>
              <w:spacing w:after="0" w:line="360" w:lineRule="auto"/>
              <w:rPr>
                <w:rFonts w:hint="eastAsia" w:ascii="仿宋" w:hAnsi="仿宋" w:eastAsia="仿宋" w:cs="仿宋"/>
                <w:color w:val="auto"/>
                <w:sz w:val="24"/>
                <w:highlight w:val="none"/>
              </w:rPr>
            </w:pPr>
          </w:p>
        </w:tc>
      </w:tr>
      <w:tr w14:paraId="3A89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83" w:type="dxa"/>
            <w:gridSpan w:val="2"/>
            <w:tcBorders>
              <w:top w:val="single" w:color="auto" w:sz="4" w:space="0"/>
              <w:left w:val="single" w:color="auto" w:sz="4" w:space="0"/>
              <w:bottom w:val="single" w:color="auto" w:sz="4" w:space="0"/>
              <w:right w:val="single" w:color="auto" w:sz="4" w:space="0"/>
            </w:tcBorders>
            <w:noWrap w:val="0"/>
            <w:vAlign w:val="center"/>
          </w:tcPr>
          <w:p w14:paraId="2AD7CAB0">
            <w:pPr>
              <w:spacing w:after="0" w:line="360" w:lineRule="auto"/>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备 注：</w:t>
            </w:r>
          </w:p>
        </w:tc>
      </w:tr>
    </w:tbl>
    <w:p w14:paraId="62CE804F">
      <w:pPr>
        <w:pStyle w:val="16"/>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注：1、表中“</w:t>
      </w:r>
      <w:r>
        <w:rPr>
          <w:rFonts w:hint="eastAsia" w:ascii="仿宋" w:hAnsi="仿宋" w:eastAsia="仿宋" w:cs="仿宋"/>
          <w:b/>
          <w:bCs/>
          <w:color w:val="auto"/>
          <w:sz w:val="24"/>
          <w:highlight w:val="none"/>
          <w:lang w:val="en-US" w:eastAsia="zh-CN"/>
        </w:rPr>
        <w:t>磋商</w:t>
      </w:r>
      <w:r>
        <w:rPr>
          <w:rFonts w:hint="eastAsia" w:ascii="仿宋" w:hAnsi="仿宋" w:eastAsia="仿宋" w:cs="仿宋"/>
          <w:b/>
          <w:bCs/>
          <w:color w:val="auto"/>
          <w:sz w:val="24"/>
          <w:highlight w:val="none"/>
        </w:rPr>
        <w:t>报价”应与“</w:t>
      </w:r>
      <w:r>
        <w:rPr>
          <w:rFonts w:hint="eastAsia" w:ascii="仿宋" w:hAnsi="仿宋" w:eastAsia="仿宋" w:cs="仿宋"/>
          <w:b/>
          <w:bCs/>
          <w:color w:val="auto"/>
          <w:sz w:val="24"/>
          <w:highlight w:val="none"/>
          <w:lang w:val="en-US" w:eastAsia="zh-CN"/>
        </w:rPr>
        <w:t>磋商申请函</w:t>
      </w:r>
      <w:r>
        <w:rPr>
          <w:rFonts w:hint="eastAsia" w:ascii="仿宋" w:hAnsi="仿宋" w:eastAsia="仿宋" w:cs="仿宋"/>
          <w:b/>
          <w:bCs/>
          <w:color w:val="auto"/>
          <w:sz w:val="24"/>
          <w:highlight w:val="none"/>
        </w:rPr>
        <w:t>”中“</w:t>
      </w:r>
      <w:r>
        <w:rPr>
          <w:rFonts w:hint="eastAsia" w:ascii="仿宋" w:hAnsi="仿宋" w:eastAsia="仿宋" w:cs="仿宋"/>
          <w:b/>
          <w:bCs/>
          <w:color w:val="auto"/>
          <w:sz w:val="24"/>
          <w:highlight w:val="none"/>
          <w:lang w:val="en-US" w:eastAsia="zh-CN"/>
        </w:rPr>
        <w:t>磋商</w:t>
      </w:r>
      <w:r>
        <w:rPr>
          <w:rFonts w:hint="eastAsia" w:ascii="仿宋" w:hAnsi="仿宋" w:eastAsia="仿宋" w:cs="仿宋"/>
          <w:b/>
          <w:bCs/>
          <w:color w:val="auto"/>
          <w:sz w:val="24"/>
          <w:highlight w:val="none"/>
        </w:rPr>
        <w:t>报价”一致。</w:t>
      </w:r>
    </w:p>
    <w:p w14:paraId="3A360824">
      <w:pPr>
        <w:spacing w:line="360" w:lineRule="auto"/>
        <w:ind w:firstLine="2" w:firstLineChars="1"/>
        <w:rPr>
          <w:rFonts w:hint="eastAsia" w:ascii="仿宋" w:hAnsi="仿宋" w:eastAsia="仿宋" w:cs="仿宋"/>
          <w:b/>
          <w:color w:val="auto"/>
          <w:sz w:val="24"/>
          <w:highlight w:val="none"/>
        </w:rPr>
      </w:pPr>
    </w:p>
    <w:p w14:paraId="2580CA7D">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1"/>
          <w:highlight w:val="none"/>
          <w:lang w:val="en-US" w:eastAsia="zh-CN" w:bidi="ar"/>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电子公章</w:t>
      </w:r>
      <w:r>
        <w:rPr>
          <w:rFonts w:hint="eastAsia" w:ascii="仿宋" w:hAnsi="仿宋" w:eastAsia="仿宋" w:cs="仿宋"/>
          <w:color w:val="auto"/>
          <w:sz w:val="24"/>
          <w:highlight w:val="none"/>
          <w:lang w:eastAsia="zh-CN"/>
        </w:rPr>
        <w:t>）</w:t>
      </w:r>
    </w:p>
    <w:p w14:paraId="08C456F2">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电子签字</w:t>
      </w:r>
      <w:r>
        <w:rPr>
          <w:rFonts w:hint="eastAsia" w:ascii="仿宋" w:hAnsi="仿宋" w:eastAsia="仿宋" w:cs="仿宋"/>
          <w:color w:val="auto"/>
          <w:sz w:val="24"/>
          <w:highlight w:val="none"/>
          <w:lang w:eastAsia="zh-CN"/>
        </w:rPr>
        <w:t>或电子签章</w:t>
      </w:r>
      <w:r>
        <w:rPr>
          <w:rFonts w:hint="eastAsia" w:ascii="仿宋" w:hAnsi="仿宋" w:eastAsia="仿宋" w:cs="仿宋"/>
          <w:color w:val="auto"/>
          <w:sz w:val="24"/>
          <w:highlight w:val="none"/>
        </w:rPr>
        <w:t>）</w:t>
      </w:r>
    </w:p>
    <w:p w14:paraId="11721A44">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1939752">
      <w:pPr>
        <w:widowControl/>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2</w:t>
      </w:r>
      <w:r>
        <w:rPr>
          <w:rFonts w:hint="eastAsia" w:ascii="仿宋" w:hAnsi="仿宋" w:eastAsia="仿宋" w:cs="仿宋"/>
          <w:b/>
          <w:color w:val="auto"/>
          <w:sz w:val="28"/>
          <w:szCs w:val="28"/>
          <w:highlight w:val="none"/>
        </w:rPr>
        <w:t>：</w:t>
      </w:r>
    </w:p>
    <w:p w14:paraId="4265CC45">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line="360" w:lineRule="auto"/>
        <w:jc w:val="center"/>
        <w:textAlignment w:val="auto"/>
        <w:outlineLvl w:val="9"/>
        <w:rPr>
          <w:rFonts w:hint="eastAsia" w:ascii="仿宋" w:hAnsi="仿宋" w:eastAsia="仿宋" w:cs="仿宋"/>
          <w:b/>
          <w:bCs/>
          <w:color w:val="auto"/>
          <w:sz w:val="28"/>
          <w:szCs w:val="28"/>
          <w:highlight w:val="none"/>
          <w:lang w:val="en-US" w:eastAsia="zh-CN"/>
        </w:rPr>
      </w:pPr>
      <w:bookmarkStart w:id="196" w:name="_Toc488633616"/>
      <w:bookmarkStart w:id="197" w:name="_Toc26198453"/>
      <w:bookmarkStart w:id="198" w:name="_Toc489197855"/>
      <w:bookmarkStart w:id="199" w:name="_Toc489145751"/>
      <w:bookmarkStart w:id="200" w:name="_Toc481694845"/>
      <w:bookmarkStart w:id="201" w:name="_Toc7045"/>
      <w:r>
        <w:rPr>
          <w:rFonts w:hint="eastAsia" w:ascii="仿宋" w:hAnsi="仿宋" w:eastAsia="仿宋" w:cs="仿宋"/>
          <w:b/>
          <w:bCs/>
          <w:color w:val="auto"/>
          <w:sz w:val="28"/>
          <w:szCs w:val="28"/>
          <w:highlight w:val="none"/>
          <w:lang w:val="en-US" w:eastAsia="zh-CN"/>
        </w:rPr>
        <w:t>磋商申请函</w:t>
      </w:r>
      <w:bookmarkEnd w:id="196"/>
      <w:bookmarkEnd w:id="197"/>
      <w:bookmarkEnd w:id="198"/>
      <w:bookmarkEnd w:id="199"/>
      <w:bookmarkEnd w:id="200"/>
      <w:bookmarkEnd w:id="201"/>
    </w:p>
    <w:p w14:paraId="6619D799">
      <w:pPr>
        <w:widowControl/>
        <w:spacing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（采购人名称）</w:t>
      </w:r>
    </w:p>
    <w:p w14:paraId="2E5C904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我方仔细研究了</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项目</w:t>
      </w:r>
      <w:r>
        <w:rPr>
          <w:rFonts w:hint="eastAsia" w:ascii="仿宋" w:hAnsi="仿宋" w:eastAsia="仿宋" w:cs="仿宋"/>
          <w:color w:val="auto"/>
          <w:sz w:val="24"/>
          <w:szCs w:val="24"/>
          <w:highlight w:val="none"/>
          <w:u w:val="single"/>
        </w:rPr>
        <w:t>名称）（</w:t>
      </w:r>
      <w:r>
        <w:rPr>
          <w:rFonts w:hint="eastAsia" w:ascii="仿宋" w:hAnsi="仿宋" w:eastAsia="仿宋" w:cs="仿宋"/>
          <w:color w:val="auto"/>
          <w:sz w:val="24"/>
          <w:szCs w:val="24"/>
          <w:highlight w:val="none"/>
          <w:u w:val="single"/>
          <w:lang w:val="en-US" w:eastAsia="zh-CN"/>
        </w:rPr>
        <w:t>项目编号</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项目磋商文件的全部内容，正式授权下述签字人</w:t>
      </w:r>
      <w:r>
        <w:rPr>
          <w:rFonts w:hint="eastAsia" w:ascii="仿宋" w:hAnsi="仿宋" w:eastAsia="仿宋" w:cs="仿宋"/>
          <w:color w:val="auto"/>
          <w:sz w:val="24"/>
          <w:szCs w:val="24"/>
          <w:highlight w:val="none"/>
          <w:u w:val="single"/>
        </w:rPr>
        <w:t>（姓名和职务）</w:t>
      </w:r>
      <w:r>
        <w:rPr>
          <w:rFonts w:hint="eastAsia" w:ascii="仿宋" w:hAnsi="仿宋" w:eastAsia="仿宋" w:cs="仿宋"/>
          <w:color w:val="auto"/>
          <w:sz w:val="24"/>
          <w:szCs w:val="24"/>
          <w:highlight w:val="none"/>
        </w:rPr>
        <w:t>全权代表</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单位名称</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参加磋商，并提交响应文件。</w:t>
      </w:r>
    </w:p>
    <w:p w14:paraId="2A01D0A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据此函，签字人兹宣布同意如下：</w:t>
      </w:r>
    </w:p>
    <w:p w14:paraId="1927CA86">
      <w:pPr>
        <w:pStyle w:val="1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1、按磋商文件采购需求及技术要求，我方</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元，人民币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7C7852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2、我方已详细审查磋商文件的全部内容，包括</w:t>
      </w:r>
      <w:r>
        <w:rPr>
          <w:rFonts w:hint="eastAsia" w:ascii="仿宋" w:hAnsi="仿宋" w:eastAsia="仿宋" w:cs="仿宋"/>
          <w:color w:val="auto"/>
          <w:sz w:val="24"/>
          <w:szCs w:val="24"/>
          <w:highlight w:val="none"/>
          <w:u w:val="single"/>
        </w:rPr>
        <w:t>（澄清文件）</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rPr>
        <w:t>如果有</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rPr>
        <w:t>。我方完全理解磋商文件相关要求，并承担对磋商文件有不明及误解的后果。</w:t>
      </w:r>
    </w:p>
    <w:p w14:paraId="351A36D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rPr>
        <w:t>须知规定的提交日期起遵循本磋商文件，并在</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rPr>
        <w:t>须知第 17.1 条规定的响应文件有效期届满之日前均具有约束力。</w:t>
      </w:r>
    </w:p>
    <w:p w14:paraId="78A0E86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4、同意磋商文件中关于没收磋商保证金的规定。</w:t>
      </w:r>
    </w:p>
    <w:p w14:paraId="3C7E499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5、同意应贵方要求提供与本项目有关的任何数据或资料，并保证数据和资料的完整性和真实性。</w:t>
      </w:r>
    </w:p>
    <w:p w14:paraId="3AFCBD6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6、完全理解贵方不一定要接受最低报价的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rPr>
        <w:t>为</w:t>
      </w:r>
      <w:r>
        <w:rPr>
          <w:rFonts w:hint="eastAsia" w:ascii="仿宋" w:hAnsi="仿宋" w:eastAsia="仿宋" w:cs="仿宋"/>
          <w:color w:val="auto"/>
          <w:sz w:val="24"/>
          <w:szCs w:val="24"/>
          <w:highlight w:val="none"/>
          <w:lang w:eastAsia="zh-CN"/>
        </w:rPr>
        <w:t>成交单位</w:t>
      </w:r>
      <w:r>
        <w:rPr>
          <w:rFonts w:hint="eastAsia" w:ascii="仿宋" w:hAnsi="仿宋" w:eastAsia="仿宋" w:cs="仿宋"/>
          <w:color w:val="auto"/>
          <w:sz w:val="24"/>
          <w:szCs w:val="24"/>
          <w:highlight w:val="none"/>
        </w:rPr>
        <w:t>的行为。</w:t>
      </w:r>
    </w:p>
    <w:p w14:paraId="55D09BA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如我方成交：</w:t>
      </w:r>
    </w:p>
    <w:p w14:paraId="185286A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（1）我方承诺在收到成交通知书后，在成交通知书规定的期限内与你方签订合同，并履行相应的合同责任和义务。</w:t>
      </w:r>
    </w:p>
    <w:p w14:paraId="6C48FED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（2）我方承诺按照磋商文件的规定向你方递交履约保证金。</w:t>
      </w:r>
    </w:p>
    <w:p w14:paraId="5813F7E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（3）我方承诺将承担售后服务及质量责任。</w:t>
      </w:r>
    </w:p>
    <w:p w14:paraId="2893F45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我方在此声明，所递交的响应文件及有关资料内容完整、真实和准确。</w:t>
      </w:r>
    </w:p>
    <w:p w14:paraId="1803FA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（其他补充说明）。</w:t>
      </w:r>
    </w:p>
    <w:p w14:paraId="04A3A33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我单位正式通讯地址为：</w:t>
      </w:r>
    </w:p>
    <w:p w14:paraId="6E75665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邮政编码：</w:t>
      </w:r>
    </w:p>
    <w:p w14:paraId="3163AC6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传真：</w:t>
      </w:r>
    </w:p>
    <w:p w14:paraId="11EFC3F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开户名称：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开户银行：</w:t>
      </w:r>
    </w:p>
    <w:p w14:paraId="6276477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账</w:t>
      </w:r>
      <w:r>
        <w:rPr>
          <w:rFonts w:hint="eastAsia" w:ascii="仿宋" w:hAnsi="仿宋" w:eastAsia="仿宋" w:cs="仿宋"/>
          <w:color w:val="auto"/>
          <w:sz w:val="24"/>
          <w:szCs w:val="24"/>
          <w:highlight w:val="none"/>
        </w:rPr>
        <w:t>号：</w:t>
      </w:r>
    </w:p>
    <w:p w14:paraId="4AF8DF00">
      <w:pPr>
        <w:pStyle w:val="16"/>
        <w:spacing w:line="360" w:lineRule="auto"/>
        <w:jc w:val="right"/>
        <w:rPr>
          <w:rFonts w:hint="eastAsia" w:ascii="仿宋" w:hAnsi="仿宋" w:eastAsia="仿宋" w:cs="仿宋"/>
          <w:color w:val="auto"/>
          <w:sz w:val="24"/>
          <w:szCs w:val="24"/>
          <w:highlight w:val="none"/>
          <w:lang w:eastAsia="zh-CN"/>
        </w:rPr>
      </w:pPr>
    </w:p>
    <w:p w14:paraId="5A9EB711">
      <w:pPr>
        <w:pStyle w:val="16"/>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1"/>
          <w:highlight w:val="none"/>
          <w:lang w:val="en-US" w:eastAsia="zh-CN" w:bidi="ar"/>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电子公章</w:t>
      </w:r>
      <w:r>
        <w:rPr>
          <w:rFonts w:hint="eastAsia" w:ascii="仿宋" w:hAnsi="仿宋" w:eastAsia="仿宋" w:cs="仿宋"/>
          <w:color w:val="auto"/>
          <w:sz w:val="24"/>
          <w:highlight w:val="none"/>
          <w:lang w:eastAsia="zh-CN"/>
        </w:rPr>
        <w:t>）</w:t>
      </w:r>
    </w:p>
    <w:p w14:paraId="49D27B63">
      <w:pPr>
        <w:spacing w:line="360" w:lineRule="auto"/>
        <w:ind w:firstLine="2" w:firstLineChars="1"/>
        <w:jc w:val="righ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电子签字或电子签章</w:t>
      </w:r>
      <w:r>
        <w:rPr>
          <w:rFonts w:hint="eastAsia" w:ascii="仿宋" w:hAnsi="仿宋" w:eastAsia="仿宋" w:cs="仿宋"/>
          <w:color w:val="auto"/>
          <w:sz w:val="24"/>
          <w:highlight w:val="none"/>
        </w:rPr>
        <w:t>）</w:t>
      </w:r>
    </w:p>
    <w:p w14:paraId="091E7A3F">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6D3ECAF">
      <w:pPr>
        <w:widowControl/>
        <w:spacing w:line="360" w:lineRule="auto"/>
        <w:ind w:firstLine="480" w:firstLineChars="200"/>
        <w:jc w:val="left"/>
        <w:rPr>
          <w:rFonts w:hint="eastAsia" w:ascii="仿宋" w:hAnsi="仿宋" w:eastAsia="仿宋" w:cs="仿宋"/>
          <w:color w:val="auto"/>
          <w:sz w:val="24"/>
          <w:highlight w:val="none"/>
        </w:rPr>
      </w:pPr>
    </w:p>
    <w:p w14:paraId="037A4A73">
      <w:pPr>
        <w:widowControl/>
        <w:spacing w:line="360" w:lineRule="auto"/>
        <w:ind w:firstLine="480" w:firstLineChars="200"/>
        <w:jc w:val="left"/>
        <w:rPr>
          <w:rFonts w:hint="eastAsia" w:ascii="仿宋" w:hAnsi="仿宋" w:eastAsia="仿宋" w:cs="仿宋"/>
          <w:color w:val="auto"/>
          <w:sz w:val="24"/>
          <w:highlight w:val="none"/>
        </w:rPr>
      </w:pPr>
    </w:p>
    <w:p w14:paraId="35B196D2">
      <w:pPr>
        <w:widowControl/>
        <w:spacing w:line="360" w:lineRule="auto"/>
        <w:ind w:firstLine="480" w:firstLineChars="200"/>
        <w:jc w:val="left"/>
        <w:rPr>
          <w:rFonts w:hint="eastAsia" w:ascii="仿宋" w:hAnsi="仿宋" w:eastAsia="仿宋" w:cs="仿宋"/>
          <w:color w:val="auto"/>
          <w:sz w:val="24"/>
          <w:highlight w:val="none"/>
        </w:rPr>
      </w:pPr>
    </w:p>
    <w:p w14:paraId="5E3791D4">
      <w:pPr>
        <w:widowControl/>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3</w:t>
      </w:r>
      <w:r>
        <w:rPr>
          <w:rFonts w:hint="eastAsia" w:ascii="仿宋" w:hAnsi="仿宋" w:eastAsia="仿宋" w:cs="仿宋"/>
          <w:b/>
          <w:color w:val="auto"/>
          <w:sz w:val="28"/>
          <w:szCs w:val="28"/>
          <w:highlight w:val="none"/>
        </w:rPr>
        <w:t>：</w:t>
      </w:r>
    </w:p>
    <w:p w14:paraId="754D9E85">
      <w:pPr>
        <w:pStyle w:val="3"/>
        <w:numPr>
          <w:ilvl w:val="1"/>
          <w:numId w:val="0"/>
        </w:numPr>
        <w:spacing w:line="360" w:lineRule="auto"/>
        <w:ind w:left="425"/>
        <w:jc w:val="center"/>
        <w:rPr>
          <w:rFonts w:hint="eastAsia" w:ascii="仿宋" w:hAnsi="仿宋" w:eastAsia="仿宋" w:cs="仿宋"/>
          <w:color w:val="auto"/>
          <w:szCs w:val="32"/>
          <w:highlight w:val="none"/>
          <w:lang w:val="en-US" w:eastAsia="zh-CN"/>
        </w:rPr>
      </w:pPr>
      <w:r>
        <w:rPr>
          <w:rFonts w:hint="eastAsia" w:ascii="仿宋" w:hAnsi="仿宋" w:eastAsia="仿宋" w:cs="仿宋"/>
          <w:color w:val="auto"/>
          <w:szCs w:val="32"/>
          <w:highlight w:val="none"/>
          <w:lang w:val="en-US" w:eastAsia="zh-CN"/>
        </w:rPr>
        <w:t>磋商报价详细说明</w:t>
      </w:r>
    </w:p>
    <w:p w14:paraId="2ED69F41">
      <w:pPr>
        <w:rPr>
          <w:rFonts w:hint="eastAsia"/>
          <w:color w:val="auto"/>
          <w:lang w:val="en-US" w:eastAsia="zh-CN"/>
        </w:rPr>
      </w:pPr>
    </w:p>
    <w:p w14:paraId="67C73D18">
      <w:pPr>
        <w:spacing w:line="360" w:lineRule="auto"/>
        <w:ind w:firstLine="482" w:firstLineChars="201"/>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供应商须针对本次采购全部服务内容自行填报的磋商报价的组成作出说明，格式由供应商自行设计。</w:t>
      </w:r>
    </w:p>
    <w:p w14:paraId="402D1760">
      <w:pPr>
        <w:pStyle w:val="16"/>
        <w:spacing w:line="360" w:lineRule="auto"/>
        <w:rPr>
          <w:rFonts w:hint="eastAsia" w:ascii="仿宋" w:hAnsi="仿宋" w:eastAsia="仿宋" w:cs="仿宋"/>
          <w:b/>
          <w:color w:val="auto"/>
          <w:kern w:val="0"/>
          <w:sz w:val="24"/>
          <w:szCs w:val="24"/>
          <w:highlight w:val="none"/>
        </w:rPr>
      </w:pPr>
    </w:p>
    <w:p w14:paraId="2628DE06">
      <w:pPr>
        <w:spacing w:line="360" w:lineRule="auto"/>
        <w:ind w:firstLine="480" w:firstLineChars="200"/>
        <w:rPr>
          <w:rFonts w:hint="eastAsia" w:ascii="仿宋" w:hAnsi="仿宋" w:eastAsia="仿宋" w:cs="仿宋"/>
          <w:color w:val="auto"/>
          <w:sz w:val="24"/>
          <w:highlight w:val="none"/>
        </w:rPr>
      </w:pPr>
    </w:p>
    <w:p w14:paraId="0D769C96">
      <w:pPr>
        <w:spacing w:line="360" w:lineRule="auto"/>
        <w:ind w:firstLine="480" w:firstLineChars="200"/>
        <w:rPr>
          <w:rFonts w:hint="eastAsia" w:ascii="仿宋" w:hAnsi="仿宋" w:eastAsia="仿宋" w:cs="仿宋"/>
          <w:color w:val="auto"/>
          <w:sz w:val="24"/>
          <w:highlight w:val="none"/>
        </w:rPr>
      </w:pPr>
    </w:p>
    <w:p w14:paraId="2B2486D7">
      <w:pPr>
        <w:pStyle w:val="10"/>
        <w:spacing w:line="360" w:lineRule="auto"/>
        <w:rPr>
          <w:rFonts w:hint="eastAsia" w:ascii="仿宋" w:hAnsi="仿宋" w:eastAsia="仿宋" w:cs="仿宋"/>
          <w:color w:val="auto"/>
          <w:highlight w:val="none"/>
        </w:rPr>
      </w:pPr>
    </w:p>
    <w:p w14:paraId="47205198">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1"/>
          <w:highlight w:val="none"/>
          <w:lang w:val="en-US" w:eastAsia="zh-CN" w:bidi="ar"/>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电子公章</w:t>
      </w:r>
      <w:r>
        <w:rPr>
          <w:rFonts w:hint="eastAsia" w:ascii="仿宋" w:hAnsi="仿宋" w:eastAsia="仿宋" w:cs="仿宋"/>
          <w:color w:val="auto"/>
          <w:sz w:val="24"/>
          <w:highlight w:val="none"/>
          <w:lang w:eastAsia="zh-CN"/>
        </w:rPr>
        <w:t>）</w:t>
      </w:r>
    </w:p>
    <w:p w14:paraId="1055EC2E">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电子签字或电子签章</w:t>
      </w:r>
      <w:r>
        <w:rPr>
          <w:rFonts w:hint="eastAsia" w:ascii="仿宋" w:hAnsi="仿宋" w:eastAsia="仿宋" w:cs="仿宋"/>
          <w:color w:val="auto"/>
          <w:sz w:val="24"/>
          <w:highlight w:val="none"/>
        </w:rPr>
        <w:t>）</w:t>
      </w:r>
    </w:p>
    <w:p w14:paraId="713EBD59">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2EBA33D">
      <w:pPr>
        <w:spacing w:line="360" w:lineRule="auto"/>
        <w:ind w:firstLine="2" w:firstLineChars="1"/>
        <w:jc w:val="left"/>
        <w:rPr>
          <w:rFonts w:hint="eastAsia" w:ascii="仿宋" w:hAnsi="仿宋" w:eastAsia="仿宋" w:cs="仿宋"/>
          <w:b/>
          <w:color w:val="auto"/>
          <w:szCs w:val="21"/>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4</w:t>
      </w:r>
      <w:r>
        <w:rPr>
          <w:rFonts w:hint="eastAsia" w:ascii="仿宋" w:hAnsi="仿宋" w:eastAsia="仿宋" w:cs="仿宋"/>
          <w:b/>
          <w:color w:val="auto"/>
          <w:sz w:val="28"/>
          <w:szCs w:val="28"/>
          <w:highlight w:val="none"/>
        </w:rPr>
        <w:t>：</w:t>
      </w:r>
    </w:p>
    <w:p w14:paraId="538141E7">
      <w:pPr>
        <w:numPr>
          <w:ilvl w:val="0"/>
          <w:numId w:val="0"/>
        </w:numPr>
        <w:tabs>
          <w:tab w:val="left" w:pos="1021"/>
        </w:tabs>
        <w:spacing w:line="360" w:lineRule="auto"/>
        <w:ind w:left="-171"/>
        <w:jc w:val="center"/>
        <w:outlineLvl w:val="9"/>
        <w:rPr>
          <w:rFonts w:hint="eastAsia" w:ascii="仿宋" w:hAnsi="仿宋" w:eastAsia="仿宋" w:cs="仿宋"/>
          <w:b/>
          <w:bCs/>
          <w:color w:val="auto"/>
          <w:sz w:val="28"/>
          <w:szCs w:val="28"/>
          <w:highlight w:val="none"/>
          <w:lang w:val="en-US" w:eastAsia="zh-CN"/>
        </w:rPr>
      </w:pPr>
      <w:bookmarkStart w:id="202" w:name="_Toc21391"/>
      <w:bookmarkStart w:id="203" w:name="_Toc488633632"/>
      <w:bookmarkStart w:id="204" w:name="_Toc213141108"/>
      <w:bookmarkStart w:id="205" w:name="_Toc489145767"/>
      <w:bookmarkStart w:id="206" w:name="_Toc481694860"/>
      <w:bookmarkStart w:id="207" w:name="_Toc5067"/>
      <w:bookmarkStart w:id="208" w:name="_Toc489197871"/>
      <w:bookmarkStart w:id="209" w:name="_Toc29311"/>
      <w:r>
        <w:rPr>
          <w:rFonts w:hint="eastAsia" w:ascii="仿宋" w:hAnsi="仿宋" w:eastAsia="仿宋" w:cs="仿宋"/>
          <w:b/>
          <w:bCs/>
          <w:color w:val="auto"/>
          <w:sz w:val="28"/>
          <w:szCs w:val="28"/>
          <w:highlight w:val="none"/>
          <w:lang w:val="en-US" w:eastAsia="zh-CN"/>
        </w:rPr>
        <w:t>供应商基本</w:t>
      </w:r>
      <w:r>
        <w:rPr>
          <w:rFonts w:hint="eastAsia" w:ascii="仿宋" w:hAnsi="仿宋" w:eastAsia="仿宋" w:cs="仿宋"/>
          <w:b/>
          <w:bCs/>
          <w:color w:val="auto"/>
          <w:sz w:val="28"/>
          <w:szCs w:val="28"/>
          <w:highlight w:val="none"/>
        </w:rPr>
        <w:t>信息</w:t>
      </w:r>
      <w:bookmarkEnd w:id="202"/>
      <w:bookmarkEnd w:id="203"/>
      <w:bookmarkEnd w:id="204"/>
      <w:bookmarkEnd w:id="205"/>
      <w:bookmarkEnd w:id="206"/>
      <w:bookmarkEnd w:id="207"/>
      <w:bookmarkEnd w:id="208"/>
      <w:r>
        <w:rPr>
          <w:rFonts w:hint="eastAsia" w:ascii="仿宋" w:hAnsi="仿宋" w:eastAsia="仿宋" w:cs="仿宋"/>
          <w:b/>
          <w:bCs/>
          <w:color w:val="auto"/>
          <w:sz w:val="28"/>
          <w:szCs w:val="28"/>
          <w:highlight w:val="none"/>
          <w:lang w:val="en-US" w:eastAsia="zh-CN"/>
        </w:rPr>
        <w:t>表</w:t>
      </w:r>
      <w:bookmarkEnd w:id="209"/>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5"/>
        <w:gridCol w:w="2268"/>
        <w:gridCol w:w="2436"/>
        <w:gridCol w:w="2287"/>
      </w:tblGrid>
      <w:tr w14:paraId="5326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15" w:type="dxa"/>
            <w:noWrap w:val="0"/>
            <w:vAlign w:val="center"/>
          </w:tcPr>
          <w:p w14:paraId="501F5511">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szCs w:val="21"/>
                <w:highlight w:val="none"/>
                <w:lang w:val="en-US" w:eastAsia="zh-CN" w:bidi="ar"/>
              </w:rPr>
              <w:t>单位名称</w:t>
            </w:r>
            <w:r>
              <w:rPr>
                <w:rFonts w:hint="eastAsia" w:ascii="仿宋" w:hAnsi="仿宋" w:eastAsia="仿宋" w:cs="仿宋"/>
                <w:color w:val="auto"/>
                <w:sz w:val="24"/>
                <w:highlight w:val="none"/>
              </w:rPr>
              <w:t>：</w:t>
            </w:r>
          </w:p>
        </w:tc>
        <w:tc>
          <w:tcPr>
            <w:tcW w:w="6991" w:type="dxa"/>
            <w:gridSpan w:val="3"/>
            <w:noWrap w:val="0"/>
            <w:vAlign w:val="center"/>
          </w:tcPr>
          <w:p w14:paraId="4BB6E42A">
            <w:pPr>
              <w:pStyle w:val="16"/>
              <w:spacing w:after="0" w:line="360" w:lineRule="auto"/>
              <w:jc w:val="center"/>
              <w:rPr>
                <w:rFonts w:hint="eastAsia" w:ascii="仿宋" w:hAnsi="仿宋" w:eastAsia="仿宋" w:cs="仿宋"/>
                <w:color w:val="auto"/>
                <w:sz w:val="24"/>
                <w:highlight w:val="none"/>
              </w:rPr>
            </w:pPr>
          </w:p>
        </w:tc>
      </w:tr>
      <w:tr w14:paraId="00664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15" w:type="dxa"/>
            <w:noWrap w:val="0"/>
            <w:vAlign w:val="center"/>
          </w:tcPr>
          <w:p w14:paraId="5386F288">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统一社会信用代码</w:t>
            </w:r>
            <w:r>
              <w:rPr>
                <w:rFonts w:hint="eastAsia" w:ascii="仿宋" w:hAnsi="仿宋" w:eastAsia="仿宋" w:cs="仿宋"/>
                <w:color w:val="auto"/>
                <w:sz w:val="24"/>
                <w:highlight w:val="none"/>
              </w:rPr>
              <w:t>：</w:t>
            </w:r>
          </w:p>
        </w:tc>
        <w:tc>
          <w:tcPr>
            <w:tcW w:w="6991" w:type="dxa"/>
            <w:gridSpan w:val="3"/>
            <w:noWrap w:val="0"/>
            <w:vAlign w:val="center"/>
          </w:tcPr>
          <w:p w14:paraId="6E0A9294">
            <w:pPr>
              <w:pStyle w:val="16"/>
              <w:spacing w:after="0" w:line="360" w:lineRule="auto"/>
              <w:jc w:val="center"/>
              <w:rPr>
                <w:rFonts w:hint="eastAsia" w:ascii="仿宋" w:hAnsi="仿宋" w:eastAsia="仿宋" w:cs="仿宋"/>
                <w:color w:val="auto"/>
                <w:sz w:val="24"/>
                <w:highlight w:val="none"/>
              </w:rPr>
            </w:pPr>
          </w:p>
        </w:tc>
      </w:tr>
      <w:tr w14:paraId="5B66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15" w:type="dxa"/>
            <w:noWrap w:val="0"/>
            <w:vAlign w:val="center"/>
          </w:tcPr>
          <w:p w14:paraId="7E6A453C">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注册资金： </w:t>
            </w:r>
          </w:p>
        </w:tc>
        <w:tc>
          <w:tcPr>
            <w:tcW w:w="2268" w:type="dxa"/>
            <w:noWrap w:val="0"/>
            <w:vAlign w:val="center"/>
          </w:tcPr>
          <w:p w14:paraId="1F3BDDD7">
            <w:pPr>
              <w:pStyle w:val="16"/>
              <w:spacing w:after="0" w:line="360" w:lineRule="auto"/>
              <w:jc w:val="center"/>
              <w:rPr>
                <w:rFonts w:hint="eastAsia" w:ascii="仿宋" w:hAnsi="仿宋" w:eastAsia="仿宋" w:cs="仿宋"/>
                <w:color w:val="auto"/>
                <w:sz w:val="24"/>
                <w:highlight w:val="none"/>
              </w:rPr>
            </w:pPr>
          </w:p>
        </w:tc>
        <w:tc>
          <w:tcPr>
            <w:tcW w:w="2436" w:type="dxa"/>
            <w:noWrap w:val="0"/>
            <w:vAlign w:val="center"/>
          </w:tcPr>
          <w:p w14:paraId="6272EAD0">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287" w:type="dxa"/>
            <w:noWrap w:val="0"/>
            <w:vAlign w:val="center"/>
          </w:tcPr>
          <w:p w14:paraId="15197BA0">
            <w:pPr>
              <w:pStyle w:val="16"/>
              <w:spacing w:after="0" w:line="360" w:lineRule="auto"/>
              <w:jc w:val="center"/>
              <w:rPr>
                <w:rFonts w:hint="eastAsia" w:ascii="仿宋" w:hAnsi="仿宋" w:eastAsia="仿宋" w:cs="仿宋"/>
                <w:color w:val="auto"/>
                <w:sz w:val="24"/>
                <w:highlight w:val="none"/>
              </w:rPr>
            </w:pPr>
          </w:p>
        </w:tc>
      </w:tr>
      <w:tr w14:paraId="321D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15" w:type="dxa"/>
            <w:noWrap w:val="0"/>
            <w:vAlign w:val="center"/>
          </w:tcPr>
          <w:p w14:paraId="5026CA19">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公司成立日期： </w:t>
            </w:r>
          </w:p>
        </w:tc>
        <w:tc>
          <w:tcPr>
            <w:tcW w:w="2268" w:type="dxa"/>
            <w:noWrap w:val="0"/>
            <w:vAlign w:val="center"/>
          </w:tcPr>
          <w:p w14:paraId="655CB2A4">
            <w:pPr>
              <w:pStyle w:val="16"/>
              <w:spacing w:after="0" w:line="360" w:lineRule="auto"/>
              <w:jc w:val="center"/>
              <w:rPr>
                <w:rFonts w:hint="eastAsia" w:ascii="仿宋" w:hAnsi="仿宋" w:eastAsia="仿宋" w:cs="仿宋"/>
                <w:color w:val="auto"/>
                <w:sz w:val="24"/>
                <w:highlight w:val="none"/>
              </w:rPr>
            </w:pPr>
          </w:p>
        </w:tc>
        <w:tc>
          <w:tcPr>
            <w:tcW w:w="2436" w:type="dxa"/>
            <w:noWrap w:val="0"/>
            <w:vAlign w:val="center"/>
          </w:tcPr>
          <w:p w14:paraId="2D454475">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企业网站网址（如有）：</w:t>
            </w:r>
          </w:p>
        </w:tc>
        <w:tc>
          <w:tcPr>
            <w:tcW w:w="2287" w:type="dxa"/>
            <w:noWrap w:val="0"/>
            <w:vAlign w:val="center"/>
          </w:tcPr>
          <w:p w14:paraId="3B129D00">
            <w:pPr>
              <w:pStyle w:val="16"/>
              <w:spacing w:after="0" w:line="360" w:lineRule="auto"/>
              <w:jc w:val="center"/>
              <w:rPr>
                <w:rFonts w:hint="eastAsia" w:ascii="仿宋" w:hAnsi="仿宋" w:eastAsia="仿宋" w:cs="仿宋"/>
                <w:color w:val="auto"/>
                <w:sz w:val="24"/>
                <w:highlight w:val="none"/>
              </w:rPr>
            </w:pPr>
          </w:p>
        </w:tc>
      </w:tr>
      <w:tr w14:paraId="03BB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15" w:type="dxa"/>
            <w:noWrap w:val="0"/>
            <w:vAlign w:val="center"/>
          </w:tcPr>
          <w:p w14:paraId="7C7BA268">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企业电话：</w:t>
            </w:r>
          </w:p>
        </w:tc>
        <w:tc>
          <w:tcPr>
            <w:tcW w:w="2268" w:type="dxa"/>
            <w:noWrap w:val="0"/>
            <w:vAlign w:val="center"/>
          </w:tcPr>
          <w:p w14:paraId="336623D8">
            <w:pPr>
              <w:pStyle w:val="16"/>
              <w:spacing w:after="0" w:line="360" w:lineRule="auto"/>
              <w:jc w:val="center"/>
              <w:rPr>
                <w:rFonts w:hint="eastAsia" w:ascii="仿宋" w:hAnsi="仿宋" w:eastAsia="仿宋" w:cs="仿宋"/>
                <w:color w:val="auto"/>
                <w:sz w:val="24"/>
                <w:highlight w:val="none"/>
              </w:rPr>
            </w:pPr>
          </w:p>
        </w:tc>
        <w:tc>
          <w:tcPr>
            <w:tcW w:w="2436" w:type="dxa"/>
            <w:noWrap w:val="0"/>
            <w:vAlign w:val="center"/>
          </w:tcPr>
          <w:p w14:paraId="2F446716">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通讯地址：</w:t>
            </w:r>
          </w:p>
        </w:tc>
        <w:tc>
          <w:tcPr>
            <w:tcW w:w="2287" w:type="dxa"/>
            <w:noWrap w:val="0"/>
            <w:vAlign w:val="center"/>
          </w:tcPr>
          <w:p w14:paraId="39B10314">
            <w:pPr>
              <w:pStyle w:val="16"/>
              <w:spacing w:after="0" w:line="360" w:lineRule="auto"/>
              <w:jc w:val="center"/>
              <w:rPr>
                <w:rFonts w:hint="eastAsia" w:ascii="仿宋" w:hAnsi="仿宋" w:eastAsia="仿宋" w:cs="仿宋"/>
                <w:color w:val="auto"/>
                <w:sz w:val="24"/>
                <w:highlight w:val="none"/>
              </w:rPr>
            </w:pPr>
          </w:p>
        </w:tc>
      </w:tr>
      <w:tr w14:paraId="77D9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2615" w:type="dxa"/>
            <w:noWrap w:val="0"/>
            <w:vAlign w:val="center"/>
          </w:tcPr>
          <w:p w14:paraId="5283FE12">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公司简介：</w:t>
            </w:r>
          </w:p>
        </w:tc>
        <w:tc>
          <w:tcPr>
            <w:tcW w:w="6991" w:type="dxa"/>
            <w:gridSpan w:val="3"/>
            <w:noWrap w:val="0"/>
            <w:vAlign w:val="center"/>
          </w:tcPr>
          <w:p w14:paraId="3572D270">
            <w:pPr>
              <w:pStyle w:val="16"/>
              <w:spacing w:after="0" w:line="360" w:lineRule="auto"/>
              <w:jc w:val="center"/>
              <w:rPr>
                <w:rFonts w:hint="eastAsia" w:ascii="仿宋" w:hAnsi="仿宋" w:eastAsia="仿宋" w:cs="仿宋"/>
                <w:color w:val="auto"/>
                <w:sz w:val="24"/>
                <w:highlight w:val="none"/>
              </w:rPr>
            </w:pPr>
          </w:p>
        </w:tc>
      </w:tr>
      <w:tr w14:paraId="7A5B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2615" w:type="dxa"/>
            <w:noWrap w:val="0"/>
            <w:vAlign w:val="center"/>
          </w:tcPr>
          <w:p w14:paraId="74DEE74E">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6991" w:type="dxa"/>
            <w:gridSpan w:val="3"/>
            <w:noWrap w:val="0"/>
            <w:vAlign w:val="center"/>
          </w:tcPr>
          <w:p w14:paraId="2CEA7E7B">
            <w:pPr>
              <w:pStyle w:val="16"/>
              <w:spacing w:after="0" w:line="360" w:lineRule="auto"/>
              <w:jc w:val="center"/>
              <w:rPr>
                <w:rFonts w:hint="eastAsia" w:ascii="仿宋" w:hAnsi="仿宋" w:eastAsia="仿宋" w:cs="仿宋"/>
                <w:color w:val="auto"/>
                <w:sz w:val="24"/>
                <w:highlight w:val="none"/>
              </w:rPr>
            </w:pPr>
          </w:p>
        </w:tc>
      </w:tr>
      <w:tr w14:paraId="6711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2615" w:type="dxa"/>
            <w:noWrap w:val="0"/>
            <w:vAlign w:val="center"/>
          </w:tcPr>
          <w:p w14:paraId="4AE42755">
            <w:pPr>
              <w:pStyle w:val="16"/>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公司拥有资质证书：</w:t>
            </w:r>
          </w:p>
        </w:tc>
        <w:tc>
          <w:tcPr>
            <w:tcW w:w="6991" w:type="dxa"/>
            <w:gridSpan w:val="3"/>
            <w:noWrap w:val="0"/>
            <w:vAlign w:val="center"/>
          </w:tcPr>
          <w:p w14:paraId="209A2197">
            <w:pPr>
              <w:pStyle w:val="16"/>
              <w:spacing w:after="0" w:line="360" w:lineRule="auto"/>
              <w:jc w:val="center"/>
              <w:rPr>
                <w:rFonts w:hint="eastAsia" w:ascii="仿宋" w:hAnsi="仿宋" w:eastAsia="仿宋" w:cs="仿宋"/>
                <w:color w:val="auto"/>
                <w:sz w:val="24"/>
                <w:highlight w:val="none"/>
              </w:rPr>
            </w:pPr>
          </w:p>
        </w:tc>
      </w:tr>
    </w:tbl>
    <w:p w14:paraId="0DA13B60">
      <w:pPr>
        <w:pStyle w:val="16"/>
        <w:spacing w:line="360" w:lineRule="auto"/>
        <w:rPr>
          <w:rFonts w:hint="eastAsia" w:ascii="仿宋" w:hAnsi="仿宋" w:eastAsia="仿宋" w:cs="仿宋"/>
          <w:color w:val="auto"/>
          <w:sz w:val="24"/>
          <w:highlight w:val="none"/>
        </w:rPr>
      </w:pPr>
    </w:p>
    <w:p w14:paraId="4F8462BB">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1"/>
          <w:highlight w:val="none"/>
          <w:lang w:val="en-US" w:eastAsia="zh-CN" w:bidi="ar"/>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电子公章</w:t>
      </w:r>
      <w:r>
        <w:rPr>
          <w:rFonts w:hint="eastAsia" w:ascii="仿宋" w:hAnsi="仿宋" w:eastAsia="仿宋" w:cs="仿宋"/>
          <w:color w:val="auto"/>
          <w:sz w:val="24"/>
          <w:highlight w:val="none"/>
          <w:lang w:eastAsia="zh-CN"/>
        </w:rPr>
        <w:t>）</w:t>
      </w:r>
    </w:p>
    <w:p w14:paraId="0980ED6E">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电子签字或电子签章</w:t>
      </w:r>
      <w:r>
        <w:rPr>
          <w:rFonts w:hint="eastAsia" w:ascii="仿宋" w:hAnsi="仿宋" w:eastAsia="仿宋" w:cs="仿宋"/>
          <w:color w:val="auto"/>
          <w:sz w:val="24"/>
          <w:highlight w:val="none"/>
        </w:rPr>
        <w:t>）</w:t>
      </w:r>
    </w:p>
    <w:p w14:paraId="6AEFE469">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F986907">
      <w:pPr>
        <w:widowControl/>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rPr>
        <w:t>：</w:t>
      </w:r>
    </w:p>
    <w:p w14:paraId="40E1A7F4">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line="360" w:lineRule="auto"/>
        <w:jc w:val="center"/>
        <w:textAlignment w:val="auto"/>
        <w:outlineLvl w:val="9"/>
        <w:rPr>
          <w:rFonts w:hint="eastAsia" w:ascii="仿宋" w:hAnsi="仿宋" w:eastAsia="仿宋" w:cs="仿宋"/>
          <w:b/>
          <w:color w:val="auto"/>
          <w:sz w:val="28"/>
          <w:szCs w:val="28"/>
          <w:highlight w:val="none"/>
          <w:lang w:val="en-US" w:eastAsia="zh-CN"/>
        </w:rPr>
      </w:pPr>
      <w:bookmarkStart w:id="210" w:name="_Toc28027"/>
      <w:bookmarkStart w:id="211" w:name="_Toc15473"/>
      <w:bookmarkStart w:id="212" w:name="_Toc11994"/>
      <w:bookmarkStart w:id="213" w:name="_Toc489197868"/>
      <w:bookmarkStart w:id="214" w:name="_Toc481694857"/>
      <w:bookmarkStart w:id="215" w:name="_Toc488633629"/>
      <w:bookmarkStart w:id="216" w:name="_Toc489145764"/>
      <w:r>
        <w:rPr>
          <w:rFonts w:hint="eastAsia" w:ascii="仿宋" w:hAnsi="仿宋" w:eastAsia="仿宋" w:cs="仿宋"/>
          <w:b/>
          <w:color w:val="auto"/>
          <w:sz w:val="28"/>
          <w:szCs w:val="28"/>
          <w:highlight w:val="none"/>
          <w:lang w:val="en-US" w:eastAsia="zh-CN"/>
        </w:rPr>
        <w:t>法定代表人（单位负责人）身份证明书</w:t>
      </w:r>
      <w:bookmarkEnd w:id="210"/>
      <w:bookmarkEnd w:id="211"/>
      <w:bookmarkEnd w:id="212"/>
      <w:bookmarkEnd w:id="213"/>
      <w:bookmarkEnd w:id="214"/>
      <w:bookmarkEnd w:id="215"/>
      <w:bookmarkEnd w:id="216"/>
    </w:p>
    <w:p w14:paraId="497C1735">
      <w:pPr>
        <w:spacing w:line="360" w:lineRule="auto"/>
        <w:jc w:val="center"/>
        <w:rPr>
          <w:rFonts w:hint="eastAsia" w:ascii="仿宋" w:hAnsi="仿宋" w:eastAsia="仿宋" w:cs="仿宋"/>
          <w:b/>
          <w:color w:val="auto"/>
          <w:sz w:val="30"/>
          <w:szCs w:val="30"/>
          <w:highlight w:val="none"/>
        </w:rPr>
      </w:pPr>
    </w:p>
    <w:p w14:paraId="59398B5B">
      <w:pPr>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szCs w:val="21"/>
          <w:highlight w:val="none"/>
          <w:lang w:val="en-US" w:eastAsia="zh-CN" w:bidi="ar"/>
        </w:rPr>
        <w:t>单位名称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4569FA7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6F46C21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1CCBE5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4A4EA4A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14:paraId="4BDAD2D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szCs w:val="21"/>
          <w:highlight w:val="none"/>
          <w:lang w:val="en-US" w:eastAsia="zh-CN" w:bidi="ar"/>
        </w:rPr>
        <w:t>供应商</w:t>
      </w:r>
      <w:r>
        <w:rPr>
          <w:rFonts w:hint="eastAsia" w:ascii="仿宋" w:hAnsi="仿宋" w:eastAsia="仿宋" w:cs="仿宋"/>
          <w:color w:val="auto"/>
          <w:sz w:val="24"/>
          <w:highlight w:val="none"/>
        </w:rPr>
        <w:t>）的法定代表人（单位负责人）。</w:t>
      </w:r>
    </w:p>
    <w:p w14:paraId="69BFA011">
      <w:pPr>
        <w:spacing w:line="360" w:lineRule="auto"/>
        <w:rPr>
          <w:rFonts w:hint="eastAsia" w:ascii="仿宋" w:hAnsi="仿宋" w:eastAsia="仿宋" w:cs="仿宋"/>
          <w:color w:val="auto"/>
          <w:sz w:val="24"/>
          <w:highlight w:val="none"/>
        </w:rPr>
      </w:pPr>
    </w:p>
    <w:p w14:paraId="25F7DDC0">
      <w:pPr>
        <w:spacing w:line="360" w:lineRule="auto"/>
        <w:ind w:firstLine="480" w:firstLineChars="200"/>
        <w:rPr>
          <w:rFonts w:hint="eastAsia" w:ascii="仿宋" w:hAnsi="仿宋" w:eastAsia="仿宋" w:cs="仿宋"/>
          <w:color w:val="auto"/>
          <w:sz w:val="24"/>
          <w:highlight w:val="none"/>
        </w:rPr>
      </w:pPr>
    </w:p>
    <w:p w14:paraId="7417EF3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4ACA944A">
      <w:pPr>
        <w:spacing w:line="360" w:lineRule="auto"/>
        <w:rPr>
          <w:rFonts w:hint="eastAsia" w:ascii="仿宋" w:hAnsi="仿宋" w:eastAsia="仿宋" w:cs="仿宋"/>
          <w:color w:val="auto"/>
          <w:sz w:val="24"/>
          <w:highlight w:val="none"/>
        </w:rPr>
      </w:pPr>
    </w:p>
    <w:p w14:paraId="3D687556">
      <w:pPr>
        <w:pStyle w:val="10"/>
        <w:spacing w:line="360" w:lineRule="auto"/>
        <w:rPr>
          <w:rFonts w:hint="eastAsia" w:ascii="仿宋" w:hAnsi="仿宋" w:eastAsia="仿宋" w:cs="仿宋"/>
          <w:color w:val="auto"/>
          <w:highlight w:val="none"/>
        </w:rPr>
      </w:pPr>
    </w:p>
    <w:p w14:paraId="33F62238">
      <w:pPr>
        <w:spacing w:line="360" w:lineRule="auto"/>
        <w:jc w:val="right"/>
        <w:rPr>
          <w:rFonts w:hint="eastAsia" w:ascii="仿宋" w:hAnsi="仿宋" w:eastAsia="仿宋" w:cs="仿宋"/>
          <w:color w:val="auto"/>
          <w:sz w:val="24"/>
          <w:highlight w:val="none"/>
          <w:u w:val="none"/>
        </w:rPr>
      </w:pPr>
      <w:r>
        <w:rPr>
          <w:rFonts w:hint="eastAsia" w:ascii="仿宋" w:hAnsi="仿宋" w:eastAsia="仿宋" w:cs="仿宋"/>
          <w:color w:val="auto"/>
          <w:kern w:val="0"/>
          <w:sz w:val="24"/>
          <w:szCs w:val="21"/>
          <w:highlight w:val="none"/>
          <w:lang w:val="en-US" w:eastAsia="zh-CN" w:bidi="ar"/>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rPr>
        <w:t>加盖</w:t>
      </w:r>
      <w:r>
        <w:rPr>
          <w:rFonts w:hint="eastAsia" w:ascii="仿宋" w:hAnsi="仿宋" w:eastAsia="仿宋" w:cs="仿宋"/>
          <w:color w:val="auto"/>
          <w:sz w:val="24"/>
          <w:highlight w:val="none"/>
          <w:u w:val="none"/>
          <w:lang w:val="en-US" w:eastAsia="zh-CN"/>
        </w:rPr>
        <w:t>电子公章</w:t>
      </w:r>
      <w:r>
        <w:rPr>
          <w:rFonts w:hint="eastAsia" w:ascii="仿宋" w:hAnsi="仿宋" w:eastAsia="仿宋" w:cs="仿宋"/>
          <w:color w:val="auto"/>
          <w:sz w:val="24"/>
          <w:highlight w:val="none"/>
          <w:u w:val="none"/>
          <w:lang w:eastAsia="zh-CN"/>
        </w:rPr>
        <w:t>）</w:t>
      </w:r>
    </w:p>
    <w:p w14:paraId="4C0CC1D4">
      <w:pPr>
        <w:pStyle w:val="10"/>
        <w:spacing w:line="360" w:lineRule="auto"/>
        <w:rPr>
          <w:rFonts w:hint="eastAsia" w:ascii="仿宋" w:hAnsi="仿宋" w:eastAsia="仿宋" w:cs="仿宋"/>
          <w:color w:val="auto"/>
          <w:highlight w:val="none"/>
        </w:rPr>
      </w:pPr>
    </w:p>
    <w:p w14:paraId="4B85E510">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9FB86D8">
      <w:pPr>
        <w:pStyle w:val="16"/>
        <w:spacing w:line="360" w:lineRule="auto"/>
        <w:ind w:firstLine="420"/>
        <w:rPr>
          <w:rFonts w:hint="eastAsia" w:ascii="仿宋" w:hAnsi="仿宋" w:eastAsia="仿宋" w:cs="仿宋"/>
          <w:b/>
          <w:bCs/>
          <w:color w:val="auto"/>
          <w:szCs w:val="21"/>
          <w:highlight w:val="none"/>
        </w:rPr>
      </w:pPr>
    </w:p>
    <w:p w14:paraId="66AC30AF">
      <w:pPr>
        <w:pStyle w:val="16"/>
        <w:spacing w:line="360" w:lineRule="auto"/>
        <w:ind w:firstLine="42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rPr>
        <w:t>在</w:t>
      </w:r>
      <w:r>
        <w:rPr>
          <w:rFonts w:hint="eastAsia" w:ascii="仿宋" w:hAnsi="仿宋" w:eastAsia="仿宋" w:cs="仿宋"/>
          <w:b/>
          <w:bCs/>
          <w:color w:val="auto"/>
          <w:szCs w:val="21"/>
          <w:highlight w:val="none"/>
          <w:lang w:val="en-US" w:eastAsia="zh-CN"/>
        </w:rPr>
        <w:t>响应</w:t>
      </w:r>
      <w:r>
        <w:rPr>
          <w:rFonts w:hint="eastAsia" w:ascii="仿宋" w:hAnsi="仿宋" w:eastAsia="仿宋" w:cs="仿宋"/>
          <w:b/>
          <w:bCs/>
          <w:color w:val="auto"/>
          <w:szCs w:val="21"/>
          <w:highlight w:val="none"/>
        </w:rPr>
        <w:t>文件中附法定代表人（单位负责人）居民身份证（正反两面）复印件。</w:t>
      </w:r>
    </w:p>
    <w:p w14:paraId="2BEC7F7D">
      <w:pPr>
        <w:spacing w:line="360" w:lineRule="auto"/>
        <w:rPr>
          <w:rFonts w:hint="eastAsia" w:ascii="仿宋" w:hAnsi="仿宋" w:eastAsia="仿宋" w:cs="仿宋"/>
          <w:color w:val="auto"/>
          <w:szCs w:val="21"/>
          <w:highlight w:val="none"/>
        </w:rPr>
      </w:pPr>
    </w:p>
    <w:p w14:paraId="157A342D">
      <w:pPr>
        <w:widowControl/>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w:t>
      </w:r>
    </w:p>
    <w:p w14:paraId="4A0AAE55">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line="360" w:lineRule="auto"/>
        <w:jc w:val="center"/>
        <w:textAlignment w:val="auto"/>
        <w:outlineLvl w:val="9"/>
        <w:rPr>
          <w:rFonts w:hint="eastAsia" w:ascii="仿宋" w:hAnsi="仿宋" w:eastAsia="仿宋" w:cs="仿宋"/>
          <w:b/>
          <w:color w:val="auto"/>
          <w:highlight w:val="none"/>
          <w:lang w:val="en-US" w:eastAsia="zh-CN"/>
        </w:rPr>
      </w:pPr>
      <w:bookmarkStart w:id="217" w:name="_Toc13040"/>
      <w:bookmarkStart w:id="218" w:name="_Toc489145765"/>
      <w:bookmarkStart w:id="219" w:name="_Toc213141107"/>
      <w:bookmarkStart w:id="220" w:name="_Toc13974"/>
      <w:bookmarkStart w:id="221" w:name="_Toc481694858"/>
      <w:bookmarkStart w:id="222" w:name="_Toc489197869"/>
      <w:bookmarkStart w:id="223" w:name="_Toc4612"/>
      <w:bookmarkStart w:id="224" w:name="_Toc488633630"/>
      <w:r>
        <w:rPr>
          <w:rFonts w:hint="eastAsia" w:ascii="仿宋" w:hAnsi="仿宋" w:eastAsia="仿宋" w:cs="仿宋"/>
          <w:b/>
          <w:color w:val="auto"/>
          <w:sz w:val="28"/>
          <w:szCs w:val="28"/>
          <w:highlight w:val="none"/>
          <w:lang w:val="en-US" w:eastAsia="zh-CN"/>
        </w:rPr>
        <w:t>法定代表人（单位负责人）授权委托书</w:t>
      </w:r>
      <w:bookmarkEnd w:id="217"/>
      <w:bookmarkEnd w:id="218"/>
      <w:bookmarkEnd w:id="219"/>
      <w:bookmarkEnd w:id="220"/>
      <w:bookmarkEnd w:id="221"/>
      <w:bookmarkEnd w:id="222"/>
      <w:bookmarkEnd w:id="223"/>
      <w:bookmarkEnd w:id="224"/>
    </w:p>
    <w:p w14:paraId="23CBCB3D">
      <w:pPr>
        <w:pStyle w:val="16"/>
        <w:spacing w:line="360" w:lineRule="auto"/>
        <w:ind w:firstLine="480" w:firstLineChars="200"/>
        <w:rPr>
          <w:rFonts w:hint="eastAsia" w:ascii="仿宋" w:hAnsi="仿宋" w:eastAsia="仿宋" w:cs="仿宋"/>
          <w:color w:val="auto"/>
          <w:sz w:val="24"/>
          <w:highlight w:val="none"/>
        </w:rPr>
      </w:pPr>
    </w:p>
    <w:p w14:paraId="753AC30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本授权书声明：</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单位名称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的法定代表人（单位负责人）代表本公司授权</w:t>
      </w:r>
      <w:r>
        <w:rPr>
          <w:rFonts w:hint="eastAsia" w:ascii="仿宋" w:hAnsi="仿宋" w:eastAsia="仿宋" w:cs="仿宋"/>
          <w:color w:val="auto"/>
          <w:sz w:val="24"/>
          <w:highlight w:val="none"/>
          <w:u w:val="single"/>
        </w:rPr>
        <w:t>（委托代理人姓名）</w:t>
      </w:r>
      <w:r>
        <w:rPr>
          <w:rFonts w:hint="eastAsia" w:ascii="仿宋" w:hAnsi="仿宋" w:eastAsia="仿宋" w:cs="仿宋"/>
          <w:color w:val="auto"/>
          <w:sz w:val="24"/>
          <w:highlight w:val="none"/>
        </w:rPr>
        <w:t>为本公司合法代理人，就贵方组织的有关</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eastAsia="zh-CN"/>
        </w:rPr>
        <w:t>项目名称</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项目（</w:t>
      </w:r>
      <w:r>
        <w:rPr>
          <w:rFonts w:hint="eastAsia" w:ascii="仿宋" w:hAnsi="仿宋" w:eastAsia="仿宋" w:cs="仿宋"/>
          <w:color w:val="auto"/>
          <w:sz w:val="24"/>
          <w:highlight w:val="none"/>
          <w:lang w:val="en-US" w:eastAsia="zh-CN"/>
        </w:rPr>
        <w:t>项目编号</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，以本单位名义响应。代理人在本项目</w:t>
      </w:r>
      <w:r>
        <w:rPr>
          <w:rFonts w:hint="eastAsia" w:ascii="仿宋" w:hAnsi="仿宋" w:eastAsia="仿宋" w:cs="仿宋"/>
          <w:color w:val="auto"/>
          <w:sz w:val="24"/>
          <w:highlight w:val="none"/>
          <w:lang w:val="en-US" w:eastAsia="zh-CN"/>
        </w:rPr>
        <w:t>招标</w:t>
      </w:r>
      <w:r>
        <w:rPr>
          <w:rFonts w:hint="eastAsia" w:ascii="仿宋" w:hAnsi="仿宋" w:eastAsia="仿宋" w:cs="仿宋"/>
          <w:color w:val="auto"/>
          <w:sz w:val="24"/>
          <w:highlight w:val="none"/>
        </w:rPr>
        <w:t>过程中所签署的一切文件和处理与之有关的一切事务，我方均予承认。</w:t>
      </w:r>
    </w:p>
    <w:p w14:paraId="25F20FD9">
      <w:pPr>
        <w:pStyle w:val="16"/>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w:t>
      </w:r>
    </w:p>
    <w:p w14:paraId="4F6E9D4E">
      <w:pPr>
        <w:pStyle w:val="16"/>
        <w:spacing w:line="360" w:lineRule="auto"/>
        <w:rPr>
          <w:rFonts w:hint="eastAsia" w:ascii="仿宋" w:hAnsi="仿宋" w:eastAsia="仿宋" w:cs="仿宋"/>
          <w:color w:val="auto"/>
          <w:sz w:val="24"/>
          <w:highlight w:val="none"/>
        </w:rPr>
      </w:pPr>
    </w:p>
    <w:p w14:paraId="495A3D5C">
      <w:pPr>
        <w:pStyle w:val="16"/>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szCs w:val="21"/>
          <w:highlight w:val="none"/>
          <w:lang w:val="en-US" w:eastAsia="zh-CN" w:bidi="ar"/>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电子公章</w:t>
      </w:r>
      <w:r>
        <w:rPr>
          <w:rFonts w:hint="eastAsia" w:ascii="仿宋" w:hAnsi="仿宋" w:eastAsia="仿宋" w:cs="仿宋"/>
          <w:color w:val="auto"/>
          <w:sz w:val="24"/>
          <w:highlight w:val="none"/>
          <w:lang w:eastAsia="zh-CN"/>
        </w:rPr>
        <w:t>）</w:t>
      </w:r>
    </w:p>
    <w:p w14:paraId="5B6943C8">
      <w:pPr>
        <w:pStyle w:val="16"/>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电子签字或电子签章</w:t>
      </w:r>
      <w:r>
        <w:rPr>
          <w:rFonts w:hint="eastAsia" w:ascii="仿宋" w:hAnsi="仿宋" w:eastAsia="仿宋" w:cs="仿宋"/>
          <w:color w:val="auto"/>
          <w:sz w:val="24"/>
          <w:highlight w:val="none"/>
        </w:rPr>
        <w:t>）</w:t>
      </w:r>
    </w:p>
    <w:p w14:paraId="14E165AB">
      <w:pPr>
        <w:pStyle w:val="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电子签名或电子签章或签名或签章</w:t>
      </w:r>
      <w:r>
        <w:rPr>
          <w:rFonts w:hint="eastAsia" w:ascii="仿宋" w:hAnsi="仿宋" w:eastAsia="仿宋" w:cs="仿宋"/>
          <w:color w:val="auto"/>
          <w:sz w:val="24"/>
          <w:highlight w:val="none"/>
        </w:rPr>
        <w:t>）</w:t>
      </w:r>
    </w:p>
    <w:p w14:paraId="03053B67">
      <w:pPr>
        <w:pStyle w:val="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tbl>
      <w:tblPr>
        <w:tblStyle w:val="25"/>
        <w:tblW w:w="0" w:type="auto"/>
        <w:tblInd w:w="720" w:type="dxa"/>
        <w:tblLayout w:type="fixed"/>
        <w:tblCellMar>
          <w:top w:w="0" w:type="dxa"/>
          <w:left w:w="108" w:type="dxa"/>
          <w:bottom w:w="0" w:type="dxa"/>
          <w:right w:w="108" w:type="dxa"/>
        </w:tblCellMar>
      </w:tblPr>
      <w:tblGrid>
        <w:gridCol w:w="2181"/>
        <w:gridCol w:w="3687"/>
      </w:tblGrid>
      <w:tr w14:paraId="38C7A809">
        <w:tblPrEx>
          <w:tblCellMar>
            <w:top w:w="0" w:type="dxa"/>
            <w:left w:w="108" w:type="dxa"/>
            <w:bottom w:w="0" w:type="dxa"/>
            <w:right w:w="108" w:type="dxa"/>
          </w:tblCellMar>
        </w:tblPrEx>
        <w:tc>
          <w:tcPr>
            <w:tcW w:w="2181" w:type="dxa"/>
            <w:tcBorders>
              <w:top w:val="nil"/>
              <w:left w:val="nil"/>
              <w:bottom w:val="nil"/>
              <w:right w:val="nil"/>
            </w:tcBorders>
            <w:noWrap w:val="0"/>
            <w:vAlign w:val="top"/>
          </w:tcPr>
          <w:p w14:paraId="049D2E65">
            <w:pPr>
              <w:pStyle w:val="16"/>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 </w:t>
            </w:r>
          </w:p>
        </w:tc>
        <w:tc>
          <w:tcPr>
            <w:tcW w:w="3687" w:type="dxa"/>
            <w:tcBorders>
              <w:top w:val="nil"/>
              <w:left w:val="nil"/>
              <w:bottom w:val="nil"/>
              <w:right w:val="nil"/>
            </w:tcBorders>
            <w:noWrap w:val="0"/>
            <w:vAlign w:val="top"/>
          </w:tcPr>
          <w:p w14:paraId="6C1CFF7E">
            <w:pPr>
              <w:pStyle w:val="16"/>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p>
        </w:tc>
      </w:tr>
      <w:tr w14:paraId="691476EC">
        <w:tblPrEx>
          <w:tblCellMar>
            <w:top w:w="0" w:type="dxa"/>
            <w:left w:w="108" w:type="dxa"/>
            <w:bottom w:w="0" w:type="dxa"/>
            <w:right w:w="108" w:type="dxa"/>
          </w:tblCellMar>
        </w:tblPrEx>
        <w:tc>
          <w:tcPr>
            <w:tcW w:w="2181" w:type="dxa"/>
            <w:tcBorders>
              <w:top w:val="nil"/>
              <w:left w:val="nil"/>
              <w:bottom w:val="nil"/>
              <w:right w:val="nil"/>
            </w:tcBorders>
            <w:noWrap w:val="0"/>
            <w:vAlign w:val="top"/>
          </w:tcPr>
          <w:p w14:paraId="45BA37D3">
            <w:pPr>
              <w:pStyle w:val="16"/>
              <w:spacing w:after="0" w:line="360" w:lineRule="auto"/>
              <w:jc w:val="distribute"/>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委托代理人姓名：</w:t>
            </w:r>
          </w:p>
        </w:tc>
        <w:tc>
          <w:tcPr>
            <w:tcW w:w="3687" w:type="dxa"/>
            <w:tcBorders>
              <w:top w:val="nil"/>
              <w:left w:val="nil"/>
              <w:bottom w:val="nil"/>
              <w:right w:val="nil"/>
            </w:tcBorders>
            <w:noWrap w:val="0"/>
            <w:vAlign w:val="top"/>
          </w:tcPr>
          <w:p w14:paraId="394C08E1">
            <w:pPr>
              <w:pStyle w:val="16"/>
              <w:spacing w:after="0" w:line="360" w:lineRule="auto"/>
              <w:rPr>
                <w:rFonts w:hint="eastAsia" w:ascii="仿宋" w:hAnsi="仿宋" w:eastAsia="仿宋" w:cs="仿宋"/>
                <w:color w:val="auto"/>
                <w:sz w:val="24"/>
                <w:highlight w:val="none"/>
              </w:rPr>
            </w:pPr>
          </w:p>
        </w:tc>
      </w:tr>
      <w:tr w14:paraId="00C898EE">
        <w:tblPrEx>
          <w:tblCellMar>
            <w:top w:w="0" w:type="dxa"/>
            <w:left w:w="108" w:type="dxa"/>
            <w:bottom w:w="0" w:type="dxa"/>
            <w:right w:w="108" w:type="dxa"/>
          </w:tblCellMar>
        </w:tblPrEx>
        <w:tc>
          <w:tcPr>
            <w:tcW w:w="2181" w:type="dxa"/>
            <w:tcBorders>
              <w:top w:val="nil"/>
              <w:left w:val="nil"/>
              <w:bottom w:val="nil"/>
              <w:right w:val="nil"/>
            </w:tcBorders>
            <w:noWrap w:val="0"/>
            <w:vAlign w:val="top"/>
          </w:tcPr>
          <w:p w14:paraId="27686BE6">
            <w:pPr>
              <w:pStyle w:val="16"/>
              <w:spacing w:after="0" w:line="360" w:lineRule="auto"/>
              <w:jc w:val="distribute"/>
              <w:rPr>
                <w:rFonts w:hint="eastAsia" w:ascii="仿宋" w:hAnsi="仿宋" w:eastAsia="仿宋" w:cs="仿宋"/>
                <w:color w:val="auto"/>
                <w:sz w:val="24"/>
                <w:highlight w:val="none"/>
              </w:rPr>
            </w:pPr>
            <w:r>
              <w:rPr>
                <w:rFonts w:hint="eastAsia" w:ascii="仿宋" w:hAnsi="仿宋" w:eastAsia="仿宋" w:cs="仿宋"/>
                <w:color w:val="auto"/>
                <w:sz w:val="24"/>
                <w:highlight w:val="none"/>
              </w:rPr>
              <w:t>职       务：</w:t>
            </w:r>
          </w:p>
        </w:tc>
        <w:tc>
          <w:tcPr>
            <w:tcW w:w="3687" w:type="dxa"/>
            <w:tcBorders>
              <w:top w:val="nil"/>
              <w:left w:val="nil"/>
              <w:bottom w:val="nil"/>
              <w:right w:val="nil"/>
            </w:tcBorders>
            <w:noWrap w:val="0"/>
            <w:vAlign w:val="top"/>
          </w:tcPr>
          <w:p w14:paraId="2C2C0655">
            <w:pPr>
              <w:pStyle w:val="16"/>
              <w:spacing w:after="0" w:line="360" w:lineRule="auto"/>
              <w:rPr>
                <w:rFonts w:hint="eastAsia" w:ascii="仿宋" w:hAnsi="仿宋" w:eastAsia="仿宋" w:cs="仿宋"/>
                <w:color w:val="auto"/>
                <w:sz w:val="24"/>
                <w:highlight w:val="none"/>
              </w:rPr>
            </w:pPr>
          </w:p>
        </w:tc>
      </w:tr>
      <w:tr w14:paraId="097FC90B">
        <w:tblPrEx>
          <w:tblCellMar>
            <w:top w:w="0" w:type="dxa"/>
            <w:left w:w="108" w:type="dxa"/>
            <w:bottom w:w="0" w:type="dxa"/>
            <w:right w:w="108" w:type="dxa"/>
          </w:tblCellMar>
        </w:tblPrEx>
        <w:tc>
          <w:tcPr>
            <w:tcW w:w="2181" w:type="dxa"/>
            <w:tcBorders>
              <w:top w:val="nil"/>
              <w:left w:val="nil"/>
              <w:bottom w:val="nil"/>
              <w:right w:val="nil"/>
            </w:tcBorders>
            <w:noWrap w:val="0"/>
            <w:vAlign w:val="top"/>
          </w:tcPr>
          <w:p w14:paraId="76889CD2">
            <w:pPr>
              <w:pStyle w:val="16"/>
              <w:spacing w:after="0" w:line="360" w:lineRule="auto"/>
              <w:jc w:val="distribute"/>
              <w:rPr>
                <w:rFonts w:hint="eastAsia" w:ascii="仿宋" w:hAnsi="仿宋" w:eastAsia="仿宋" w:cs="仿宋"/>
                <w:color w:val="auto"/>
                <w:sz w:val="24"/>
                <w:highlight w:val="none"/>
              </w:rPr>
            </w:pPr>
            <w:r>
              <w:rPr>
                <w:rFonts w:hint="eastAsia" w:ascii="仿宋" w:hAnsi="仿宋" w:eastAsia="仿宋" w:cs="仿宋"/>
                <w:color w:val="auto"/>
                <w:sz w:val="24"/>
                <w:highlight w:val="none"/>
              </w:rPr>
              <w:t>居民身份证号码：</w:t>
            </w:r>
          </w:p>
        </w:tc>
        <w:tc>
          <w:tcPr>
            <w:tcW w:w="3687" w:type="dxa"/>
            <w:tcBorders>
              <w:top w:val="nil"/>
              <w:left w:val="nil"/>
              <w:bottom w:val="nil"/>
              <w:right w:val="nil"/>
            </w:tcBorders>
            <w:noWrap w:val="0"/>
            <w:vAlign w:val="top"/>
          </w:tcPr>
          <w:p w14:paraId="6B7DF22E">
            <w:pPr>
              <w:pStyle w:val="16"/>
              <w:spacing w:after="0" w:line="360" w:lineRule="auto"/>
              <w:rPr>
                <w:rFonts w:hint="eastAsia" w:ascii="仿宋" w:hAnsi="仿宋" w:eastAsia="仿宋" w:cs="仿宋"/>
                <w:color w:val="auto"/>
                <w:sz w:val="24"/>
                <w:highlight w:val="none"/>
              </w:rPr>
            </w:pPr>
          </w:p>
        </w:tc>
      </w:tr>
      <w:tr w14:paraId="4E45D270">
        <w:tblPrEx>
          <w:tblCellMar>
            <w:top w:w="0" w:type="dxa"/>
            <w:left w:w="108" w:type="dxa"/>
            <w:bottom w:w="0" w:type="dxa"/>
            <w:right w:w="108" w:type="dxa"/>
          </w:tblCellMar>
        </w:tblPrEx>
        <w:tc>
          <w:tcPr>
            <w:tcW w:w="2181" w:type="dxa"/>
            <w:tcBorders>
              <w:top w:val="nil"/>
              <w:left w:val="nil"/>
              <w:bottom w:val="nil"/>
              <w:right w:val="nil"/>
            </w:tcBorders>
            <w:noWrap w:val="0"/>
            <w:vAlign w:val="top"/>
          </w:tcPr>
          <w:p w14:paraId="070A13CB">
            <w:pPr>
              <w:pStyle w:val="16"/>
              <w:spacing w:after="0" w:line="360" w:lineRule="auto"/>
              <w:jc w:val="distribute"/>
              <w:rPr>
                <w:rFonts w:hint="eastAsia" w:ascii="仿宋" w:hAnsi="仿宋" w:eastAsia="仿宋" w:cs="仿宋"/>
                <w:color w:val="auto"/>
                <w:sz w:val="24"/>
                <w:highlight w:val="none"/>
              </w:rPr>
            </w:pPr>
            <w:r>
              <w:rPr>
                <w:rFonts w:hint="eastAsia" w:ascii="仿宋" w:hAnsi="仿宋" w:eastAsia="仿宋" w:cs="仿宋"/>
                <w:color w:val="auto"/>
                <w:sz w:val="24"/>
                <w:highlight w:val="none"/>
              </w:rPr>
              <w:t>详 细  地 址：</w:t>
            </w:r>
          </w:p>
        </w:tc>
        <w:tc>
          <w:tcPr>
            <w:tcW w:w="3687" w:type="dxa"/>
            <w:tcBorders>
              <w:top w:val="nil"/>
              <w:left w:val="nil"/>
              <w:bottom w:val="nil"/>
              <w:right w:val="nil"/>
            </w:tcBorders>
            <w:noWrap w:val="0"/>
            <w:vAlign w:val="top"/>
          </w:tcPr>
          <w:p w14:paraId="57024046">
            <w:pPr>
              <w:pStyle w:val="16"/>
              <w:spacing w:after="0" w:line="360" w:lineRule="auto"/>
              <w:rPr>
                <w:rFonts w:hint="eastAsia" w:ascii="仿宋" w:hAnsi="仿宋" w:eastAsia="仿宋" w:cs="仿宋"/>
                <w:color w:val="auto"/>
                <w:sz w:val="24"/>
                <w:highlight w:val="none"/>
              </w:rPr>
            </w:pPr>
          </w:p>
        </w:tc>
      </w:tr>
      <w:tr w14:paraId="7813CC7E">
        <w:tblPrEx>
          <w:tblCellMar>
            <w:top w:w="0" w:type="dxa"/>
            <w:left w:w="108" w:type="dxa"/>
            <w:bottom w:w="0" w:type="dxa"/>
            <w:right w:w="108" w:type="dxa"/>
          </w:tblCellMar>
        </w:tblPrEx>
        <w:tc>
          <w:tcPr>
            <w:tcW w:w="2181" w:type="dxa"/>
            <w:tcBorders>
              <w:top w:val="nil"/>
              <w:left w:val="nil"/>
              <w:bottom w:val="nil"/>
              <w:right w:val="nil"/>
            </w:tcBorders>
            <w:noWrap w:val="0"/>
            <w:vAlign w:val="top"/>
          </w:tcPr>
          <w:p w14:paraId="4E456813">
            <w:pPr>
              <w:pStyle w:val="16"/>
              <w:spacing w:after="0" w:line="360" w:lineRule="auto"/>
              <w:jc w:val="distribute"/>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tc>
        <w:tc>
          <w:tcPr>
            <w:tcW w:w="3687" w:type="dxa"/>
            <w:tcBorders>
              <w:top w:val="nil"/>
              <w:left w:val="nil"/>
              <w:bottom w:val="nil"/>
              <w:right w:val="nil"/>
            </w:tcBorders>
            <w:noWrap w:val="0"/>
            <w:vAlign w:val="top"/>
          </w:tcPr>
          <w:p w14:paraId="169B1682">
            <w:pPr>
              <w:pStyle w:val="16"/>
              <w:spacing w:after="0" w:line="360" w:lineRule="auto"/>
              <w:rPr>
                <w:rFonts w:hint="eastAsia" w:ascii="仿宋" w:hAnsi="仿宋" w:eastAsia="仿宋" w:cs="仿宋"/>
                <w:color w:val="auto"/>
                <w:sz w:val="24"/>
                <w:highlight w:val="none"/>
              </w:rPr>
            </w:pPr>
          </w:p>
        </w:tc>
      </w:tr>
    </w:tbl>
    <w:p w14:paraId="25BB599B">
      <w:pPr>
        <w:pStyle w:val="16"/>
        <w:spacing w:line="360" w:lineRule="auto"/>
        <w:rPr>
          <w:rFonts w:hint="eastAsia" w:ascii="仿宋" w:hAnsi="仿宋" w:eastAsia="仿宋" w:cs="仿宋"/>
          <w:b/>
          <w:bCs/>
          <w:color w:val="auto"/>
          <w:szCs w:val="21"/>
          <w:highlight w:val="none"/>
        </w:rPr>
      </w:pPr>
    </w:p>
    <w:p w14:paraId="265739C0">
      <w:pPr>
        <w:pStyle w:val="16"/>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rPr>
        <w:t>在</w:t>
      </w:r>
      <w:r>
        <w:rPr>
          <w:rFonts w:hint="eastAsia" w:ascii="仿宋" w:hAnsi="仿宋" w:eastAsia="仿宋" w:cs="仿宋"/>
          <w:b/>
          <w:bCs/>
          <w:color w:val="auto"/>
          <w:szCs w:val="21"/>
          <w:highlight w:val="none"/>
          <w:lang w:val="en-US" w:eastAsia="zh-CN"/>
        </w:rPr>
        <w:t>响应</w:t>
      </w:r>
      <w:r>
        <w:rPr>
          <w:rFonts w:hint="eastAsia" w:ascii="仿宋" w:hAnsi="仿宋" w:eastAsia="仿宋" w:cs="仿宋"/>
          <w:b/>
          <w:bCs/>
          <w:color w:val="auto"/>
          <w:szCs w:val="21"/>
          <w:highlight w:val="none"/>
        </w:rPr>
        <w:t>文件中附法定代表人（单位负责人）及委托代理人居民身份证（正反两面）复印件。</w:t>
      </w:r>
    </w:p>
    <w:p w14:paraId="5ECD6059">
      <w:pPr>
        <w:pStyle w:val="16"/>
        <w:spacing w:line="360" w:lineRule="auto"/>
        <w:rPr>
          <w:rFonts w:hint="eastAsia" w:ascii="仿宋" w:hAnsi="仿宋" w:eastAsia="仿宋" w:cs="仿宋"/>
          <w:b/>
          <w:color w:val="auto"/>
          <w:sz w:val="28"/>
          <w:szCs w:val="28"/>
          <w:highlight w:val="none"/>
        </w:rPr>
      </w:pPr>
    </w:p>
    <w:p w14:paraId="09F64A7F">
      <w:pPr>
        <w:pStyle w:val="16"/>
        <w:spacing w:line="360" w:lineRule="auto"/>
        <w:rPr>
          <w:rFonts w:hint="eastAsia" w:ascii="仿宋" w:hAnsi="仿宋" w:eastAsia="仿宋" w:cs="仿宋"/>
          <w:color w:val="auto"/>
          <w:sz w:val="24"/>
          <w:highlight w:val="none"/>
          <w:u w:val="single"/>
        </w:rPr>
      </w:pPr>
      <w:r>
        <w:rPr>
          <w:rFonts w:hint="eastAsia" w:ascii="仿宋" w:hAnsi="仿宋" w:eastAsia="仿宋" w:cs="仿宋"/>
          <w:b/>
          <w:color w:val="auto"/>
          <w:sz w:val="28"/>
          <w:szCs w:val="28"/>
          <w:highlight w:val="none"/>
        </w:rPr>
        <w:br w:type="page"/>
      </w:r>
    </w:p>
    <w:p w14:paraId="45AAF0D8">
      <w:pPr>
        <w:spacing w:line="360" w:lineRule="auto"/>
        <w:ind w:firstLine="2" w:firstLineChars="1"/>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w:t>
      </w:r>
    </w:p>
    <w:p w14:paraId="720C74AE">
      <w:pPr>
        <w:pStyle w:val="3"/>
        <w:keepNext/>
        <w:keepLines/>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rPr>
          <w:rFonts w:hint="eastAsia" w:ascii="仿宋" w:hAnsi="仿宋" w:eastAsia="仿宋" w:cs="仿宋"/>
          <w:b/>
          <w:color w:val="auto"/>
          <w:highlight w:val="none"/>
          <w:lang w:val="en-US" w:eastAsia="zh-CN"/>
        </w:rPr>
      </w:pPr>
      <w:bookmarkStart w:id="225" w:name="_Toc19064"/>
      <w:bookmarkStart w:id="226" w:name="_Toc18343"/>
      <w:r>
        <w:rPr>
          <w:rFonts w:hint="eastAsia" w:ascii="仿宋" w:hAnsi="仿宋" w:eastAsia="仿宋" w:cs="仿宋"/>
          <w:b/>
          <w:color w:val="auto"/>
          <w:highlight w:val="none"/>
          <w:lang w:val="en-US" w:eastAsia="zh-CN"/>
        </w:rPr>
        <w:t>商务条款偏离表</w:t>
      </w:r>
      <w:bookmarkEnd w:id="225"/>
      <w:bookmarkEnd w:id="226"/>
    </w:p>
    <w:p w14:paraId="0D3709C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须逐条对应</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文件中要求的商务条款，认真填写该表。</w:t>
      </w:r>
    </w:p>
    <w:p w14:paraId="2ECA5125">
      <w:pPr>
        <w:spacing w:line="360"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商务条款是指：</w:t>
      </w:r>
      <w:r>
        <w:rPr>
          <w:rFonts w:hint="eastAsia" w:ascii="仿宋" w:hAnsi="仿宋" w:eastAsia="仿宋" w:cs="仿宋"/>
          <w:b/>
          <w:bCs/>
          <w:color w:val="auto"/>
          <w:sz w:val="24"/>
          <w:highlight w:val="none"/>
          <w:lang w:eastAsia="zh-CN"/>
        </w:rPr>
        <w:t>供应商</w:t>
      </w:r>
      <w:r>
        <w:rPr>
          <w:rFonts w:hint="eastAsia" w:ascii="仿宋" w:hAnsi="仿宋" w:eastAsia="仿宋" w:cs="仿宋"/>
          <w:b/>
          <w:bCs/>
          <w:color w:val="auto"/>
          <w:sz w:val="24"/>
          <w:highlight w:val="none"/>
        </w:rPr>
        <w:t>须知前附表中要求的有关内容。</w:t>
      </w:r>
    </w:p>
    <w:p w14:paraId="72AE0336">
      <w:pPr>
        <w:spacing w:line="360" w:lineRule="auto"/>
        <w:ind w:firstLine="480" w:firstLineChars="200"/>
        <w:rPr>
          <w:rFonts w:hint="eastAsia" w:ascii="仿宋" w:hAnsi="仿宋" w:eastAsia="仿宋" w:cs="仿宋"/>
          <w:color w:val="auto"/>
          <w:sz w:val="24"/>
          <w:highlight w:val="none"/>
        </w:rPr>
      </w:pPr>
    </w:p>
    <w:p w14:paraId="76D98D9A">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lang w:val="en-US" w:eastAsia="zh-CN"/>
        </w:rPr>
        <w:t>项目编号</w:t>
      </w:r>
      <w:r>
        <w:rPr>
          <w:rFonts w:hint="eastAsia" w:ascii="仿宋" w:hAnsi="仿宋" w:eastAsia="仿宋" w:cs="仿宋"/>
          <w:color w:val="auto"/>
          <w:sz w:val="24"/>
          <w:highlight w:val="none"/>
        </w:rPr>
        <w:t>：</w:t>
      </w:r>
    </w:p>
    <w:p w14:paraId="1B17E27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A.□我公司已详细阅读</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文件中</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商务要求，所有商务要求均无偏离，成交后我公司将严格遵照执行。</w:t>
      </w:r>
    </w:p>
    <w:p w14:paraId="3A7DD70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B.□我公司已详细阅读</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文件中</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商务要求，除下述条款有偏离外，其余条款我公司均予以认可，成交后将严格遵照执行。</w:t>
      </w:r>
    </w:p>
    <w:tbl>
      <w:tblPr>
        <w:tblStyle w:val="25"/>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1360"/>
        <w:gridCol w:w="3450"/>
        <w:gridCol w:w="3812"/>
      </w:tblGrid>
      <w:tr w14:paraId="64AE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noWrap w:val="0"/>
            <w:vAlign w:val="center"/>
          </w:tcPr>
          <w:p w14:paraId="13820DA0">
            <w:pPr>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360" w:type="dxa"/>
            <w:noWrap w:val="0"/>
            <w:vAlign w:val="center"/>
          </w:tcPr>
          <w:p w14:paraId="334A5886">
            <w:pPr>
              <w:spacing w:after="0"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商务条款</w:t>
            </w:r>
          </w:p>
        </w:tc>
        <w:tc>
          <w:tcPr>
            <w:tcW w:w="3450" w:type="dxa"/>
            <w:noWrap w:val="0"/>
            <w:vAlign w:val="center"/>
          </w:tcPr>
          <w:p w14:paraId="76CBD18C">
            <w:pPr>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文件的商务条款要求</w:t>
            </w:r>
          </w:p>
        </w:tc>
        <w:tc>
          <w:tcPr>
            <w:tcW w:w="3812" w:type="dxa"/>
            <w:noWrap w:val="0"/>
            <w:vAlign w:val="center"/>
          </w:tcPr>
          <w:p w14:paraId="288991BB">
            <w:pPr>
              <w:spacing w:after="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文件的商务条款</w:t>
            </w:r>
          </w:p>
        </w:tc>
      </w:tr>
      <w:tr w14:paraId="01B60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noWrap w:val="0"/>
            <w:vAlign w:val="center"/>
          </w:tcPr>
          <w:p w14:paraId="53CCA474">
            <w:pPr>
              <w:spacing w:after="0"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1360" w:type="dxa"/>
            <w:noWrap w:val="0"/>
            <w:vAlign w:val="center"/>
          </w:tcPr>
          <w:p w14:paraId="04B00F66">
            <w:pPr>
              <w:spacing w:after="0" w:line="360" w:lineRule="auto"/>
              <w:jc w:val="center"/>
              <w:rPr>
                <w:rFonts w:hint="eastAsia" w:ascii="仿宋" w:hAnsi="仿宋" w:eastAsia="仿宋" w:cs="仿宋"/>
                <w:color w:val="auto"/>
                <w:sz w:val="24"/>
                <w:highlight w:val="none"/>
              </w:rPr>
            </w:pPr>
          </w:p>
        </w:tc>
        <w:tc>
          <w:tcPr>
            <w:tcW w:w="3450" w:type="dxa"/>
            <w:noWrap w:val="0"/>
            <w:vAlign w:val="center"/>
          </w:tcPr>
          <w:p w14:paraId="20A0417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p>
        </w:tc>
        <w:tc>
          <w:tcPr>
            <w:tcW w:w="3812" w:type="dxa"/>
            <w:noWrap w:val="0"/>
            <w:vAlign w:val="center"/>
          </w:tcPr>
          <w:p w14:paraId="24D5C028">
            <w:pPr>
              <w:spacing w:after="0" w:line="360" w:lineRule="auto"/>
              <w:jc w:val="center"/>
              <w:rPr>
                <w:rFonts w:hint="eastAsia" w:ascii="仿宋" w:hAnsi="仿宋" w:eastAsia="仿宋" w:cs="仿宋"/>
                <w:color w:val="auto"/>
                <w:sz w:val="24"/>
                <w:highlight w:val="none"/>
              </w:rPr>
            </w:pPr>
          </w:p>
        </w:tc>
      </w:tr>
      <w:tr w14:paraId="1672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noWrap w:val="0"/>
            <w:vAlign w:val="center"/>
          </w:tcPr>
          <w:p w14:paraId="00D7F704">
            <w:pPr>
              <w:spacing w:after="0"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1360" w:type="dxa"/>
            <w:noWrap w:val="0"/>
            <w:vAlign w:val="center"/>
          </w:tcPr>
          <w:p w14:paraId="79FA8D6C">
            <w:pPr>
              <w:spacing w:after="0" w:line="360" w:lineRule="auto"/>
              <w:jc w:val="center"/>
              <w:rPr>
                <w:rFonts w:hint="eastAsia" w:ascii="仿宋" w:hAnsi="仿宋" w:eastAsia="仿宋" w:cs="仿宋"/>
                <w:color w:val="auto"/>
                <w:sz w:val="24"/>
                <w:highlight w:val="none"/>
              </w:rPr>
            </w:pPr>
          </w:p>
        </w:tc>
        <w:tc>
          <w:tcPr>
            <w:tcW w:w="3450" w:type="dxa"/>
            <w:noWrap w:val="0"/>
            <w:vAlign w:val="center"/>
          </w:tcPr>
          <w:p w14:paraId="421A7FF4">
            <w:pPr>
              <w:pageBreakBefore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lang w:val="en-US" w:eastAsia="zh-CN" w:bidi="ar-SA"/>
              </w:rPr>
            </w:pPr>
          </w:p>
        </w:tc>
        <w:tc>
          <w:tcPr>
            <w:tcW w:w="3812" w:type="dxa"/>
            <w:noWrap w:val="0"/>
            <w:vAlign w:val="center"/>
          </w:tcPr>
          <w:p w14:paraId="538C5A5E">
            <w:pPr>
              <w:spacing w:after="0" w:line="360" w:lineRule="auto"/>
              <w:jc w:val="center"/>
              <w:rPr>
                <w:rFonts w:hint="eastAsia" w:ascii="仿宋" w:hAnsi="仿宋" w:eastAsia="仿宋" w:cs="仿宋"/>
                <w:color w:val="auto"/>
                <w:sz w:val="24"/>
                <w:highlight w:val="none"/>
              </w:rPr>
            </w:pPr>
          </w:p>
        </w:tc>
      </w:tr>
      <w:tr w14:paraId="2E6BB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noWrap w:val="0"/>
            <w:vAlign w:val="center"/>
          </w:tcPr>
          <w:p w14:paraId="3164CB79">
            <w:pPr>
              <w:spacing w:after="0"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1360" w:type="dxa"/>
            <w:noWrap w:val="0"/>
            <w:vAlign w:val="center"/>
          </w:tcPr>
          <w:p w14:paraId="7A6BF8BA">
            <w:pPr>
              <w:spacing w:after="0" w:line="360" w:lineRule="auto"/>
              <w:jc w:val="center"/>
              <w:rPr>
                <w:rFonts w:hint="eastAsia" w:ascii="仿宋" w:hAnsi="仿宋" w:eastAsia="仿宋" w:cs="仿宋"/>
                <w:color w:val="auto"/>
                <w:sz w:val="24"/>
                <w:highlight w:val="none"/>
              </w:rPr>
            </w:pPr>
          </w:p>
        </w:tc>
        <w:tc>
          <w:tcPr>
            <w:tcW w:w="3450" w:type="dxa"/>
            <w:noWrap w:val="0"/>
            <w:vAlign w:val="center"/>
          </w:tcPr>
          <w:p w14:paraId="09F8214E">
            <w:pPr>
              <w:spacing w:after="0" w:line="360" w:lineRule="auto"/>
              <w:jc w:val="center"/>
              <w:rPr>
                <w:rFonts w:hint="eastAsia" w:ascii="仿宋" w:hAnsi="仿宋" w:eastAsia="仿宋" w:cs="仿宋"/>
                <w:color w:val="auto"/>
                <w:sz w:val="24"/>
                <w:highlight w:val="none"/>
              </w:rPr>
            </w:pPr>
          </w:p>
        </w:tc>
        <w:tc>
          <w:tcPr>
            <w:tcW w:w="3812" w:type="dxa"/>
            <w:noWrap w:val="0"/>
            <w:vAlign w:val="center"/>
          </w:tcPr>
          <w:p w14:paraId="30E27908">
            <w:pPr>
              <w:spacing w:after="0" w:line="360" w:lineRule="auto"/>
              <w:jc w:val="center"/>
              <w:rPr>
                <w:rFonts w:hint="eastAsia" w:ascii="仿宋" w:hAnsi="仿宋" w:eastAsia="仿宋" w:cs="仿宋"/>
                <w:color w:val="auto"/>
                <w:sz w:val="24"/>
                <w:highlight w:val="none"/>
              </w:rPr>
            </w:pPr>
          </w:p>
        </w:tc>
      </w:tr>
      <w:tr w14:paraId="43CEE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noWrap w:val="0"/>
            <w:vAlign w:val="center"/>
          </w:tcPr>
          <w:p w14:paraId="32D0C48F">
            <w:pPr>
              <w:spacing w:after="0"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1360" w:type="dxa"/>
            <w:noWrap w:val="0"/>
            <w:vAlign w:val="center"/>
          </w:tcPr>
          <w:p w14:paraId="2A2AE2CB">
            <w:pPr>
              <w:spacing w:after="0" w:line="360" w:lineRule="auto"/>
              <w:jc w:val="center"/>
              <w:rPr>
                <w:rFonts w:hint="eastAsia" w:ascii="仿宋" w:hAnsi="仿宋" w:eastAsia="仿宋" w:cs="仿宋"/>
                <w:color w:val="auto"/>
                <w:sz w:val="24"/>
                <w:szCs w:val="24"/>
                <w:highlight w:val="none"/>
                <w:lang w:val="en-US" w:eastAsia="zh-CN"/>
              </w:rPr>
            </w:pPr>
          </w:p>
        </w:tc>
        <w:tc>
          <w:tcPr>
            <w:tcW w:w="3450" w:type="dxa"/>
            <w:noWrap w:val="0"/>
            <w:vAlign w:val="center"/>
          </w:tcPr>
          <w:p w14:paraId="6043DAA3">
            <w:pPr>
              <w:spacing w:after="0" w:line="360" w:lineRule="auto"/>
              <w:jc w:val="center"/>
              <w:rPr>
                <w:rFonts w:hint="eastAsia" w:ascii="仿宋" w:hAnsi="仿宋" w:eastAsia="仿宋" w:cs="仿宋"/>
                <w:color w:val="auto"/>
                <w:sz w:val="24"/>
                <w:highlight w:val="none"/>
              </w:rPr>
            </w:pPr>
          </w:p>
        </w:tc>
        <w:tc>
          <w:tcPr>
            <w:tcW w:w="3812" w:type="dxa"/>
            <w:noWrap w:val="0"/>
            <w:vAlign w:val="center"/>
          </w:tcPr>
          <w:p w14:paraId="519944EF">
            <w:pPr>
              <w:spacing w:after="0" w:line="360" w:lineRule="auto"/>
              <w:jc w:val="center"/>
              <w:rPr>
                <w:rFonts w:hint="eastAsia" w:ascii="仿宋" w:hAnsi="仿宋" w:eastAsia="仿宋" w:cs="仿宋"/>
                <w:color w:val="auto"/>
                <w:sz w:val="24"/>
                <w:highlight w:val="none"/>
              </w:rPr>
            </w:pPr>
          </w:p>
        </w:tc>
      </w:tr>
    </w:tbl>
    <w:p w14:paraId="48601BBA">
      <w:pPr>
        <w:spacing w:line="360" w:lineRule="auto"/>
        <w:ind w:firstLine="2" w:firstLineChars="1"/>
        <w:jc w:val="right"/>
        <w:rPr>
          <w:rFonts w:hint="eastAsia" w:ascii="仿宋" w:hAnsi="仿宋" w:eastAsia="仿宋" w:cs="仿宋"/>
          <w:color w:val="auto"/>
          <w:sz w:val="24"/>
          <w:szCs w:val="24"/>
          <w:highlight w:val="none"/>
        </w:rPr>
      </w:pPr>
    </w:p>
    <w:p w14:paraId="6AF4BC14">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电子公章</w:t>
      </w:r>
      <w:r>
        <w:rPr>
          <w:rFonts w:hint="eastAsia" w:ascii="仿宋" w:hAnsi="仿宋" w:eastAsia="仿宋" w:cs="仿宋"/>
          <w:color w:val="auto"/>
          <w:sz w:val="24"/>
          <w:highlight w:val="none"/>
          <w:lang w:eastAsia="zh-CN"/>
        </w:rPr>
        <w:t>）</w:t>
      </w:r>
    </w:p>
    <w:p w14:paraId="4D187666">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电子签字或电子签章</w:t>
      </w:r>
      <w:r>
        <w:rPr>
          <w:rFonts w:hint="eastAsia" w:ascii="仿宋" w:hAnsi="仿宋" w:eastAsia="仿宋" w:cs="仿宋"/>
          <w:color w:val="auto"/>
          <w:sz w:val="24"/>
          <w:highlight w:val="none"/>
        </w:rPr>
        <w:t>）</w:t>
      </w:r>
    </w:p>
    <w:p w14:paraId="548401C2">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F0E21F7">
      <w:pPr>
        <w:pStyle w:val="16"/>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表格填写说明：</w:t>
      </w:r>
    </w:p>
    <w:p w14:paraId="3310E4C2">
      <w:pPr>
        <w:pStyle w:val="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根据应根据实际</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情况，填写本表格，若无偏离，则勾选A项，签字盖章即可。若有偏离，则勾选B项，按表格要求及实际情况填写后，签字盖章。</w:t>
      </w:r>
    </w:p>
    <w:p w14:paraId="736ABA30">
      <w:pPr>
        <w:pStyle w:val="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2.表格中“</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文件的商务条款要求”在填写时应注明该条款在</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文件的页码及条款号。</w:t>
      </w:r>
    </w:p>
    <w:p w14:paraId="12BEB91E">
      <w:pPr>
        <w:pStyle w:val="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3.表格中“</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文件的商务条款”请</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根据实际</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情况如实、完整、准确</w:t>
      </w:r>
      <w:r>
        <w:rPr>
          <w:rFonts w:hint="eastAsia" w:ascii="仿宋" w:hAnsi="仿宋" w:eastAsia="仿宋" w:cs="仿宋"/>
          <w:color w:val="auto"/>
          <w:sz w:val="24"/>
          <w:highlight w:val="none"/>
          <w:lang w:val="en-US" w:eastAsia="zh-CN"/>
        </w:rPr>
        <w:t>地</w:t>
      </w:r>
      <w:r>
        <w:rPr>
          <w:rFonts w:hint="eastAsia" w:ascii="仿宋" w:hAnsi="仿宋" w:eastAsia="仿宋" w:cs="仿宋"/>
          <w:color w:val="auto"/>
          <w:sz w:val="24"/>
          <w:highlight w:val="none"/>
        </w:rPr>
        <w:t>填写。</w:t>
      </w:r>
    </w:p>
    <w:p w14:paraId="448331E3">
      <w:pPr>
        <w:pStyle w:val="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4.本表格中内容与响应文件其余部分不一致的，以本表格为准。</w:t>
      </w:r>
    </w:p>
    <w:p w14:paraId="255C15F8">
      <w:pPr>
        <w:pStyle w:val="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5.填表示例：（有偏离情况的）</w:t>
      </w:r>
    </w:p>
    <w:p w14:paraId="3748576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A.</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eq \o\ac(</w:instrText>
      </w:r>
      <w:r>
        <w:rPr>
          <w:rFonts w:hint="eastAsia" w:ascii="仿宋" w:hAnsi="仿宋" w:eastAsia="仿宋" w:cs="仿宋"/>
          <w:color w:val="auto"/>
          <w:position w:val="-4"/>
          <w:sz w:val="36"/>
          <w:szCs w:val="36"/>
          <w:highlight w:val="none"/>
        </w:rPr>
        <w:instrText xml:space="preserve">□</w:instrText>
      </w:r>
      <w:r>
        <w:rPr>
          <w:rFonts w:hint="eastAsia" w:ascii="仿宋" w:hAnsi="仿宋" w:eastAsia="仿宋" w:cs="仿宋"/>
          <w:color w:val="auto"/>
          <w:sz w:val="24"/>
          <w:highlight w:val="none"/>
        </w:rPr>
        <w:instrText xml:space="preserve">,×)</w:instrTex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我公司已详细阅读</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文件中</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商务要求，所有商务要求均无偏离，成交后我公司将严格遵照执行。</w:t>
      </w:r>
    </w:p>
    <w:p w14:paraId="343E4B64">
      <w:pPr>
        <w:spacing w:line="360" w:lineRule="auto"/>
        <w:rPr>
          <w:rFonts w:hint="eastAsia" w:ascii="仿宋" w:hAnsi="仿宋" w:eastAsia="仿宋" w:cs="仿宋"/>
          <w:b/>
          <w:color w:val="auto"/>
          <w:sz w:val="28"/>
          <w:szCs w:val="28"/>
          <w:highlight w:val="none"/>
        </w:rPr>
      </w:pPr>
      <w:r>
        <w:rPr>
          <w:rFonts w:hint="eastAsia" w:ascii="仿宋" w:hAnsi="仿宋" w:eastAsia="仿宋" w:cs="仿宋"/>
          <w:color w:val="auto"/>
          <w:sz w:val="24"/>
          <w:highlight w:val="none"/>
        </w:rPr>
        <w:t>B.</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eq \o\ac(</w:instrText>
      </w:r>
      <w:r>
        <w:rPr>
          <w:rFonts w:hint="eastAsia" w:ascii="仿宋" w:hAnsi="仿宋" w:eastAsia="仿宋" w:cs="仿宋"/>
          <w:color w:val="auto"/>
          <w:position w:val="-4"/>
          <w:sz w:val="36"/>
          <w:szCs w:val="36"/>
          <w:highlight w:val="none"/>
        </w:rPr>
        <w:instrText xml:space="preserve">□</w:instrText>
      </w:r>
      <w:r>
        <w:rPr>
          <w:rFonts w:hint="eastAsia" w:ascii="仿宋" w:hAnsi="仿宋" w:eastAsia="仿宋" w:cs="仿宋"/>
          <w:color w:val="auto"/>
          <w:sz w:val="24"/>
          <w:highlight w:val="none"/>
        </w:rPr>
        <w:instrText xml:space="preserve">,√)</w:instrTex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我公司已详细阅读</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文件中</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商务要求，除下述条款有偏离外，其余条款我公司均予以认可，成交后将严格遵照执行。</w:t>
      </w:r>
      <w:r>
        <w:rPr>
          <w:rFonts w:hint="eastAsia" w:ascii="仿宋" w:hAnsi="仿宋" w:eastAsia="仿宋" w:cs="仿宋"/>
          <w:b/>
          <w:color w:val="auto"/>
          <w:sz w:val="28"/>
          <w:szCs w:val="28"/>
          <w:highlight w:val="none"/>
        </w:rPr>
        <w:br w:type="page"/>
      </w:r>
    </w:p>
    <w:p w14:paraId="7D8AC471">
      <w:pPr>
        <w:pStyle w:val="10"/>
        <w:spacing w:line="360" w:lineRule="auto"/>
        <w:jc w:val="both"/>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8</w:t>
      </w:r>
      <w:r>
        <w:rPr>
          <w:rFonts w:hint="eastAsia" w:ascii="仿宋" w:hAnsi="仿宋" w:eastAsia="仿宋" w:cs="仿宋"/>
          <w:b/>
          <w:color w:val="auto"/>
          <w:sz w:val="28"/>
          <w:szCs w:val="28"/>
          <w:highlight w:val="none"/>
        </w:rPr>
        <w:t>：</w:t>
      </w:r>
    </w:p>
    <w:p w14:paraId="2B9D94C6">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line="360" w:lineRule="auto"/>
        <w:jc w:val="center"/>
        <w:textAlignment w:val="auto"/>
        <w:outlineLvl w:val="9"/>
        <w:rPr>
          <w:rFonts w:hint="eastAsia" w:ascii="仿宋" w:hAnsi="仿宋" w:eastAsia="仿宋" w:cs="仿宋"/>
          <w:b/>
          <w:color w:val="auto"/>
          <w:highlight w:val="none"/>
          <w:lang w:val="en-US" w:eastAsia="zh-CN"/>
        </w:rPr>
      </w:pPr>
      <w:r>
        <w:rPr>
          <w:rFonts w:hint="eastAsia" w:ascii="仿宋" w:hAnsi="仿宋" w:eastAsia="仿宋" w:cs="仿宋"/>
          <w:b/>
          <w:color w:val="auto"/>
          <w:kern w:val="2"/>
          <w:sz w:val="28"/>
          <w:szCs w:val="28"/>
          <w:highlight w:val="none"/>
          <w:lang w:val="en-US" w:eastAsia="zh-CN" w:bidi="ar-SA"/>
        </w:rPr>
        <w:t>类似项目业绩列表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3142"/>
        <w:gridCol w:w="1436"/>
        <w:gridCol w:w="1237"/>
        <w:gridCol w:w="1091"/>
        <w:gridCol w:w="954"/>
        <w:gridCol w:w="1310"/>
      </w:tblGrid>
      <w:tr w14:paraId="668A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92" w:type="pct"/>
            <w:noWrap w:val="0"/>
            <w:vAlign w:val="center"/>
          </w:tcPr>
          <w:p w14:paraId="13A7A658">
            <w:pPr>
              <w:spacing w:line="360" w:lineRule="auto"/>
              <w:jc w:val="center"/>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szCs w:val="24"/>
                <w:highlight w:val="none"/>
                <w:shd w:val="clear" w:color="auto" w:fill="auto"/>
              </w:rPr>
              <w:t>序号</w:t>
            </w:r>
          </w:p>
        </w:tc>
        <w:tc>
          <w:tcPr>
            <w:tcW w:w="1578" w:type="pct"/>
            <w:noWrap w:val="0"/>
            <w:vAlign w:val="center"/>
          </w:tcPr>
          <w:p w14:paraId="3104578C">
            <w:pPr>
              <w:spacing w:line="360" w:lineRule="auto"/>
              <w:jc w:val="center"/>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szCs w:val="24"/>
                <w:highlight w:val="none"/>
                <w:shd w:val="clear" w:color="auto" w:fill="auto"/>
              </w:rPr>
              <w:t>项目名称</w:t>
            </w:r>
          </w:p>
        </w:tc>
        <w:tc>
          <w:tcPr>
            <w:tcW w:w="721" w:type="pct"/>
            <w:noWrap w:val="0"/>
            <w:vAlign w:val="center"/>
          </w:tcPr>
          <w:p w14:paraId="3FF217BC">
            <w:pPr>
              <w:spacing w:line="360" w:lineRule="auto"/>
              <w:jc w:val="center"/>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szCs w:val="24"/>
                <w:highlight w:val="none"/>
                <w:shd w:val="clear" w:color="auto" w:fill="auto"/>
              </w:rPr>
              <w:t>采购人或建设方或业主方</w:t>
            </w:r>
          </w:p>
        </w:tc>
        <w:tc>
          <w:tcPr>
            <w:tcW w:w="621" w:type="pct"/>
            <w:noWrap w:val="0"/>
            <w:vAlign w:val="center"/>
          </w:tcPr>
          <w:p w14:paraId="06F7FE48">
            <w:pPr>
              <w:spacing w:line="360" w:lineRule="auto"/>
              <w:jc w:val="center"/>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szCs w:val="24"/>
                <w:highlight w:val="none"/>
                <w:shd w:val="clear" w:color="auto" w:fill="auto"/>
              </w:rPr>
              <w:t>合同金额</w:t>
            </w:r>
          </w:p>
          <w:p w14:paraId="2C370205">
            <w:pPr>
              <w:spacing w:line="360" w:lineRule="auto"/>
              <w:jc w:val="center"/>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szCs w:val="24"/>
                <w:highlight w:val="none"/>
                <w:shd w:val="clear" w:color="auto" w:fill="auto"/>
              </w:rPr>
              <w:t>（元）</w:t>
            </w:r>
          </w:p>
        </w:tc>
        <w:tc>
          <w:tcPr>
            <w:tcW w:w="548" w:type="pct"/>
            <w:noWrap w:val="0"/>
            <w:vAlign w:val="center"/>
          </w:tcPr>
          <w:p w14:paraId="53D1254B">
            <w:pPr>
              <w:spacing w:line="360" w:lineRule="auto"/>
              <w:jc w:val="center"/>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szCs w:val="24"/>
                <w:highlight w:val="none"/>
                <w:shd w:val="clear" w:color="auto" w:fill="auto"/>
              </w:rPr>
              <w:t>联系人</w:t>
            </w:r>
          </w:p>
        </w:tc>
        <w:tc>
          <w:tcPr>
            <w:tcW w:w="479" w:type="pct"/>
            <w:noWrap w:val="0"/>
            <w:vAlign w:val="center"/>
          </w:tcPr>
          <w:p w14:paraId="2DFD3606">
            <w:pPr>
              <w:spacing w:line="360" w:lineRule="auto"/>
              <w:jc w:val="center"/>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szCs w:val="24"/>
                <w:highlight w:val="none"/>
                <w:shd w:val="clear" w:color="auto" w:fill="auto"/>
              </w:rPr>
              <w:t>电话</w:t>
            </w:r>
          </w:p>
        </w:tc>
        <w:tc>
          <w:tcPr>
            <w:tcW w:w="658" w:type="pct"/>
            <w:noWrap w:val="0"/>
            <w:vAlign w:val="center"/>
          </w:tcPr>
          <w:p w14:paraId="6B7469A8">
            <w:pPr>
              <w:spacing w:line="360" w:lineRule="auto"/>
              <w:jc w:val="center"/>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szCs w:val="24"/>
                <w:highlight w:val="none"/>
                <w:shd w:val="clear" w:color="auto" w:fill="auto"/>
              </w:rPr>
              <w:t>签订时间</w:t>
            </w:r>
          </w:p>
        </w:tc>
      </w:tr>
      <w:tr w14:paraId="68D7F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92" w:type="pct"/>
            <w:noWrap w:val="0"/>
            <w:vAlign w:val="top"/>
          </w:tcPr>
          <w:p w14:paraId="3C798576">
            <w:pPr>
              <w:spacing w:line="360" w:lineRule="auto"/>
              <w:rPr>
                <w:rFonts w:hint="eastAsia" w:ascii="仿宋" w:hAnsi="仿宋" w:eastAsia="仿宋" w:cs="仿宋"/>
                <w:color w:val="auto"/>
                <w:szCs w:val="21"/>
                <w:highlight w:val="none"/>
                <w:shd w:val="clear" w:color="auto" w:fill="auto"/>
              </w:rPr>
            </w:pPr>
          </w:p>
        </w:tc>
        <w:tc>
          <w:tcPr>
            <w:tcW w:w="1578" w:type="pct"/>
            <w:noWrap w:val="0"/>
            <w:vAlign w:val="top"/>
          </w:tcPr>
          <w:p w14:paraId="416DE4D0">
            <w:pPr>
              <w:spacing w:line="360" w:lineRule="auto"/>
              <w:rPr>
                <w:rFonts w:hint="eastAsia" w:ascii="仿宋" w:hAnsi="仿宋" w:eastAsia="仿宋" w:cs="仿宋"/>
                <w:color w:val="auto"/>
                <w:szCs w:val="21"/>
                <w:highlight w:val="none"/>
                <w:shd w:val="clear" w:color="auto" w:fill="auto"/>
              </w:rPr>
            </w:pPr>
          </w:p>
        </w:tc>
        <w:tc>
          <w:tcPr>
            <w:tcW w:w="721" w:type="pct"/>
            <w:noWrap w:val="0"/>
            <w:vAlign w:val="top"/>
          </w:tcPr>
          <w:p w14:paraId="7354C5BC">
            <w:pPr>
              <w:spacing w:line="360" w:lineRule="auto"/>
              <w:rPr>
                <w:rFonts w:hint="eastAsia" w:ascii="仿宋" w:hAnsi="仿宋" w:eastAsia="仿宋" w:cs="仿宋"/>
                <w:color w:val="auto"/>
                <w:szCs w:val="21"/>
                <w:highlight w:val="none"/>
                <w:shd w:val="clear" w:color="auto" w:fill="auto"/>
              </w:rPr>
            </w:pPr>
          </w:p>
        </w:tc>
        <w:tc>
          <w:tcPr>
            <w:tcW w:w="621" w:type="pct"/>
            <w:noWrap w:val="0"/>
            <w:vAlign w:val="top"/>
          </w:tcPr>
          <w:p w14:paraId="1151313F">
            <w:pPr>
              <w:spacing w:line="360" w:lineRule="auto"/>
              <w:rPr>
                <w:rFonts w:hint="eastAsia" w:ascii="仿宋" w:hAnsi="仿宋" w:eastAsia="仿宋" w:cs="仿宋"/>
                <w:color w:val="auto"/>
                <w:szCs w:val="21"/>
                <w:highlight w:val="none"/>
                <w:shd w:val="clear" w:color="auto" w:fill="auto"/>
              </w:rPr>
            </w:pPr>
          </w:p>
        </w:tc>
        <w:tc>
          <w:tcPr>
            <w:tcW w:w="548" w:type="pct"/>
            <w:noWrap w:val="0"/>
            <w:vAlign w:val="top"/>
          </w:tcPr>
          <w:p w14:paraId="7380AA22">
            <w:pPr>
              <w:spacing w:line="360" w:lineRule="auto"/>
              <w:rPr>
                <w:rFonts w:hint="eastAsia" w:ascii="仿宋" w:hAnsi="仿宋" w:eastAsia="仿宋" w:cs="仿宋"/>
                <w:color w:val="auto"/>
                <w:szCs w:val="21"/>
                <w:highlight w:val="none"/>
                <w:shd w:val="clear" w:color="auto" w:fill="auto"/>
              </w:rPr>
            </w:pPr>
          </w:p>
        </w:tc>
        <w:tc>
          <w:tcPr>
            <w:tcW w:w="479" w:type="pct"/>
            <w:noWrap w:val="0"/>
            <w:vAlign w:val="top"/>
          </w:tcPr>
          <w:p w14:paraId="1895D7C9">
            <w:pPr>
              <w:spacing w:line="360" w:lineRule="auto"/>
              <w:rPr>
                <w:rFonts w:hint="eastAsia" w:ascii="仿宋" w:hAnsi="仿宋" w:eastAsia="仿宋" w:cs="仿宋"/>
                <w:color w:val="auto"/>
                <w:szCs w:val="21"/>
                <w:highlight w:val="none"/>
                <w:shd w:val="clear" w:color="auto" w:fill="auto"/>
              </w:rPr>
            </w:pPr>
          </w:p>
        </w:tc>
        <w:tc>
          <w:tcPr>
            <w:tcW w:w="658" w:type="pct"/>
            <w:noWrap w:val="0"/>
            <w:vAlign w:val="top"/>
          </w:tcPr>
          <w:p w14:paraId="37A9C394">
            <w:pPr>
              <w:spacing w:line="360" w:lineRule="auto"/>
              <w:rPr>
                <w:rFonts w:hint="eastAsia" w:ascii="仿宋" w:hAnsi="仿宋" w:eastAsia="仿宋" w:cs="仿宋"/>
                <w:color w:val="auto"/>
                <w:szCs w:val="21"/>
                <w:highlight w:val="none"/>
                <w:shd w:val="clear" w:color="auto" w:fill="auto"/>
              </w:rPr>
            </w:pPr>
          </w:p>
        </w:tc>
      </w:tr>
      <w:tr w14:paraId="0781B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92" w:type="pct"/>
            <w:noWrap w:val="0"/>
            <w:vAlign w:val="top"/>
          </w:tcPr>
          <w:p w14:paraId="3D512873">
            <w:pPr>
              <w:spacing w:line="360" w:lineRule="auto"/>
              <w:rPr>
                <w:rFonts w:hint="eastAsia" w:ascii="仿宋" w:hAnsi="仿宋" w:eastAsia="仿宋" w:cs="仿宋"/>
                <w:color w:val="auto"/>
                <w:szCs w:val="21"/>
                <w:highlight w:val="none"/>
                <w:shd w:val="clear" w:color="auto" w:fill="auto"/>
              </w:rPr>
            </w:pPr>
          </w:p>
        </w:tc>
        <w:tc>
          <w:tcPr>
            <w:tcW w:w="1578" w:type="pct"/>
            <w:noWrap w:val="0"/>
            <w:vAlign w:val="top"/>
          </w:tcPr>
          <w:p w14:paraId="3D840004">
            <w:pPr>
              <w:spacing w:line="360" w:lineRule="auto"/>
              <w:rPr>
                <w:rFonts w:hint="eastAsia" w:ascii="仿宋" w:hAnsi="仿宋" w:eastAsia="仿宋" w:cs="仿宋"/>
                <w:color w:val="auto"/>
                <w:szCs w:val="21"/>
                <w:highlight w:val="none"/>
                <w:shd w:val="clear" w:color="auto" w:fill="auto"/>
              </w:rPr>
            </w:pPr>
          </w:p>
        </w:tc>
        <w:tc>
          <w:tcPr>
            <w:tcW w:w="721" w:type="pct"/>
            <w:noWrap w:val="0"/>
            <w:vAlign w:val="top"/>
          </w:tcPr>
          <w:p w14:paraId="5253E21B">
            <w:pPr>
              <w:spacing w:line="360" w:lineRule="auto"/>
              <w:rPr>
                <w:rFonts w:hint="eastAsia" w:ascii="仿宋" w:hAnsi="仿宋" w:eastAsia="仿宋" w:cs="仿宋"/>
                <w:color w:val="auto"/>
                <w:szCs w:val="21"/>
                <w:highlight w:val="none"/>
                <w:shd w:val="clear" w:color="auto" w:fill="auto"/>
              </w:rPr>
            </w:pPr>
          </w:p>
        </w:tc>
        <w:tc>
          <w:tcPr>
            <w:tcW w:w="621" w:type="pct"/>
            <w:noWrap w:val="0"/>
            <w:vAlign w:val="top"/>
          </w:tcPr>
          <w:p w14:paraId="7BF49001">
            <w:pPr>
              <w:spacing w:line="360" w:lineRule="auto"/>
              <w:rPr>
                <w:rFonts w:hint="eastAsia" w:ascii="仿宋" w:hAnsi="仿宋" w:eastAsia="仿宋" w:cs="仿宋"/>
                <w:color w:val="auto"/>
                <w:szCs w:val="21"/>
                <w:highlight w:val="none"/>
                <w:shd w:val="clear" w:color="auto" w:fill="auto"/>
              </w:rPr>
            </w:pPr>
          </w:p>
        </w:tc>
        <w:tc>
          <w:tcPr>
            <w:tcW w:w="548" w:type="pct"/>
            <w:noWrap w:val="0"/>
            <w:vAlign w:val="top"/>
          </w:tcPr>
          <w:p w14:paraId="4E5F271F">
            <w:pPr>
              <w:spacing w:line="360" w:lineRule="auto"/>
              <w:rPr>
                <w:rFonts w:hint="eastAsia" w:ascii="仿宋" w:hAnsi="仿宋" w:eastAsia="仿宋" w:cs="仿宋"/>
                <w:color w:val="auto"/>
                <w:szCs w:val="21"/>
                <w:highlight w:val="none"/>
                <w:shd w:val="clear" w:color="auto" w:fill="auto"/>
              </w:rPr>
            </w:pPr>
          </w:p>
        </w:tc>
        <w:tc>
          <w:tcPr>
            <w:tcW w:w="479" w:type="pct"/>
            <w:noWrap w:val="0"/>
            <w:vAlign w:val="top"/>
          </w:tcPr>
          <w:p w14:paraId="0ED02A3D">
            <w:pPr>
              <w:spacing w:line="360" w:lineRule="auto"/>
              <w:rPr>
                <w:rFonts w:hint="eastAsia" w:ascii="仿宋" w:hAnsi="仿宋" w:eastAsia="仿宋" w:cs="仿宋"/>
                <w:color w:val="auto"/>
                <w:szCs w:val="21"/>
                <w:highlight w:val="none"/>
                <w:shd w:val="clear" w:color="auto" w:fill="auto"/>
              </w:rPr>
            </w:pPr>
          </w:p>
        </w:tc>
        <w:tc>
          <w:tcPr>
            <w:tcW w:w="658" w:type="pct"/>
            <w:noWrap w:val="0"/>
            <w:vAlign w:val="top"/>
          </w:tcPr>
          <w:p w14:paraId="51A3877E">
            <w:pPr>
              <w:spacing w:line="360" w:lineRule="auto"/>
              <w:rPr>
                <w:rFonts w:hint="eastAsia" w:ascii="仿宋" w:hAnsi="仿宋" w:eastAsia="仿宋" w:cs="仿宋"/>
                <w:color w:val="auto"/>
                <w:szCs w:val="21"/>
                <w:highlight w:val="none"/>
                <w:shd w:val="clear" w:color="auto" w:fill="auto"/>
              </w:rPr>
            </w:pPr>
          </w:p>
        </w:tc>
      </w:tr>
      <w:tr w14:paraId="1054C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92" w:type="pct"/>
            <w:noWrap w:val="0"/>
            <w:vAlign w:val="top"/>
          </w:tcPr>
          <w:p w14:paraId="20E1C258">
            <w:pPr>
              <w:spacing w:line="360" w:lineRule="auto"/>
              <w:rPr>
                <w:rFonts w:hint="eastAsia" w:ascii="仿宋" w:hAnsi="仿宋" w:eastAsia="仿宋" w:cs="仿宋"/>
                <w:color w:val="auto"/>
                <w:szCs w:val="21"/>
                <w:highlight w:val="none"/>
                <w:shd w:val="clear" w:color="auto" w:fill="auto"/>
              </w:rPr>
            </w:pPr>
          </w:p>
        </w:tc>
        <w:tc>
          <w:tcPr>
            <w:tcW w:w="1578" w:type="pct"/>
            <w:noWrap w:val="0"/>
            <w:vAlign w:val="top"/>
          </w:tcPr>
          <w:p w14:paraId="49CBDDB6">
            <w:pPr>
              <w:spacing w:line="360" w:lineRule="auto"/>
              <w:rPr>
                <w:rFonts w:hint="eastAsia" w:ascii="仿宋" w:hAnsi="仿宋" w:eastAsia="仿宋" w:cs="仿宋"/>
                <w:color w:val="auto"/>
                <w:szCs w:val="21"/>
                <w:highlight w:val="none"/>
                <w:shd w:val="clear" w:color="auto" w:fill="auto"/>
              </w:rPr>
            </w:pPr>
          </w:p>
        </w:tc>
        <w:tc>
          <w:tcPr>
            <w:tcW w:w="721" w:type="pct"/>
            <w:noWrap w:val="0"/>
            <w:vAlign w:val="top"/>
          </w:tcPr>
          <w:p w14:paraId="46FD892C">
            <w:pPr>
              <w:spacing w:line="360" w:lineRule="auto"/>
              <w:rPr>
                <w:rFonts w:hint="eastAsia" w:ascii="仿宋" w:hAnsi="仿宋" w:eastAsia="仿宋" w:cs="仿宋"/>
                <w:color w:val="auto"/>
                <w:szCs w:val="21"/>
                <w:highlight w:val="none"/>
                <w:shd w:val="clear" w:color="auto" w:fill="auto"/>
              </w:rPr>
            </w:pPr>
          </w:p>
        </w:tc>
        <w:tc>
          <w:tcPr>
            <w:tcW w:w="621" w:type="pct"/>
            <w:noWrap w:val="0"/>
            <w:vAlign w:val="top"/>
          </w:tcPr>
          <w:p w14:paraId="6D53A0C7">
            <w:pPr>
              <w:spacing w:line="360" w:lineRule="auto"/>
              <w:rPr>
                <w:rFonts w:hint="eastAsia" w:ascii="仿宋" w:hAnsi="仿宋" w:eastAsia="仿宋" w:cs="仿宋"/>
                <w:color w:val="auto"/>
                <w:szCs w:val="21"/>
                <w:highlight w:val="none"/>
                <w:shd w:val="clear" w:color="auto" w:fill="auto"/>
              </w:rPr>
            </w:pPr>
          </w:p>
        </w:tc>
        <w:tc>
          <w:tcPr>
            <w:tcW w:w="548" w:type="pct"/>
            <w:noWrap w:val="0"/>
            <w:vAlign w:val="top"/>
          </w:tcPr>
          <w:p w14:paraId="466F1922">
            <w:pPr>
              <w:spacing w:line="360" w:lineRule="auto"/>
              <w:rPr>
                <w:rFonts w:hint="eastAsia" w:ascii="仿宋" w:hAnsi="仿宋" w:eastAsia="仿宋" w:cs="仿宋"/>
                <w:color w:val="auto"/>
                <w:szCs w:val="21"/>
                <w:highlight w:val="none"/>
                <w:shd w:val="clear" w:color="auto" w:fill="auto"/>
              </w:rPr>
            </w:pPr>
          </w:p>
        </w:tc>
        <w:tc>
          <w:tcPr>
            <w:tcW w:w="479" w:type="pct"/>
            <w:noWrap w:val="0"/>
            <w:vAlign w:val="top"/>
          </w:tcPr>
          <w:p w14:paraId="33C12BE6">
            <w:pPr>
              <w:spacing w:line="360" w:lineRule="auto"/>
              <w:rPr>
                <w:rFonts w:hint="eastAsia" w:ascii="仿宋" w:hAnsi="仿宋" w:eastAsia="仿宋" w:cs="仿宋"/>
                <w:color w:val="auto"/>
                <w:szCs w:val="21"/>
                <w:highlight w:val="none"/>
                <w:shd w:val="clear" w:color="auto" w:fill="auto"/>
              </w:rPr>
            </w:pPr>
          </w:p>
        </w:tc>
        <w:tc>
          <w:tcPr>
            <w:tcW w:w="658" w:type="pct"/>
            <w:noWrap w:val="0"/>
            <w:vAlign w:val="top"/>
          </w:tcPr>
          <w:p w14:paraId="387D3AA5">
            <w:pPr>
              <w:spacing w:line="360" w:lineRule="auto"/>
              <w:rPr>
                <w:rFonts w:hint="eastAsia" w:ascii="仿宋" w:hAnsi="仿宋" w:eastAsia="仿宋" w:cs="仿宋"/>
                <w:color w:val="auto"/>
                <w:szCs w:val="21"/>
                <w:highlight w:val="none"/>
                <w:shd w:val="clear" w:color="auto" w:fill="auto"/>
              </w:rPr>
            </w:pPr>
          </w:p>
        </w:tc>
      </w:tr>
    </w:tbl>
    <w:p w14:paraId="0B6BFCD0">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10C6FF80">
      <w:pPr>
        <w:pStyle w:val="34"/>
        <w:spacing w:line="360" w:lineRule="auto"/>
        <w:ind w:right="-58"/>
        <w:rPr>
          <w:rFonts w:hint="eastAsia" w:ascii="仿宋" w:hAnsi="仿宋" w:eastAsia="仿宋" w:cs="仿宋"/>
          <w:color w:val="auto"/>
          <w:sz w:val="24"/>
          <w:highlight w:val="none"/>
        </w:rPr>
      </w:pPr>
      <w:r>
        <w:rPr>
          <w:rFonts w:hint="eastAsia" w:ascii="仿宋" w:hAnsi="仿宋" w:eastAsia="仿宋" w:cs="仿宋"/>
          <w:color w:val="auto"/>
          <w:sz w:val="24"/>
          <w:highlight w:val="none"/>
        </w:rPr>
        <w:t>1、响应文件中须提供近</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年业绩列表及相对应的业绩证明材料，业绩证明材料为中标通知书或合同（首页、签字盖章页的扫描件）或业主证明材料等。无证明材料或证明材料不明确、无法体现业绩内容的，不予认可。</w:t>
      </w:r>
    </w:p>
    <w:p w14:paraId="66F7B97C">
      <w:pPr>
        <w:pStyle w:val="34"/>
        <w:spacing w:line="360" w:lineRule="auto"/>
        <w:ind w:right="-58"/>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2、供应商可根据实际情况拓展本表。</w:t>
      </w:r>
    </w:p>
    <w:p w14:paraId="6F422828">
      <w:pPr>
        <w:pStyle w:val="34"/>
        <w:spacing w:line="360" w:lineRule="auto"/>
        <w:ind w:right="-58"/>
        <w:rPr>
          <w:rFonts w:hint="eastAsia" w:ascii="仿宋" w:hAnsi="仿宋" w:eastAsia="仿宋" w:cs="仿宋"/>
          <w:color w:val="auto"/>
          <w:sz w:val="24"/>
          <w:highlight w:val="none"/>
        </w:rPr>
      </w:pPr>
    </w:p>
    <w:p w14:paraId="6A18C9DD">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电子公章</w:t>
      </w:r>
      <w:r>
        <w:rPr>
          <w:rFonts w:hint="eastAsia" w:ascii="仿宋" w:hAnsi="仿宋" w:eastAsia="仿宋" w:cs="仿宋"/>
          <w:color w:val="auto"/>
          <w:sz w:val="24"/>
          <w:highlight w:val="none"/>
          <w:lang w:eastAsia="zh-CN"/>
        </w:rPr>
        <w:t>）</w:t>
      </w:r>
    </w:p>
    <w:p w14:paraId="0F549540">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电子签字或电子签章</w:t>
      </w:r>
      <w:r>
        <w:rPr>
          <w:rFonts w:hint="eastAsia" w:ascii="仿宋" w:hAnsi="仿宋" w:eastAsia="仿宋" w:cs="仿宋"/>
          <w:color w:val="auto"/>
          <w:sz w:val="24"/>
          <w:highlight w:val="none"/>
        </w:rPr>
        <w:t>）</w:t>
      </w:r>
    </w:p>
    <w:p w14:paraId="304D53D0">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A71C2BA">
      <w:pPr>
        <w:spacing w:line="360" w:lineRule="auto"/>
        <w:ind w:firstLine="2" w:firstLineChars="1"/>
        <w:jc w:val="right"/>
        <w:rPr>
          <w:rFonts w:hint="eastAsia" w:ascii="仿宋" w:hAnsi="仿宋" w:eastAsia="仿宋" w:cs="仿宋"/>
          <w:color w:val="auto"/>
          <w:sz w:val="24"/>
          <w:szCs w:val="24"/>
          <w:highlight w:val="none"/>
        </w:rPr>
      </w:pPr>
    </w:p>
    <w:p w14:paraId="7E07F13A">
      <w:pPr>
        <w:pStyle w:val="10"/>
        <w:bidi w:val="0"/>
        <w:spacing w:line="360" w:lineRule="auto"/>
        <w:jc w:val="both"/>
        <w:rPr>
          <w:rFonts w:hint="eastAsia" w:ascii="仿宋" w:hAnsi="仿宋" w:eastAsia="仿宋" w:cs="仿宋"/>
          <w:b/>
          <w:bCs/>
          <w:iCs w:val="0"/>
          <w:color w:val="auto"/>
          <w:kern w:val="2"/>
          <w:sz w:val="24"/>
          <w:szCs w:val="24"/>
          <w:highlight w:val="none"/>
          <w:lang w:val="en-US" w:eastAsia="zh-CN" w:bidi="ar-SA"/>
        </w:rPr>
      </w:pPr>
    </w:p>
    <w:p w14:paraId="12EE705E">
      <w:pPr>
        <w:pStyle w:val="16"/>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9</w:t>
      </w:r>
      <w:r>
        <w:rPr>
          <w:rFonts w:hint="eastAsia" w:ascii="仿宋" w:hAnsi="仿宋" w:eastAsia="仿宋" w:cs="仿宋"/>
          <w:b/>
          <w:color w:val="auto"/>
          <w:sz w:val="28"/>
          <w:szCs w:val="28"/>
          <w:highlight w:val="none"/>
        </w:rPr>
        <w:t>：</w:t>
      </w:r>
    </w:p>
    <w:p w14:paraId="13D602ED">
      <w:pPr>
        <w:pStyle w:val="3"/>
        <w:keepNext/>
        <w:keepLines/>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rPr>
          <w:rFonts w:hint="eastAsia" w:ascii="仿宋" w:hAnsi="仿宋" w:eastAsia="仿宋" w:cs="仿宋"/>
          <w:b/>
          <w:bCs/>
          <w:color w:val="auto"/>
          <w:sz w:val="28"/>
          <w:szCs w:val="28"/>
          <w:highlight w:val="none"/>
          <w:shd w:val="clear" w:color="auto" w:fill="auto"/>
          <w:lang w:val="en-US" w:eastAsia="zh-CN"/>
        </w:rPr>
      </w:pPr>
      <w:bookmarkStart w:id="227" w:name="_Toc25507"/>
      <w:r>
        <w:rPr>
          <w:rFonts w:hint="eastAsia" w:ascii="仿宋" w:hAnsi="仿宋" w:eastAsia="仿宋" w:cs="仿宋"/>
          <w:b/>
          <w:bCs/>
          <w:color w:val="auto"/>
          <w:sz w:val="28"/>
          <w:szCs w:val="28"/>
          <w:highlight w:val="none"/>
          <w:shd w:val="clear" w:color="auto" w:fill="auto"/>
          <w:lang w:val="en-US" w:eastAsia="zh-CN"/>
        </w:rPr>
        <w:t>依法享受价格优惠政策相关证明材料</w:t>
      </w:r>
      <w:bookmarkEnd w:id="227"/>
    </w:p>
    <w:p w14:paraId="0F82A362">
      <w:pPr>
        <w:pStyle w:val="3"/>
        <w:keepNext/>
        <w:keepLines/>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rPr>
          <w:rFonts w:hint="eastAsia" w:ascii="仿宋" w:hAnsi="仿宋" w:eastAsia="仿宋" w:cs="仿宋"/>
          <w:b/>
          <w:bCs/>
          <w:color w:val="auto"/>
          <w:sz w:val="28"/>
          <w:szCs w:val="28"/>
          <w:highlight w:val="none"/>
          <w:shd w:val="clear" w:color="auto" w:fill="auto"/>
          <w:lang w:val="en-US" w:eastAsia="zh-CN"/>
        </w:rPr>
      </w:pPr>
      <w:bookmarkStart w:id="228" w:name="_Toc10671"/>
      <w:bookmarkStart w:id="229" w:name="_Toc16444"/>
      <w:bookmarkStart w:id="230" w:name="_Toc3361"/>
      <w:bookmarkStart w:id="231" w:name="_Toc28582"/>
      <w:bookmarkStart w:id="232" w:name="_Toc20509"/>
      <w:bookmarkStart w:id="233" w:name="_Toc26648"/>
      <w:r>
        <w:rPr>
          <w:rFonts w:hint="eastAsia" w:ascii="仿宋" w:hAnsi="仿宋" w:eastAsia="仿宋" w:cs="仿宋"/>
          <w:b/>
          <w:bCs/>
          <w:color w:val="auto"/>
          <w:sz w:val="28"/>
          <w:szCs w:val="28"/>
          <w:highlight w:val="none"/>
          <w:shd w:val="clear" w:color="auto" w:fill="auto"/>
          <w:lang w:val="en-US" w:eastAsia="zh-CN"/>
        </w:rPr>
        <w:t>（1）中小企业声明函</w:t>
      </w:r>
      <w:bookmarkEnd w:id="228"/>
      <w:bookmarkEnd w:id="229"/>
      <w:bookmarkEnd w:id="230"/>
      <w:bookmarkEnd w:id="231"/>
      <w:r>
        <w:rPr>
          <w:rFonts w:hint="eastAsia" w:ascii="仿宋" w:hAnsi="仿宋" w:eastAsia="仿宋" w:cs="仿宋"/>
          <w:b/>
          <w:bCs/>
          <w:color w:val="auto"/>
          <w:sz w:val="28"/>
          <w:szCs w:val="28"/>
          <w:highlight w:val="none"/>
          <w:shd w:val="clear" w:color="auto" w:fill="auto"/>
          <w:lang w:val="en-US" w:eastAsia="zh-CN"/>
        </w:rPr>
        <w:t>（按需提供）</w:t>
      </w:r>
      <w:bookmarkEnd w:id="232"/>
      <w:bookmarkEnd w:id="233"/>
    </w:p>
    <w:p w14:paraId="3D9DB652">
      <w:pPr>
        <w:pStyle w:val="24"/>
        <w:keepNext w:val="0"/>
        <w:keepLines w:val="0"/>
        <w:pageBreakBefore w:val="0"/>
        <w:widowControl/>
        <w:kinsoku/>
        <w:wordWrap/>
        <w:overflowPunct/>
        <w:topLinePunct w:val="0"/>
        <w:autoSpaceDE/>
        <w:autoSpaceDN/>
        <w:bidi w:val="0"/>
        <w:adjustRightInd/>
        <w:snapToGrid/>
        <w:spacing w:line="360" w:lineRule="auto"/>
        <w:ind w:firstLine="700" w:firstLineChars="292"/>
        <w:textAlignment w:val="auto"/>
        <w:rPr>
          <w:rFonts w:hint="eastAsia" w:ascii="仿宋" w:hAnsi="仿宋" w:eastAsia="仿宋" w:cs="仿宋"/>
          <w:color w:val="auto"/>
          <w:highlight w:val="none"/>
          <w:u w:val="none"/>
          <w:lang w:val="en-US" w:eastAsia="zh-CN"/>
        </w:rPr>
      </w:pPr>
      <w:r>
        <w:rPr>
          <w:rFonts w:hint="eastAsia" w:ascii="仿宋" w:hAnsi="仿宋" w:eastAsia="仿宋" w:cs="仿宋"/>
          <w:color w:val="auto"/>
          <w:highlight w:val="none"/>
        </w:rPr>
        <w:t>本公司</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联合体</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郑重声明，根据</w:t>
      </w:r>
      <w:r>
        <w:rPr>
          <w:rFonts w:hint="eastAsia" w:ascii="仿宋" w:hAnsi="仿宋" w:eastAsia="仿宋" w:cs="仿宋"/>
          <w:color w:val="auto"/>
          <w:highlight w:val="none"/>
          <w:u w:val="none"/>
          <w:lang w:val="en-US" w:eastAsia="zh-CN"/>
        </w:rPr>
        <w:t>《政府采购促进中小企业发展管理办法》（财库〔2020〕46号）《关于进一步加大政府采购支持中小企业力度的通知》（财库[2022]19号）</w:t>
      </w:r>
      <w:r>
        <w:rPr>
          <w:rFonts w:hint="eastAsia" w:ascii="仿宋" w:hAnsi="仿宋" w:eastAsia="仿宋" w:cs="仿宋"/>
          <w:color w:val="auto"/>
          <w:highlight w:val="none"/>
        </w:rPr>
        <w:t>的规定，本公司</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联合体</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参加</w:t>
      </w:r>
      <w:r>
        <w:rPr>
          <w:rFonts w:hint="eastAsia" w:ascii="仿宋" w:hAnsi="仿宋" w:eastAsia="仿宋" w:cs="仿宋"/>
          <w:color w:val="auto"/>
          <w:highlight w:val="none"/>
          <w:u w:val="single"/>
          <w:lang w:val="en-US" w:eastAsia="zh-CN"/>
        </w:rPr>
        <w:t>（单位名称）</w:t>
      </w:r>
      <w:r>
        <w:rPr>
          <w:rFonts w:hint="eastAsia" w:ascii="仿宋" w:hAnsi="仿宋" w:eastAsia="仿宋" w:cs="仿宋"/>
          <w:color w:val="auto"/>
          <w:highlight w:val="none"/>
          <w:u w:val="none"/>
          <w:lang w:val="en-US" w:eastAsia="zh-CN"/>
        </w:rPr>
        <w:t>的</w:t>
      </w:r>
      <w:r>
        <w:rPr>
          <w:rFonts w:hint="eastAsia" w:ascii="仿宋" w:hAnsi="仿宋" w:eastAsia="仿宋" w:cs="仿宋"/>
          <w:color w:val="auto"/>
          <w:highlight w:val="none"/>
          <w:u w:val="single"/>
          <w:lang w:val="en-US" w:eastAsia="zh-CN"/>
        </w:rPr>
        <w:t>（项目名称）</w:t>
      </w:r>
      <w:r>
        <w:rPr>
          <w:rFonts w:hint="eastAsia" w:ascii="仿宋" w:hAnsi="仿宋" w:eastAsia="仿宋" w:cs="仿宋"/>
          <w:color w:val="auto"/>
          <w:highlight w:val="none"/>
          <w:u w:val="none"/>
          <w:lang w:val="en-US" w:eastAsia="zh-CN"/>
        </w:rPr>
        <w:t>采购活动，服务全部由符合政策要求的中小企业承接。相关企业（含联合体中的小企业、签订分包意向协议的中小企业）的具体情况如下：</w:t>
      </w:r>
    </w:p>
    <w:p w14:paraId="20EFC185">
      <w:pPr>
        <w:pStyle w:val="2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highlight w:val="none"/>
          <w:u w:val="none"/>
          <w:lang w:val="en-US" w:eastAsia="zh-CN"/>
        </w:rPr>
      </w:pPr>
      <w:r>
        <w:rPr>
          <w:rFonts w:hint="eastAsia" w:ascii="仿宋" w:hAnsi="仿宋" w:eastAsia="仿宋" w:cs="仿宋"/>
          <w:color w:val="auto"/>
          <w:highlight w:val="none"/>
        </w:rPr>
        <w:t>1.</w:t>
      </w:r>
      <w:r>
        <w:rPr>
          <w:rFonts w:hint="eastAsia" w:ascii="仿宋" w:hAnsi="仿宋" w:eastAsia="仿宋" w:cs="仿宋"/>
          <w:color w:val="auto"/>
          <w:highlight w:val="none"/>
          <w:u w:val="single"/>
        </w:rPr>
        <w:t>（标的名称）</w:t>
      </w:r>
      <w:r>
        <w:rPr>
          <w:rFonts w:hint="eastAsia" w:ascii="仿宋" w:hAnsi="仿宋" w:eastAsia="仿宋" w:cs="仿宋"/>
          <w:color w:val="auto"/>
          <w:highlight w:val="none"/>
        </w:rPr>
        <w:t>，</w:t>
      </w:r>
      <w:r>
        <w:rPr>
          <w:rFonts w:hint="eastAsia" w:ascii="仿宋" w:hAnsi="仿宋" w:eastAsia="仿宋" w:cs="仿宋"/>
          <w:color w:val="auto"/>
          <w:highlight w:val="none"/>
          <w:u w:val="none"/>
        </w:rPr>
        <w:t>属于</w:t>
      </w:r>
      <w:r>
        <w:rPr>
          <w:rFonts w:hint="eastAsia" w:ascii="仿宋" w:hAnsi="仿宋" w:eastAsia="仿宋" w:cs="仿宋"/>
          <w:color w:val="auto"/>
          <w:highlight w:val="none"/>
          <w:u w:val="single"/>
        </w:rPr>
        <w:t>（</w:t>
      </w:r>
      <w:r>
        <w:rPr>
          <w:rFonts w:hint="eastAsia" w:ascii="仿宋" w:hAnsi="仿宋" w:eastAsia="仿宋" w:cs="仿宋"/>
          <w:color w:val="auto"/>
          <w:highlight w:val="none"/>
          <w:u w:val="single"/>
          <w:lang w:val="en-US" w:eastAsia="zh-CN"/>
        </w:rPr>
        <w:t>写</w:t>
      </w:r>
      <w:r>
        <w:rPr>
          <w:rFonts w:hint="eastAsia" w:ascii="仿宋" w:hAnsi="仿宋" w:eastAsia="仿宋" w:cs="仿宋"/>
          <w:color w:val="auto"/>
          <w:highlight w:val="none"/>
          <w:u w:val="single"/>
        </w:rPr>
        <w:t>明确所属行业</w:t>
      </w:r>
      <w:r>
        <w:rPr>
          <w:rFonts w:hint="eastAsia" w:ascii="仿宋" w:hAnsi="仿宋" w:eastAsia="仿宋" w:cs="仿宋"/>
          <w:color w:val="auto"/>
          <w:highlight w:val="none"/>
          <w:u w:val="single"/>
          <w:lang w:eastAsia="zh-CN"/>
        </w:rPr>
        <w:t>）</w:t>
      </w:r>
      <w:r>
        <w:rPr>
          <w:rFonts w:hint="eastAsia" w:ascii="仿宋" w:hAnsi="仿宋" w:eastAsia="仿宋" w:cs="仿宋"/>
          <w:color w:val="auto"/>
          <w:highlight w:val="none"/>
          <w:u w:val="single"/>
          <w:lang w:val="en-US" w:eastAsia="zh-CN"/>
        </w:rPr>
        <w:t>行业</w:t>
      </w:r>
      <w:r>
        <w:rPr>
          <w:rFonts w:hint="eastAsia" w:ascii="仿宋" w:hAnsi="仿宋" w:eastAsia="仿宋" w:cs="仿宋"/>
          <w:i w:val="0"/>
          <w:iCs w:val="0"/>
          <w:color w:val="auto"/>
          <w:highlight w:val="none"/>
          <w:u w:val="none"/>
        </w:rPr>
        <w:t>；</w:t>
      </w:r>
      <w:r>
        <w:rPr>
          <w:rFonts w:hint="eastAsia" w:ascii="仿宋" w:hAnsi="仿宋" w:eastAsia="仿宋" w:cs="仿宋"/>
          <w:color w:val="auto"/>
          <w:highlight w:val="none"/>
          <w:lang w:val="en-US" w:eastAsia="zh-CN"/>
        </w:rPr>
        <w:t>承接企业</w:t>
      </w:r>
      <w:r>
        <w:rPr>
          <w:rFonts w:hint="eastAsia" w:ascii="仿宋" w:hAnsi="仿宋" w:eastAsia="仿宋" w:cs="仿宋"/>
          <w:color w:val="auto"/>
          <w:highlight w:val="none"/>
        </w:rPr>
        <w:t>为</w:t>
      </w:r>
      <w:r>
        <w:rPr>
          <w:rFonts w:hint="eastAsia" w:ascii="仿宋" w:hAnsi="仿宋" w:eastAsia="仿宋" w:cs="仿宋"/>
          <w:color w:val="auto"/>
          <w:highlight w:val="none"/>
          <w:u w:val="single"/>
        </w:rPr>
        <w:t>（企业名称）</w:t>
      </w:r>
      <w:r>
        <w:rPr>
          <w:rFonts w:hint="eastAsia" w:ascii="仿宋" w:hAnsi="仿宋" w:eastAsia="仿宋" w:cs="仿宋"/>
          <w:color w:val="auto"/>
          <w:highlight w:val="none"/>
        </w:rPr>
        <w:t>，从业人员</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人，营业收入为</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万元，资产总额为</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万元</w:t>
      </w:r>
      <w:r>
        <w:rPr>
          <w:rFonts w:hint="eastAsia" w:ascii="仿宋" w:hAnsi="仿宋" w:eastAsia="仿宋" w:cs="仿宋"/>
          <w:color w:val="auto"/>
          <w:highlight w:val="none"/>
          <w:lang w:val="en-US" w:eastAsia="zh-CN"/>
        </w:rPr>
        <w:t>，属于（</w:t>
      </w:r>
      <w:r>
        <w:rPr>
          <w:rFonts w:hint="eastAsia" w:ascii="仿宋" w:hAnsi="仿宋" w:eastAsia="仿宋" w:cs="仿宋"/>
          <w:color w:val="auto"/>
          <w:highlight w:val="none"/>
          <w:u w:val="single"/>
          <w:lang w:val="en-US" w:eastAsia="zh-CN"/>
        </w:rPr>
        <w:t>中型企业、小型企业、微型企业</w:t>
      </w:r>
      <w:r>
        <w:rPr>
          <w:rFonts w:hint="eastAsia" w:ascii="仿宋" w:hAnsi="仿宋" w:eastAsia="仿宋" w:cs="仿宋"/>
          <w:color w:val="auto"/>
          <w:highlight w:val="none"/>
          <w:lang w:val="en-US" w:eastAsia="zh-CN"/>
        </w:rPr>
        <w:t>）；</w:t>
      </w:r>
    </w:p>
    <w:p w14:paraId="07305B71">
      <w:pPr>
        <w:pStyle w:val="24"/>
        <w:keepNext w:val="0"/>
        <w:keepLines w:val="0"/>
        <w:pageBreakBefore w:val="0"/>
        <w:widowControl/>
        <w:kinsoku/>
        <w:wordWrap/>
        <w:overflowPunct/>
        <w:topLinePunct w:val="0"/>
        <w:autoSpaceDE/>
        <w:autoSpaceDN/>
        <w:bidi w:val="0"/>
        <w:adjustRightInd/>
        <w:snapToGrid/>
        <w:spacing w:line="360" w:lineRule="auto"/>
        <w:ind w:firstLine="405"/>
        <w:textAlignment w:val="auto"/>
        <w:rPr>
          <w:rFonts w:hint="eastAsia" w:ascii="仿宋" w:hAnsi="仿宋" w:eastAsia="仿宋" w:cs="仿宋"/>
          <w:color w:val="auto"/>
          <w:highlight w:val="none"/>
        </w:rPr>
      </w:pPr>
      <w:r>
        <w:rPr>
          <w:rFonts w:hint="eastAsia" w:ascii="仿宋" w:hAnsi="仿宋" w:eastAsia="仿宋" w:cs="仿宋"/>
          <w:color w:val="auto"/>
          <w:highlight w:val="none"/>
        </w:rPr>
        <w:t>以上企业，不属于大企业的分支机构，不存在控股股东为大企业的情形，也不存在与大企业的负责人为同一人的情形。</w:t>
      </w:r>
    </w:p>
    <w:p w14:paraId="56144948">
      <w:pPr>
        <w:pStyle w:val="24"/>
        <w:keepNext w:val="0"/>
        <w:keepLines w:val="0"/>
        <w:pageBreakBefore w:val="0"/>
        <w:widowControl/>
        <w:kinsoku/>
        <w:wordWrap/>
        <w:overflowPunct/>
        <w:topLinePunct w:val="0"/>
        <w:autoSpaceDE/>
        <w:autoSpaceDN/>
        <w:bidi w:val="0"/>
        <w:adjustRightInd/>
        <w:snapToGrid/>
        <w:spacing w:line="360" w:lineRule="auto"/>
        <w:ind w:firstLine="405"/>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本企业对上述声明内容的真实性负责。如有虚假，将依法承担相应责任</w:t>
      </w:r>
      <w:r>
        <w:rPr>
          <w:rFonts w:hint="eastAsia" w:ascii="仿宋" w:hAnsi="仿宋" w:eastAsia="仿宋" w:cs="仿宋"/>
          <w:color w:val="auto"/>
          <w:highlight w:val="none"/>
        </w:rPr>
        <w:t>。</w:t>
      </w:r>
    </w:p>
    <w:p w14:paraId="72BAC60E">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单位</w:t>
      </w:r>
      <w:r>
        <w:rPr>
          <w:rFonts w:hint="eastAsia" w:ascii="仿宋" w:hAnsi="仿宋" w:eastAsia="仿宋" w:cs="仿宋"/>
          <w:color w:val="auto"/>
          <w:sz w:val="24"/>
          <w:highlight w:val="none"/>
          <w:shd w:val="clear" w:color="auto" w:fill="auto"/>
        </w:rPr>
        <w:t>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lang w:eastAsia="zh-CN"/>
        </w:rPr>
        <w:t>加盖公章</w:t>
      </w:r>
      <w:r>
        <w:rPr>
          <w:rFonts w:hint="eastAsia" w:ascii="仿宋" w:hAnsi="仿宋" w:eastAsia="仿宋" w:cs="仿宋"/>
          <w:color w:val="auto"/>
          <w:sz w:val="24"/>
          <w:highlight w:val="none"/>
          <w:shd w:val="clear" w:color="auto" w:fill="auto"/>
        </w:rPr>
        <w:t>）</w:t>
      </w:r>
    </w:p>
    <w:p w14:paraId="08D84A39">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签字或印章</w:t>
      </w:r>
      <w:r>
        <w:rPr>
          <w:rFonts w:hint="eastAsia" w:ascii="仿宋" w:hAnsi="仿宋" w:eastAsia="仿宋" w:cs="仿宋"/>
          <w:color w:val="auto"/>
          <w:sz w:val="24"/>
          <w:highlight w:val="none"/>
        </w:rPr>
        <w:t>）</w:t>
      </w:r>
    </w:p>
    <w:p w14:paraId="702BDA32">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61A39B1">
      <w:pPr>
        <w:pStyle w:val="16"/>
        <w:rPr>
          <w:rFonts w:hint="eastAsia" w:ascii="仿宋" w:hAnsi="仿宋" w:eastAsia="仿宋" w:cs="仿宋"/>
          <w:color w:val="auto"/>
        </w:rPr>
      </w:pPr>
    </w:p>
    <w:p w14:paraId="1AA69460">
      <w:pPr>
        <w:spacing w:line="360" w:lineRule="auto"/>
        <w:ind w:firstLine="420" w:firstLineChars="200"/>
        <w:rPr>
          <w:rFonts w:hint="eastAsia" w:ascii="仿宋" w:hAnsi="仿宋" w:eastAsia="仿宋" w:cs="仿宋"/>
          <w:b/>
          <w:color w:val="auto"/>
          <w:szCs w:val="21"/>
          <w:highlight w:val="none"/>
        </w:rPr>
      </w:pPr>
      <w:r>
        <w:rPr>
          <w:rFonts w:hint="eastAsia" w:ascii="仿宋" w:hAnsi="仿宋" w:eastAsia="仿宋" w:cs="仿宋"/>
          <w:color w:val="auto"/>
          <w:highlight w:val="none"/>
        </w:rPr>
        <w:t>　　</w:t>
      </w:r>
      <w:r>
        <w:rPr>
          <w:rFonts w:hint="eastAsia" w:ascii="仿宋" w:hAnsi="仿宋" w:eastAsia="仿宋" w:cs="仿宋"/>
          <w:b w:val="0"/>
          <w:bCs/>
          <w:color w:val="auto"/>
          <w:szCs w:val="21"/>
          <w:highlight w:val="none"/>
          <w:lang w:val="en-US" w:eastAsia="zh-CN"/>
        </w:rPr>
        <w:t>从业人员、营业收入、资产总额填报上一年数据，无上一年数据的新成立企业可不填报</w:t>
      </w:r>
      <w:r>
        <w:rPr>
          <w:rFonts w:hint="eastAsia" w:ascii="仿宋" w:hAnsi="仿宋" w:eastAsia="仿宋" w:cs="仿宋"/>
          <w:b/>
          <w:color w:val="auto"/>
          <w:szCs w:val="21"/>
          <w:highlight w:val="none"/>
        </w:rPr>
        <w:t>。</w:t>
      </w:r>
    </w:p>
    <w:p w14:paraId="5C0BE9A2">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b/>
          <w:color w:val="auto"/>
          <w:kern w:val="2"/>
          <w:sz w:val="21"/>
          <w:szCs w:val="21"/>
          <w:highlight w:val="none"/>
          <w:lang w:val="en-US" w:eastAsia="zh-CN" w:bidi="ar-SA"/>
        </w:rPr>
        <w:t>注：1.投标人须根据投标人的情况如实出具声明函。享受本招标文件规定的中小企业扶持政策的，将随中标结果公开中标人的《中小企业声明函》。</w:t>
      </w:r>
    </w:p>
    <w:p w14:paraId="0BD7C3A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b/>
          <w:color w:val="auto"/>
          <w:kern w:val="2"/>
          <w:sz w:val="21"/>
          <w:szCs w:val="21"/>
          <w:highlight w:val="none"/>
          <w:lang w:val="en-US" w:eastAsia="zh-CN" w:bidi="ar-SA"/>
        </w:rPr>
        <w:t>2.所声明的从业人员人数、营业收入金额或资产总额不实的，依照《中华人民共和国政府采购法》等国家有关规定追究相应责任。</w:t>
      </w:r>
    </w:p>
    <w:p w14:paraId="14159D1C">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b/>
          <w:color w:val="auto"/>
          <w:kern w:val="2"/>
          <w:sz w:val="21"/>
          <w:szCs w:val="21"/>
          <w:highlight w:val="none"/>
          <w:lang w:val="en-US" w:eastAsia="zh-CN" w:bidi="ar-SA"/>
        </w:rPr>
        <w:t>3.投标人须核对《关于印发中小企业划型标准规定的通知》（工信部联企业〔2011〕300号）规定的中小企业划型标准，中小企业划型填写错误或所属行业填写错误的，评标委员会将不予进行价格扣除。</w:t>
      </w:r>
    </w:p>
    <w:p w14:paraId="42E83CBB">
      <w:pPr>
        <w:pStyle w:val="10"/>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b/>
          <w:color w:val="auto"/>
          <w:kern w:val="2"/>
          <w:sz w:val="21"/>
          <w:szCs w:val="21"/>
          <w:highlight w:val="none"/>
          <w:lang w:val="en-US" w:eastAsia="zh-CN" w:bidi="ar-SA"/>
        </w:rPr>
        <w:t>4、本采购项目所属行业为《工信部联企业〔2011〕300号》所列的其他未列明行业</w:t>
      </w:r>
      <w:r>
        <w:rPr>
          <w:rFonts w:hint="eastAsia" w:ascii="仿宋" w:hAnsi="仿宋" w:eastAsia="仿宋" w:cs="仿宋"/>
          <w:b/>
          <w:color w:val="auto"/>
          <w:sz w:val="21"/>
          <w:szCs w:val="21"/>
          <w:highlight w:val="none"/>
          <w:lang w:val="en-US" w:eastAsia="zh-CN"/>
        </w:rPr>
        <w:t>。</w:t>
      </w:r>
      <w:r>
        <w:rPr>
          <w:rFonts w:hint="eastAsia" w:ascii="仿宋" w:hAnsi="仿宋" w:eastAsia="仿宋" w:cs="仿宋"/>
          <w:color w:val="auto"/>
          <w:kern w:val="0"/>
          <w:sz w:val="24"/>
          <w:highlight w:val="none"/>
        </w:rPr>
        <w:br w:type="page"/>
      </w:r>
      <w:r>
        <w:rPr>
          <w:rFonts w:hint="eastAsia" w:ascii="仿宋" w:hAnsi="仿宋" w:eastAsia="仿宋" w:cs="仿宋"/>
          <w:color w:val="auto"/>
          <w:szCs w:val="21"/>
          <w:highlight w:val="none"/>
        </w:rPr>
        <w:t>附件：</w:t>
      </w:r>
    </w:p>
    <w:p w14:paraId="6AF56492">
      <w:pPr>
        <w:pStyle w:val="10"/>
        <w:keepNext w:val="0"/>
        <w:keepLines w:val="0"/>
        <w:pageBreakBefore w:val="0"/>
        <w:kinsoku/>
        <w:wordWrap/>
        <w:overflowPunct/>
        <w:topLinePunct w:val="0"/>
        <w:autoSpaceDE/>
        <w:autoSpaceDN/>
        <w:bidi w:val="0"/>
        <w:adjustRightInd/>
        <w:snapToGrid/>
        <w:spacing w:beforeAutospacing="0" w:afterAutospacing="0" w:line="360" w:lineRule="auto"/>
        <w:ind w:firstLine="630" w:firstLineChars="3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《关于印发中小企业划型标准规定的通知》（</w:t>
      </w:r>
      <w:r>
        <w:rPr>
          <w:rFonts w:hint="eastAsia" w:ascii="仿宋" w:hAnsi="仿宋" w:eastAsia="仿宋" w:cs="仿宋"/>
          <w:color w:val="auto"/>
          <w:szCs w:val="21"/>
          <w:highlight w:val="none"/>
        </w:rPr>
        <w:t>工信部联企业〔2011〕300号</w:t>
      </w:r>
      <w:r>
        <w:rPr>
          <w:rFonts w:hint="eastAsia" w:ascii="仿宋" w:hAnsi="仿宋" w:eastAsia="仿宋" w:cs="仿宋"/>
          <w:bCs/>
          <w:color w:val="auto"/>
          <w:szCs w:val="21"/>
          <w:highlight w:val="none"/>
        </w:rPr>
        <w:t>）中小企业划型标准规定节选：</w:t>
      </w:r>
    </w:p>
    <w:p w14:paraId="0E604ABE">
      <w:pPr>
        <w:pStyle w:val="10"/>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color w:val="auto"/>
          <w:szCs w:val="21"/>
          <w:highlight w:val="none"/>
        </w:rPr>
      </w:pPr>
    </w:p>
    <w:p w14:paraId="44A7D1F5">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四、各行业划型标准为：</w:t>
      </w:r>
    </w:p>
    <w:p w14:paraId="410CA0B2">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（一）农、林、牧、渔业。营业收入20000万元以下的为中小微型企业。其中，营业收入500万元及以上的为中型企业，营业收入50万元及以上的为小型企业，营业收入50万元以下的为微型企业。</w:t>
      </w:r>
    </w:p>
    <w:p w14:paraId="1590BE14">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BBE711">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46A64BA">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9607A39">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EE19C20">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4A62E5">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8D33E7A">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3651BF">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E5A837">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D8CD52C">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1C317DB">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37C264B">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A9D45DA">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CC5F1E7">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5B0ABE6">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（十六）其他未列明行业。从业人员300人以下的为中小微型企业。其中，从业人员100人及以上的为中型企业；从业人员10人及以上的为小型企业；从业人员10人以下的为微型企业。</w:t>
      </w:r>
    </w:p>
    <w:p w14:paraId="77715E8C">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line="360" w:lineRule="auto"/>
        <w:jc w:val="center"/>
        <w:textAlignment w:val="auto"/>
        <w:outlineLvl w:val="9"/>
        <w:rPr>
          <w:rFonts w:hint="eastAsia" w:ascii="仿宋" w:hAnsi="仿宋" w:eastAsia="仿宋" w:cs="仿宋"/>
          <w:b/>
          <w:bCs/>
          <w:color w:val="auto"/>
          <w:sz w:val="32"/>
          <w:szCs w:val="32"/>
          <w:highlight w:val="none"/>
          <w:shd w:val="clear" w:color="auto" w:fill="auto"/>
          <w:lang w:val="en-US" w:eastAsia="zh-CN"/>
        </w:rPr>
      </w:pPr>
      <w:r>
        <w:rPr>
          <w:rFonts w:hint="eastAsia" w:ascii="仿宋" w:hAnsi="仿宋" w:eastAsia="仿宋" w:cs="仿宋"/>
          <w:b/>
          <w:color w:val="auto"/>
          <w:szCs w:val="21"/>
          <w:highlight w:val="none"/>
        </w:rPr>
        <w:br w:type="page"/>
      </w:r>
      <w:bookmarkStart w:id="234" w:name="_Toc24208"/>
      <w:bookmarkStart w:id="235" w:name="_Toc10314"/>
      <w:bookmarkStart w:id="236" w:name="_Toc2886"/>
      <w:bookmarkStart w:id="237" w:name="_Toc29910"/>
      <w:bookmarkStart w:id="238" w:name="_Toc3992"/>
      <w:bookmarkStart w:id="239" w:name="_Toc30815"/>
      <w:bookmarkStart w:id="240" w:name="OLE_LINK14"/>
      <w:bookmarkStart w:id="241" w:name="OLE_LINK13"/>
      <w:r>
        <w:rPr>
          <w:rFonts w:hint="eastAsia" w:ascii="仿宋" w:hAnsi="仿宋" w:eastAsia="仿宋" w:cs="仿宋"/>
          <w:b/>
          <w:bCs/>
          <w:color w:val="auto"/>
          <w:sz w:val="28"/>
          <w:szCs w:val="28"/>
          <w:highlight w:val="none"/>
          <w:shd w:val="clear" w:color="auto" w:fill="auto"/>
          <w:lang w:val="en-US" w:eastAsia="zh-CN"/>
        </w:rPr>
        <w:t>（2）残疾人福利性单位声明函</w:t>
      </w:r>
      <w:bookmarkEnd w:id="234"/>
      <w:bookmarkEnd w:id="235"/>
      <w:r>
        <w:rPr>
          <w:rFonts w:hint="eastAsia" w:ascii="仿宋" w:hAnsi="仿宋" w:eastAsia="仿宋" w:cs="仿宋"/>
          <w:b/>
          <w:bCs/>
          <w:color w:val="auto"/>
          <w:sz w:val="28"/>
          <w:szCs w:val="28"/>
          <w:highlight w:val="none"/>
          <w:shd w:val="clear" w:color="auto" w:fill="auto"/>
          <w:lang w:val="en-US" w:eastAsia="zh-CN"/>
        </w:rPr>
        <w:t>（按需提供）</w:t>
      </w:r>
      <w:bookmarkEnd w:id="236"/>
      <w:bookmarkEnd w:id="237"/>
      <w:bookmarkEnd w:id="238"/>
      <w:bookmarkEnd w:id="239"/>
    </w:p>
    <w:bookmarkEnd w:id="240"/>
    <w:bookmarkEnd w:id="241"/>
    <w:p w14:paraId="6AD394EF">
      <w:pPr>
        <w:spacing w:line="360" w:lineRule="auto"/>
        <w:ind w:firstLine="504" w:firstLineChars="200"/>
        <w:rPr>
          <w:rFonts w:hint="eastAsia" w:ascii="仿宋" w:hAnsi="仿宋" w:eastAsia="仿宋" w:cs="仿宋"/>
          <w:color w:val="auto"/>
          <w:spacing w:val="6"/>
          <w:sz w:val="24"/>
          <w:highlight w:val="none"/>
        </w:rPr>
      </w:pPr>
    </w:p>
    <w:p w14:paraId="01B5FFF0">
      <w:pP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highlight w:val="none"/>
        </w:rPr>
        <w:t>〔2017〕 141</w:t>
      </w:r>
      <w:r>
        <w:rPr>
          <w:rFonts w:hint="eastAsia" w:ascii="仿宋" w:hAnsi="仿宋" w:eastAsia="仿宋" w:cs="仿宋"/>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9E67D0">
      <w:pP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本单位对上述声明的真实性负责。如有虚假，将依法承担相应责任。</w:t>
      </w:r>
    </w:p>
    <w:p w14:paraId="4122823B">
      <w:pPr>
        <w:spacing w:line="360" w:lineRule="auto"/>
        <w:ind w:firstLine="504" w:firstLineChars="200"/>
        <w:rPr>
          <w:rFonts w:hint="eastAsia" w:ascii="仿宋" w:hAnsi="仿宋" w:eastAsia="仿宋" w:cs="仿宋"/>
          <w:color w:val="auto"/>
          <w:spacing w:val="6"/>
          <w:sz w:val="24"/>
          <w:highlight w:val="none"/>
        </w:rPr>
      </w:pPr>
    </w:p>
    <w:p w14:paraId="6C234624">
      <w:pPr>
        <w:spacing w:line="360" w:lineRule="auto"/>
        <w:ind w:firstLine="504" w:firstLineChars="200"/>
        <w:rPr>
          <w:rFonts w:hint="eastAsia" w:ascii="仿宋" w:hAnsi="仿宋" w:eastAsia="仿宋" w:cs="仿宋"/>
          <w:color w:val="auto"/>
          <w:spacing w:val="6"/>
          <w:sz w:val="24"/>
          <w:highlight w:val="none"/>
        </w:rPr>
      </w:pPr>
    </w:p>
    <w:p w14:paraId="2DD7796C">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pacing w:val="6"/>
          <w:sz w:val="24"/>
          <w:highlight w:val="none"/>
        </w:rPr>
        <w:t xml:space="preserve">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0FB95F79">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6EB8178A">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F8CDF2B">
      <w:pPr>
        <w:tabs>
          <w:tab w:val="left" w:pos="4860"/>
        </w:tabs>
        <w:spacing w:line="360" w:lineRule="auto"/>
        <w:ind w:right="1560" w:firstLine="3276" w:firstLineChars="1300"/>
        <w:jc w:val="both"/>
        <w:rPr>
          <w:rFonts w:hint="eastAsia" w:ascii="仿宋" w:hAnsi="仿宋" w:eastAsia="仿宋" w:cs="仿宋"/>
          <w:color w:val="auto"/>
          <w:spacing w:val="6"/>
          <w:sz w:val="24"/>
          <w:highlight w:val="none"/>
        </w:rPr>
      </w:pPr>
    </w:p>
    <w:p w14:paraId="0E0AB9C1">
      <w:pPr>
        <w:spacing w:line="360" w:lineRule="auto"/>
        <w:rPr>
          <w:rFonts w:hint="eastAsia" w:ascii="仿宋" w:hAnsi="仿宋" w:eastAsia="仿宋" w:cs="仿宋"/>
          <w:b/>
          <w:color w:val="auto"/>
          <w:szCs w:val="21"/>
          <w:highlight w:val="none"/>
        </w:rPr>
      </w:pPr>
    </w:p>
    <w:p w14:paraId="4E485FB1">
      <w:pPr>
        <w:spacing w:line="360" w:lineRule="auto"/>
        <w:rPr>
          <w:rFonts w:hint="eastAsia" w:ascii="仿宋" w:hAnsi="仿宋" w:eastAsia="仿宋" w:cs="仿宋"/>
          <w:b/>
          <w:color w:val="auto"/>
          <w:szCs w:val="21"/>
          <w:highlight w:val="none"/>
        </w:rPr>
      </w:pPr>
    </w:p>
    <w:p w14:paraId="508E58B4">
      <w:pPr>
        <w:spacing w:line="360" w:lineRule="auto"/>
        <w:rPr>
          <w:rFonts w:hint="eastAsia" w:ascii="仿宋" w:hAnsi="仿宋" w:eastAsia="仿宋" w:cs="仿宋"/>
          <w:b/>
          <w:color w:val="auto"/>
          <w:szCs w:val="21"/>
          <w:highlight w:val="none"/>
        </w:rPr>
      </w:pPr>
    </w:p>
    <w:p w14:paraId="783C11ED">
      <w:pPr>
        <w:spacing w:line="360" w:lineRule="auto"/>
        <w:ind w:firstLine="315" w:firstLineChars="15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351FE9F0">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line="360" w:lineRule="auto"/>
        <w:jc w:val="center"/>
        <w:textAlignment w:val="auto"/>
        <w:outlineLvl w:val="9"/>
        <w:rPr>
          <w:rFonts w:hint="eastAsia" w:ascii="仿宋" w:hAnsi="仿宋" w:eastAsia="仿宋" w:cs="仿宋"/>
          <w:b/>
          <w:bCs/>
          <w:color w:val="auto"/>
          <w:sz w:val="32"/>
          <w:szCs w:val="32"/>
          <w:highlight w:val="none"/>
          <w:shd w:val="clear" w:color="auto" w:fill="auto"/>
          <w:lang w:val="en-US" w:eastAsia="zh-CN"/>
        </w:rPr>
      </w:pPr>
      <w:r>
        <w:rPr>
          <w:rFonts w:hint="eastAsia" w:ascii="仿宋" w:hAnsi="仿宋" w:eastAsia="仿宋" w:cs="仿宋"/>
          <w:b/>
          <w:color w:val="auto"/>
          <w:szCs w:val="21"/>
          <w:highlight w:val="none"/>
        </w:rPr>
        <w:br w:type="page"/>
      </w:r>
      <w:bookmarkStart w:id="242" w:name="_Toc6234"/>
      <w:bookmarkStart w:id="243" w:name="_Toc8762"/>
      <w:bookmarkStart w:id="244" w:name="_Toc15349"/>
      <w:bookmarkStart w:id="245" w:name="_Toc15656"/>
      <w:r>
        <w:rPr>
          <w:rFonts w:hint="eastAsia" w:ascii="仿宋" w:hAnsi="仿宋" w:eastAsia="仿宋" w:cs="仿宋"/>
          <w:b/>
          <w:bCs/>
          <w:color w:val="auto"/>
          <w:sz w:val="28"/>
          <w:szCs w:val="28"/>
          <w:highlight w:val="none"/>
          <w:shd w:val="clear" w:color="auto" w:fill="auto"/>
          <w:lang w:val="en-US" w:eastAsia="zh-CN"/>
        </w:rPr>
        <w:t>（3）监狱企业证明文件（按需提供）</w:t>
      </w:r>
      <w:bookmarkEnd w:id="242"/>
      <w:bookmarkEnd w:id="243"/>
      <w:bookmarkEnd w:id="244"/>
      <w:bookmarkEnd w:id="245"/>
    </w:p>
    <w:p w14:paraId="78E1DF36">
      <w:pPr>
        <w:spacing w:line="360" w:lineRule="auto"/>
        <w:rPr>
          <w:rFonts w:hint="eastAsia" w:ascii="仿宋" w:hAnsi="仿宋" w:eastAsia="仿宋" w:cs="仿宋"/>
          <w:color w:val="auto"/>
          <w:highlight w:val="none"/>
          <w:lang w:val="en-US" w:eastAsia="zh-CN"/>
        </w:rPr>
      </w:pPr>
    </w:p>
    <w:p w14:paraId="746124D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56F315">
      <w:pPr>
        <w:spacing w:line="360" w:lineRule="auto"/>
        <w:rPr>
          <w:rFonts w:hint="eastAsia" w:ascii="仿宋" w:hAnsi="仿宋" w:eastAsia="仿宋" w:cs="仿宋"/>
          <w:b/>
          <w:bCs/>
          <w:color w:val="auto"/>
          <w:sz w:val="24"/>
          <w:highlight w:val="none"/>
        </w:rPr>
      </w:pPr>
    </w:p>
    <w:p w14:paraId="2FA32B44">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监狱企业参加政府采购活动时，应当提供由省级以上监狱管理局、戒毒管理局（含新疆生产建设兵团）出具的属于监狱企业的证明文件。</w:t>
      </w:r>
    </w:p>
    <w:p w14:paraId="1E439236">
      <w:pPr>
        <w:spacing w:line="360" w:lineRule="auto"/>
        <w:ind w:firstLine="2" w:firstLineChars="1"/>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p>
    <w:p w14:paraId="645AB557">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7397D934">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01E818B4">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A4A162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10</w:t>
      </w:r>
      <w:r>
        <w:rPr>
          <w:rFonts w:hint="eastAsia" w:ascii="仿宋" w:hAnsi="仿宋" w:eastAsia="仿宋" w:cs="仿宋"/>
          <w:b/>
          <w:color w:val="auto"/>
          <w:sz w:val="28"/>
          <w:szCs w:val="28"/>
          <w:highlight w:val="none"/>
        </w:rPr>
        <w:t>：</w:t>
      </w:r>
    </w:p>
    <w:p w14:paraId="4005B130">
      <w:pPr>
        <w:spacing w:line="360" w:lineRule="auto"/>
        <w:rPr>
          <w:rFonts w:hint="eastAsia" w:ascii="仿宋" w:hAnsi="仿宋" w:eastAsia="仿宋" w:cs="仿宋"/>
          <w:color w:val="auto"/>
          <w:highlight w:val="none"/>
        </w:rPr>
      </w:pPr>
    </w:p>
    <w:p w14:paraId="3122F739">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line="360" w:lineRule="auto"/>
        <w:jc w:val="center"/>
        <w:textAlignment w:val="auto"/>
        <w:outlineLvl w:val="9"/>
        <w:rPr>
          <w:rFonts w:hint="eastAsia" w:ascii="仿宋" w:hAnsi="仿宋" w:eastAsia="仿宋" w:cs="仿宋"/>
          <w:b/>
          <w:bCs/>
          <w:color w:val="auto"/>
          <w:sz w:val="28"/>
          <w:szCs w:val="28"/>
          <w:highlight w:val="none"/>
          <w:lang w:val="en-US" w:eastAsia="zh-CN"/>
        </w:rPr>
      </w:pPr>
      <w:bookmarkStart w:id="246" w:name="_Toc21621"/>
      <w:r>
        <w:rPr>
          <w:rFonts w:hint="eastAsia" w:ascii="仿宋" w:hAnsi="仿宋" w:eastAsia="仿宋" w:cs="仿宋"/>
          <w:b/>
          <w:bCs/>
          <w:color w:val="auto"/>
          <w:sz w:val="28"/>
          <w:szCs w:val="28"/>
          <w:highlight w:val="none"/>
          <w:lang w:val="en-US" w:eastAsia="zh-CN"/>
        </w:rPr>
        <w:t>构成响应文件的其他资料</w:t>
      </w:r>
      <w:bookmarkEnd w:id="246"/>
    </w:p>
    <w:p w14:paraId="464ADFAF">
      <w:pPr>
        <w:spacing w:line="360" w:lineRule="auto"/>
        <w:ind w:firstLine="480" w:firstLineChars="200"/>
        <w:jc w:val="left"/>
        <w:rPr>
          <w:rFonts w:hint="eastAsia" w:ascii="仿宋" w:hAnsi="仿宋" w:eastAsia="仿宋" w:cs="仿宋"/>
          <w:color w:val="auto"/>
          <w:sz w:val="24"/>
          <w:highlight w:val="none"/>
        </w:rPr>
      </w:pPr>
    </w:p>
    <w:p w14:paraId="65FBF801">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请自拟格式。</w:t>
      </w:r>
    </w:p>
    <w:p w14:paraId="1C63CE2E">
      <w:pPr>
        <w:widowControl/>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磋商</w:t>
      </w:r>
      <w:r>
        <w:rPr>
          <w:rFonts w:hint="eastAsia" w:ascii="仿宋" w:hAnsi="仿宋" w:eastAsia="仿宋" w:cs="仿宋"/>
          <w:color w:val="auto"/>
          <w:kern w:val="0"/>
          <w:sz w:val="24"/>
          <w:highlight w:val="none"/>
        </w:rPr>
        <w:t>文件中所涉及的相关资料及证明文件或</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kern w:val="0"/>
          <w:sz w:val="24"/>
          <w:highlight w:val="none"/>
        </w:rPr>
        <w:t>认为必须提供的其他相关资料。</w:t>
      </w:r>
    </w:p>
    <w:p w14:paraId="5883947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1514D81">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pacing w:val="40"/>
          <w:sz w:val="32"/>
          <w:szCs w:val="28"/>
          <w:highlight w:val="none"/>
        </w:rPr>
        <w:t>三、技术部分</w:t>
      </w:r>
    </w:p>
    <w:p w14:paraId="2A3ECA60">
      <w:pPr>
        <w:pStyle w:val="10"/>
        <w:kinsoku w:val="0"/>
        <w:overflowPunct w:val="0"/>
        <w:snapToGrid w:val="0"/>
        <w:spacing w:before="215" w:beforeLines="0" w:afterLines="0" w:line="360" w:lineRule="auto"/>
        <w:ind w:right="64"/>
        <w:jc w:val="both"/>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11</w:t>
      </w:r>
      <w:r>
        <w:rPr>
          <w:rFonts w:hint="eastAsia" w:ascii="仿宋" w:hAnsi="仿宋" w:eastAsia="仿宋" w:cs="仿宋"/>
          <w:b/>
          <w:color w:val="auto"/>
          <w:sz w:val="28"/>
          <w:szCs w:val="28"/>
          <w:highlight w:val="none"/>
        </w:rPr>
        <w:t>：</w:t>
      </w:r>
    </w:p>
    <w:p w14:paraId="305BC7B5">
      <w:pPr>
        <w:pStyle w:val="3"/>
        <w:keepNext/>
        <w:keepLines/>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rPr>
          <w:rFonts w:hint="eastAsia" w:ascii="仿宋" w:hAnsi="仿宋" w:eastAsia="仿宋" w:cs="仿宋"/>
          <w:b/>
          <w:bCs/>
          <w:color w:val="auto"/>
          <w:sz w:val="32"/>
          <w:szCs w:val="32"/>
          <w:highlight w:val="none"/>
          <w:shd w:val="clear" w:color="auto" w:fill="auto"/>
          <w:lang w:val="en-US" w:eastAsia="zh-CN"/>
        </w:rPr>
      </w:pPr>
      <w:bookmarkStart w:id="247" w:name="_Toc24637"/>
      <w:bookmarkStart w:id="248" w:name="_Toc15907"/>
      <w:bookmarkStart w:id="249" w:name="_Toc6118"/>
      <w:bookmarkStart w:id="250" w:name="_Toc11342"/>
      <w:r>
        <w:rPr>
          <w:rFonts w:hint="eastAsia" w:ascii="仿宋" w:hAnsi="仿宋" w:eastAsia="仿宋" w:cs="仿宋"/>
          <w:b/>
          <w:bCs/>
          <w:color w:val="auto"/>
          <w:sz w:val="32"/>
          <w:szCs w:val="32"/>
          <w:highlight w:val="none"/>
          <w:shd w:val="clear" w:color="auto" w:fill="auto"/>
          <w:lang w:val="en-US" w:eastAsia="zh-CN"/>
        </w:rPr>
        <w:t>技术规格偏离表</w:t>
      </w:r>
      <w:bookmarkEnd w:id="247"/>
      <w:bookmarkEnd w:id="248"/>
      <w:bookmarkEnd w:id="249"/>
      <w:bookmarkEnd w:id="250"/>
    </w:p>
    <w:p w14:paraId="506053A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应按所投产品的实际技术参数，对应</w:t>
      </w:r>
      <w:r>
        <w:rPr>
          <w:rFonts w:hint="eastAsia" w:ascii="仿宋" w:hAnsi="仿宋" w:eastAsia="仿宋" w:cs="仿宋"/>
          <w:color w:val="auto"/>
          <w:sz w:val="24"/>
          <w:szCs w:val="24"/>
          <w:lang w:eastAsia="zh-CN"/>
        </w:rPr>
        <w:t>竞争性磋商文件</w:t>
      </w:r>
      <w:r>
        <w:rPr>
          <w:rFonts w:hint="eastAsia" w:ascii="仿宋" w:hAnsi="仿宋" w:eastAsia="仿宋" w:cs="仿宋"/>
          <w:color w:val="auto"/>
          <w:sz w:val="24"/>
          <w:szCs w:val="24"/>
        </w:rPr>
        <w:t>的第</w:t>
      </w:r>
      <w:r>
        <w:rPr>
          <w:rFonts w:hint="eastAsia" w:ascii="仿宋" w:hAnsi="仿宋" w:eastAsia="仿宋" w:cs="仿宋"/>
          <w:color w:val="auto"/>
          <w:sz w:val="24"/>
          <w:szCs w:val="24"/>
          <w:lang w:val="en-US" w:eastAsia="zh-CN"/>
        </w:rPr>
        <w:t>四</w:t>
      </w:r>
      <w:r>
        <w:rPr>
          <w:rFonts w:hint="eastAsia" w:ascii="仿宋" w:hAnsi="仿宋" w:eastAsia="仿宋" w:cs="仿宋"/>
          <w:color w:val="auto"/>
          <w:sz w:val="24"/>
          <w:szCs w:val="24"/>
        </w:rPr>
        <w:t>章“</w:t>
      </w:r>
      <w:r>
        <w:rPr>
          <w:rFonts w:hint="eastAsia" w:ascii="仿宋" w:hAnsi="仿宋" w:eastAsia="仿宋" w:cs="仿宋"/>
          <w:color w:val="auto"/>
          <w:sz w:val="24"/>
          <w:szCs w:val="24"/>
          <w:lang w:val="en-US" w:eastAsia="zh-CN"/>
        </w:rPr>
        <w:t>采购需求</w:t>
      </w:r>
      <w:r>
        <w:rPr>
          <w:rFonts w:hint="eastAsia" w:ascii="仿宋" w:hAnsi="仿宋" w:eastAsia="仿宋" w:cs="仿宋"/>
          <w:color w:val="auto"/>
          <w:sz w:val="24"/>
          <w:szCs w:val="24"/>
        </w:rPr>
        <w:t>”中要求的技术规范如实、完整、准确的填写该表，该表不能作为所投产品的技术文件。</w:t>
      </w:r>
    </w:p>
    <w:p w14:paraId="152C34E4">
      <w:pPr>
        <w:pStyle w:val="10"/>
        <w:rPr>
          <w:rFonts w:hint="eastAsia" w:ascii="仿宋" w:hAnsi="仿宋" w:eastAsia="仿宋" w:cs="仿宋"/>
          <w:b/>
          <w:color w:val="auto"/>
          <w:sz w:val="24"/>
          <w:highlight w:val="none"/>
        </w:rPr>
      </w:pPr>
    </w:p>
    <w:p w14:paraId="69056CEA">
      <w:pPr>
        <w:pStyle w:val="10"/>
        <w:rPr>
          <w:rFonts w:hint="eastAsia" w:ascii="仿宋" w:hAnsi="仿宋" w:eastAsia="仿宋" w:cs="仿宋"/>
          <w:color w:val="auto"/>
        </w:rPr>
      </w:pPr>
      <w:r>
        <w:rPr>
          <w:rFonts w:hint="eastAsia" w:ascii="仿宋" w:hAnsi="仿宋" w:eastAsia="仿宋" w:cs="仿宋"/>
          <w:b/>
          <w:color w:val="auto"/>
          <w:sz w:val="24"/>
          <w:highlight w:val="none"/>
          <w:lang w:val="en-US" w:eastAsia="zh-CN"/>
        </w:rPr>
        <w:t>采购</w:t>
      </w:r>
      <w:r>
        <w:rPr>
          <w:rFonts w:hint="eastAsia" w:ascii="仿宋" w:hAnsi="仿宋" w:eastAsia="仿宋" w:cs="仿宋"/>
          <w:b/>
          <w:color w:val="auto"/>
          <w:sz w:val="24"/>
          <w:highlight w:val="none"/>
        </w:rPr>
        <w:t xml:space="preserve">名称：       </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 xml:space="preserve">    </w:t>
      </w:r>
      <w:r>
        <w:rPr>
          <w:rFonts w:hint="eastAsia" w:ascii="仿宋" w:hAnsi="仿宋" w:eastAsia="仿宋" w:cs="仿宋"/>
          <w:b/>
          <w:color w:val="auto"/>
          <w:sz w:val="24"/>
          <w:highlight w:val="none"/>
          <w:lang w:val="en-US" w:eastAsia="zh-CN"/>
        </w:rPr>
        <w:t>采购</w:t>
      </w:r>
      <w:r>
        <w:rPr>
          <w:rFonts w:hint="eastAsia" w:ascii="仿宋" w:hAnsi="仿宋" w:eastAsia="仿宋" w:cs="仿宋"/>
          <w:b/>
          <w:color w:val="auto"/>
          <w:sz w:val="24"/>
          <w:highlight w:val="none"/>
        </w:rPr>
        <w:t>编号：</w:t>
      </w:r>
      <w:r>
        <w:rPr>
          <w:rFonts w:hint="eastAsia" w:ascii="仿宋" w:hAnsi="仿宋" w:eastAsia="仿宋" w:cs="仿宋"/>
          <w:b/>
          <w:color w:val="auto"/>
          <w:sz w:val="24"/>
          <w:highlight w:val="none"/>
          <w:u w:val="none"/>
        </w:rPr>
        <w:t xml:space="preserve">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991"/>
        <w:gridCol w:w="2772"/>
        <w:gridCol w:w="2067"/>
      </w:tblGrid>
      <w:tr w14:paraId="297E0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3" w:type="dxa"/>
            <w:noWrap w:val="0"/>
            <w:vAlign w:val="center"/>
          </w:tcPr>
          <w:p w14:paraId="0C874C16">
            <w:pPr>
              <w:pStyle w:val="16"/>
              <w:spacing w:after="0"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3991" w:type="dxa"/>
            <w:noWrap w:val="0"/>
            <w:vAlign w:val="center"/>
          </w:tcPr>
          <w:p w14:paraId="2ABC02DB">
            <w:pPr>
              <w:pStyle w:val="16"/>
              <w:spacing w:after="0"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磋商</w:t>
            </w:r>
            <w:r>
              <w:rPr>
                <w:rFonts w:hint="eastAsia" w:ascii="仿宋" w:hAnsi="仿宋" w:eastAsia="仿宋" w:cs="仿宋"/>
                <w:b/>
                <w:color w:val="auto"/>
                <w:sz w:val="24"/>
                <w:highlight w:val="none"/>
              </w:rPr>
              <w:t>文件的技术条款</w:t>
            </w:r>
          </w:p>
        </w:tc>
        <w:tc>
          <w:tcPr>
            <w:tcW w:w="2772" w:type="dxa"/>
            <w:noWrap w:val="0"/>
            <w:vAlign w:val="center"/>
          </w:tcPr>
          <w:p w14:paraId="2255EA44">
            <w:pPr>
              <w:pStyle w:val="16"/>
              <w:spacing w:after="0"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响应</w:t>
            </w:r>
            <w:r>
              <w:rPr>
                <w:rFonts w:hint="eastAsia" w:ascii="仿宋" w:hAnsi="仿宋" w:eastAsia="仿宋" w:cs="仿宋"/>
                <w:b/>
                <w:color w:val="auto"/>
                <w:sz w:val="24"/>
                <w:highlight w:val="none"/>
              </w:rPr>
              <w:t>文件的技术条款</w:t>
            </w:r>
          </w:p>
        </w:tc>
        <w:tc>
          <w:tcPr>
            <w:tcW w:w="2067" w:type="dxa"/>
            <w:noWrap w:val="0"/>
            <w:vAlign w:val="center"/>
          </w:tcPr>
          <w:p w14:paraId="683AB70A">
            <w:pPr>
              <w:pStyle w:val="16"/>
              <w:spacing w:after="0"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响应情况说明</w:t>
            </w:r>
          </w:p>
        </w:tc>
      </w:tr>
      <w:tr w14:paraId="44238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3" w:type="dxa"/>
            <w:noWrap w:val="0"/>
            <w:vAlign w:val="top"/>
          </w:tcPr>
          <w:p w14:paraId="62B075BE">
            <w:pPr>
              <w:pStyle w:val="16"/>
              <w:spacing w:after="0" w:line="360" w:lineRule="auto"/>
              <w:rPr>
                <w:rFonts w:hint="eastAsia" w:ascii="仿宋" w:hAnsi="仿宋" w:eastAsia="仿宋" w:cs="仿宋"/>
                <w:color w:val="auto"/>
                <w:sz w:val="24"/>
                <w:highlight w:val="none"/>
              </w:rPr>
            </w:pPr>
          </w:p>
        </w:tc>
        <w:tc>
          <w:tcPr>
            <w:tcW w:w="3991" w:type="dxa"/>
            <w:noWrap w:val="0"/>
            <w:vAlign w:val="top"/>
          </w:tcPr>
          <w:p w14:paraId="38C32B8A">
            <w:pPr>
              <w:pStyle w:val="16"/>
              <w:spacing w:after="0" w:line="360" w:lineRule="auto"/>
              <w:rPr>
                <w:rFonts w:hint="eastAsia" w:ascii="仿宋" w:hAnsi="仿宋" w:eastAsia="仿宋" w:cs="仿宋"/>
                <w:color w:val="auto"/>
                <w:sz w:val="24"/>
                <w:highlight w:val="none"/>
              </w:rPr>
            </w:pPr>
          </w:p>
        </w:tc>
        <w:tc>
          <w:tcPr>
            <w:tcW w:w="2772" w:type="dxa"/>
            <w:noWrap w:val="0"/>
            <w:vAlign w:val="top"/>
          </w:tcPr>
          <w:p w14:paraId="093B19B0">
            <w:pPr>
              <w:pStyle w:val="16"/>
              <w:spacing w:after="0" w:line="360" w:lineRule="auto"/>
              <w:rPr>
                <w:rFonts w:hint="eastAsia" w:ascii="仿宋" w:hAnsi="仿宋" w:eastAsia="仿宋" w:cs="仿宋"/>
                <w:color w:val="auto"/>
                <w:sz w:val="24"/>
                <w:highlight w:val="none"/>
              </w:rPr>
            </w:pPr>
          </w:p>
        </w:tc>
        <w:tc>
          <w:tcPr>
            <w:tcW w:w="2067" w:type="dxa"/>
            <w:noWrap w:val="0"/>
            <w:vAlign w:val="top"/>
          </w:tcPr>
          <w:p w14:paraId="6FFD76D4">
            <w:pPr>
              <w:pStyle w:val="16"/>
              <w:spacing w:after="0" w:line="360" w:lineRule="auto"/>
              <w:rPr>
                <w:rFonts w:hint="eastAsia" w:ascii="仿宋" w:hAnsi="仿宋" w:eastAsia="仿宋" w:cs="仿宋"/>
                <w:color w:val="auto"/>
                <w:sz w:val="24"/>
                <w:highlight w:val="none"/>
              </w:rPr>
            </w:pPr>
          </w:p>
        </w:tc>
      </w:tr>
      <w:tr w14:paraId="59A25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3" w:type="dxa"/>
            <w:noWrap w:val="0"/>
            <w:vAlign w:val="top"/>
          </w:tcPr>
          <w:p w14:paraId="326925C7">
            <w:pPr>
              <w:pStyle w:val="16"/>
              <w:spacing w:after="0" w:line="360" w:lineRule="auto"/>
              <w:rPr>
                <w:rFonts w:hint="eastAsia" w:ascii="仿宋" w:hAnsi="仿宋" w:eastAsia="仿宋" w:cs="仿宋"/>
                <w:color w:val="auto"/>
                <w:sz w:val="24"/>
                <w:highlight w:val="none"/>
              </w:rPr>
            </w:pPr>
          </w:p>
        </w:tc>
        <w:tc>
          <w:tcPr>
            <w:tcW w:w="3991" w:type="dxa"/>
            <w:noWrap w:val="0"/>
            <w:vAlign w:val="top"/>
          </w:tcPr>
          <w:p w14:paraId="68A37E85">
            <w:pPr>
              <w:pStyle w:val="16"/>
              <w:spacing w:after="0" w:line="360" w:lineRule="auto"/>
              <w:rPr>
                <w:rFonts w:hint="eastAsia" w:ascii="仿宋" w:hAnsi="仿宋" w:eastAsia="仿宋" w:cs="仿宋"/>
                <w:color w:val="auto"/>
                <w:sz w:val="24"/>
                <w:highlight w:val="none"/>
              </w:rPr>
            </w:pPr>
          </w:p>
        </w:tc>
        <w:tc>
          <w:tcPr>
            <w:tcW w:w="2772" w:type="dxa"/>
            <w:noWrap w:val="0"/>
            <w:vAlign w:val="top"/>
          </w:tcPr>
          <w:p w14:paraId="7BE39C21">
            <w:pPr>
              <w:pStyle w:val="16"/>
              <w:spacing w:after="0" w:line="360" w:lineRule="auto"/>
              <w:rPr>
                <w:rFonts w:hint="eastAsia" w:ascii="仿宋" w:hAnsi="仿宋" w:eastAsia="仿宋" w:cs="仿宋"/>
                <w:color w:val="auto"/>
                <w:sz w:val="24"/>
                <w:highlight w:val="none"/>
              </w:rPr>
            </w:pPr>
          </w:p>
        </w:tc>
        <w:tc>
          <w:tcPr>
            <w:tcW w:w="2067" w:type="dxa"/>
            <w:noWrap w:val="0"/>
            <w:vAlign w:val="top"/>
          </w:tcPr>
          <w:p w14:paraId="5F0344C8">
            <w:pPr>
              <w:pStyle w:val="16"/>
              <w:spacing w:after="0" w:line="360" w:lineRule="auto"/>
              <w:rPr>
                <w:rFonts w:hint="eastAsia" w:ascii="仿宋" w:hAnsi="仿宋" w:eastAsia="仿宋" w:cs="仿宋"/>
                <w:color w:val="auto"/>
                <w:sz w:val="24"/>
                <w:highlight w:val="none"/>
              </w:rPr>
            </w:pPr>
          </w:p>
        </w:tc>
      </w:tr>
      <w:tr w14:paraId="4B6E3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3" w:type="dxa"/>
            <w:noWrap w:val="0"/>
            <w:vAlign w:val="top"/>
          </w:tcPr>
          <w:p w14:paraId="081980F6">
            <w:pPr>
              <w:pStyle w:val="16"/>
              <w:spacing w:after="0" w:line="360" w:lineRule="auto"/>
              <w:rPr>
                <w:rFonts w:hint="eastAsia" w:ascii="仿宋" w:hAnsi="仿宋" w:eastAsia="仿宋" w:cs="仿宋"/>
                <w:color w:val="auto"/>
                <w:sz w:val="24"/>
                <w:highlight w:val="none"/>
              </w:rPr>
            </w:pPr>
          </w:p>
        </w:tc>
        <w:tc>
          <w:tcPr>
            <w:tcW w:w="3991" w:type="dxa"/>
            <w:noWrap w:val="0"/>
            <w:vAlign w:val="top"/>
          </w:tcPr>
          <w:p w14:paraId="2E391890">
            <w:pPr>
              <w:pStyle w:val="16"/>
              <w:spacing w:after="0" w:line="360" w:lineRule="auto"/>
              <w:rPr>
                <w:rFonts w:hint="eastAsia" w:ascii="仿宋" w:hAnsi="仿宋" w:eastAsia="仿宋" w:cs="仿宋"/>
                <w:color w:val="auto"/>
                <w:sz w:val="24"/>
                <w:highlight w:val="none"/>
              </w:rPr>
            </w:pPr>
          </w:p>
        </w:tc>
        <w:tc>
          <w:tcPr>
            <w:tcW w:w="2772" w:type="dxa"/>
            <w:noWrap w:val="0"/>
            <w:vAlign w:val="top"/>
          </w:tcPr>
          <w:p w14:paraId="6D339044">
            <w:pPr>
              <w:pStyle w:val="16"/>
              <w:spacing w:after="0" w:line="360" w:lineRule="auto"/>
              <w:rPr>
                <w:rFonts w:hint="eastAsia" w:ascii="仿宋" w:hAnsi="仿宋" w:eastAsia="仿宋" w:cs="仿宋"/>
                <w:color w:val="auto"/>
                <w:sz w:val="24"/>
                <w:highlight w:val="none"/>
              </w:rPr>
            </w:pPr>
          </w:p>
        </w:tc>
        <w:tc>
          <w:tcPr>
            <w:tcW w:w="2067" w:type="dxa"/>
            <w:noWrap w:val="0"/>
            <w:vAlign w:val="top"/>
          </w:tcPr>
          <w:p w14:paraId="44FEC010">
            <w:pPr>
              <w:pStyle w:val="16"/>
              <w:spacing w:after="0" w:line="360" w:lineRule="auto"/>
              <w:rPr>
                <w:rFonts w:hint="eastAsia" w:ascii="仿宋" w:hAnsi="仿宋" w:eastAsia="仿宋" w:cs="仿宋"/>
                <w:color w:val="auto"/>
                <w:sz w:val="24"/>
                <w:highlight w:val="none"/>
              </w:rPr>
            </w:pPr>
          </w:p>
        </w:tc>
      </w:tr>
      <w:tr w14:paraId="3A53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3" w:type="dxa"/>
            <w:noWrap w:val="0"/>
            <w:vAlign w:val="top"/>
          </w:tcPr>
          <w:p w14:paraId="69078E6E">
            <w:pPr>
              <w:pStyle w:val="16"/>
              <w:spacing w:after="0" w:line="360" w:lineRule="auto"/>
              <w:rPr>
                <w:rFonts w:hint="eastAsia" w:ascii="仿宋" w:hAnsi="仿宋" w:eastAsia="仿宋" w:cs="仿宋"/>
                <w:color w:val="auto"/>
                <w:sz w:val="24"/>
                <w:highlight w:val="none"/>
              </w:rPr>
            </w:pPr>
          </w:p>
        </w:tc>
        <w:tc>
          <w:tcPr>
            <w:tcW w:w="3991" w:type="dxa"/>
            <w:noWrap w:val="0"/>
            <w:vAlign w:val="top"/>
          </w:tcPr>
          <w:p w14:paraId="7AC9D3D6">
            <w:pPr>
              <w:pStyle w:val="16"/>
              <w:spacing w:after="0" w:line="360" w:lineRule="auto"/>
              <w:rPr>
                <w:rFonts w:hint="eastAsia" w:ascii="仿宋" w:hAnsi="仿宋" w:eastAsia="仿宋" w:cs="仿宋"/>
                <w:color w:val="auto"/>
                <w:sz w:val="24"/>
                <w:highlight w:val="none"/>
              </w:rPr>
            </w:pPr>
          </w:p>
        </w:tc>
        <w:tc>
          <w:tcPr>
            <w:tcW w:w="2772" w:type="dxa"/>
            <w:noWrap w:val="0"/>
            <w:vAlign w:val="top"/>
          </w:tcPr>
          <w:p w14:paraId="10481482">
            <w:pPr>
              <w:pStyle w:val="16"/>
              <w:spacing w:after="0" w:line="360" w:lineRule="auto"/>
              <w:rPr>
                <w:rFonts w:hint="eastAsia" w:ascii="仿宋" w:hAnsi="仿宋" w:eastAsia="仿宋" w:cs="仿宋"/>
                <w:color w:val="auto"/>
                <w:sz w:val="24"/>
                <w:highlight w:val="none"/>
              </w:rPr>
            </w:pPr>
          </w:p>
        </w:tc>
        <w:tc>
          <w:tcPr>
            <w:tcW w:w="2067" w:type="dxa"/>
            <w:noWrap w:val="0"/>
            <w:vAlign w:val="top"/>
          </w:tcPr>
          <w:p w14:paraId="68310579">
            <w:pPr>
              <w:pStyle w:val="16"/>
              <w:spacing w:after="0" w:line="360" w:lineRule="auto"/>
              <w:rPr>
                <w:rFonts w:hint="eastAsia" w:ascii="仿宋" w:hAnsi="仿宋" w:eastAsia="仿宋" w:cs="仿宋"/>
                <w:color w:val="auto"/>
                <w:sz w:val="24"/>
                <w:highlight w:val="none"/>
              </w:rPr>
            </w:pPr>
          </w:p>
        </w:tc>
      </w:tr>
      <w:tr w14:paraId="4B59F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3" w:type="dxa"/>
            <w:noWrap w:val="0"/>
            <w:vAlign w:val="top"/>
          </w:tcPr>
          <w:p w14:paraId="1E1601DB">
            <w:pPr>
              <w:pStyle w:val="16"/>
              <w:spacing w:after="0" w:line="360" w:lineRule="auto"/>
              <w:rPr>
                <w:rFonts w:hint="eastAsia" w:ascii="仿宋" w:hAnsi="仿宋" w:eastAsia="仿宋" w:cs="仿宋"/>
                <w:color w:val="auto"/>
                <w:sz w:val="24"/>
                <w:highlight w:val="none"/>
              </w:rPr>
            </w:pPr>
          </w:p>
        </w:tc>
        <w:tc>
          <w:tcPr>
            <w:tcW w:w="3991" w:type="dxa"/>
            <w:noWrap w:val="0"/>
            <w:vAlign w:val="top"/>
          </w:tcPr>
          <w:p w14:paraId="68886BCA">
            <w:pPr>
              <w:pStyle w:val="16"/>
              <w:spacing w:after="0" w:line="360" w:lineRule="auto"/>
              <w:rPr>
                <w:rFonts w:hint="eastAsia" w:ascii="仿宋" w:hAnsi="仿宋" w:eastAsia="仿宋" w:cs="仿宋"/>
                <w:color w:val="auto"/>
                <w:sz w:val="24"/>
                <w:highlight w:val="none"/>
              </w:rPr>
            </w:pPr>
          </w:p>
        </w:tc>
        <w:tc>
          <w:tcPr>
            <w:tcW w:w="2772" w:type="dxa"/>
            <w:noWrap w:val="0"/>
            <w:vAlign w:val="top"/>
          </w:tcPr>
          <w:p w14:paraId="34D7621A">
            <w:pPr>
              <w:pStyle w:val="16"/>
              <w:spacing w:after="0" w:line="360" w:lineRule="auto"/>
              <w:rPr>
                <w:rFonts w:hint="eastAsia" w:ascii="仿宋" w:hAnsi="仿宋" w:eastAsia="仿宋" w:cs="仿宋"/>
                <w:color w:val="auto"/>
                <w:sz w:val="24"/>
                <w:highlight w:val="none"/>
              </w:rPr>
            </w:pPr>
          </w:p>
        </w:tc>
        <w:tc>
          <w:tcPr>
            <w:tcW w:w="2067" w:type="dxa"/>
            <w:noWrap w:val="0"/>
            <w:vAlign w:val="top"/>
          </w:tcPr>
          <w:p w14:paraId="1B698DC3">
            <w:pPr>
              <w:pStyle w:val="16"/>
              <w:spacing w:after="0" w:line="360" w:lineRule="auto"/>
              <w:rPr>
                <w:rFonts w:hint="eastAsia" w:ascii="仿宋" w:hAnsi="仿宋" w:eastAsia="仿宋" w:cs="仿宋"/>
                <w:color w:val="auto"/>
                <w:sz w:val="24"/>
                <w:highlight w:val="none"/>
              </w:rPr>
            </w:pPr>
          </w:p>
        </w:tc>
      </w:tr>
    </w:tbl>
    <w:p w14:paraId="5B841B67">
      <w:pPr>
        <w:pStyle w:val="16"/>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注：</w:t>
      </w:r>
    </w:p>
    <w:p w14:paraId="5CE1179A">
      <w:pPr>
        <w:pStyle w:val="16"/>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1"/>
        <w:rPr>
          <w:rFonts w:hint="eastAsia" w:ascii="仿宋" w:hAnsi="仿宋" w:eastAsia="仿宋" w:cs="仿宋"/>
          <w:color w:val="auto"/>
          <w:kern w:val="2"/>
          <w:sz w:val="24"/>
          <w:szCs w:val="24"/>
          <w:lang w:val="en-US" w:eastAsia="zh-CN" w:bidi="ar-SA"/>
        </w:rPr>
      </w:pPr>
      <w:bookmarkStart w:id="251" w:name="_Toc7608"/>
      <w:r>
        <w:rPr>
          <w:rFonts w:hint="eastAsia" w:ascii="仿宋" w:hAnsi="仿宋" w:eastAsia="仿宋" w:cs="仿宋"/>
          <w:color w:val="auto"/>
          <w:kern w:val="2"/>
          <w:sz w:val="24"/>
          <w:szCs w:val="24"/>
          <w:lang w:val="en-US" w:eastAsia="zh-CN" w:bidi="ar-SA"/>
        </w:rPr>
        <w:t>1、序号应对响应内容/产品在第四章《采购需求》中的序号。</w:t>
      </w:r>
      <w:bookmarkEnd w:id="251"/>
    </w:p>
    <w:p w14:paraId="287194FF">
      <w:pPr>
        <w:pStyle w:val="16"/>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供应商根据磋商文件第四章《采购需求》中的技术规范、要求作出全面、真实的反映，技术规范、要求逐条对应答复，响应文件应以中文应答。若响应文件中技术支持资料与技术规格偏离表应答不符或无支持资料应答，而供应商又未在响应文件中作出说明和解释的，视为不响应该条技术参数要求。</w:t>
      </w:r>
    </w:p>
    <w:p w14:paraId="139F2227">
      <w:pPr>
        <w:pStyle w:val="16"/>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表格中“偏离”一列，供应商只能如实填写“正偏离”、“负偏离”或“无偏离”。凡响应技术规格高于磋商文件要求的，按“正偏离”填写；低于磋商文件要求的，按“负偏离”填写；满足磋商文件要求的，按“无偏离”填写。</w:t>
      </w:r>
    </w:p>
    <w:p w14:paraId="424EEA0C">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1A01AD0D">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1BEE44F6">
      <w:pPr>
        <w:keepNext w:val="0"/>
        <w:keepLines w:val="0"/>
        <w:pageBreakBefore w:val="0"/>
        <w:widowControl w:val="0"/>
        <w:kinsoku/>
        <w:wordWrap/>
        <w:overflowPunct/>
        <w:topLinePunct w:val="0"/>
        <w:autoSpaceDE/>
        <w:autoSpaceDN/>
        <w:bidi w:val="0"/>
        <w:adjustRightInd/>
        <w:snapToGrid/>
        <w:spacing w:line="360" w:lineRule="auto"/>
        <w:ind w:firstLine="4080" w:firstLineChars="1700"/>
        <w:jc w:val="left"/>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6284683">
      <w:pP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br w:type="page"/>
      </w:r>
    </w:p>
    <w:p w14:paraId="39326DE7">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12</w:t>
      </w:r>
      <w:r>
        <w:rPr>
          <w:rFonts w:hint="eastAsia" w:ascii="仿宋" w:hAnsi="仿宋" w:eastAsia="仿宋" w:cs="仿宋"/>
          <w:b/>
          <w:color w:val="auto"/>
          <w:sz w:val="28"/>
          <w:szCs w:val="28"/>
          <w:highlight w:val="none"/>
        </w:rPr>
        <w:t>：</w:t>
      </w:r>
    </w:p>
    <w:p w14:paraId="08326833">
      <w:pPr>
        <w:outlineLvl w:val="9"/>
        <w:rPr>
          <w:rFonts w:hint="eastAsia"/>
          <w:color w:val="auto"/>
        </w:rPr>
      </w:pPr>
    </w:p>
    <w:p w14:paraId="7614B975">
      <w:pPr>
        <w:spacing w:line="360" w:lineRule="auto"/>
        <w:jc w:val="center"/>
        <w:rPr>
          <w:rFonts w:hint="eastAsia" w:ascii="仿宋" w:hAnsi="仿宋" w:eastAsia="仿宋" w:cs="仿宋"/>
          <w:b/>
          <w:color w:val="auto"/>
          <w:spacing w:val="40"/>
          <w:kern w:val="2"/>
          <w:sz w:val="32"/>
          <w:highlight w:val="none"/>
          <w:lang w:val="en-US" w:eastAsia="zh-CN" w:bidi="ar-SA"/>
        </w:rPr>
      </w:pPr>
      <w:r>
        <w:rPr>
          <w:rFonts w:hint="eastAsia" w:ascii="仿宋" w:hAnsi="仿宋" w:eastAsia="仿宋" w:cs="仿宋"/>
          <w:b/>
          <w:color w:val="auto"/>
          <w:spacing w:val="40"/>
          <w:kern w:val="2"/>
          <w:sz w:val="32"/>
          <w:highlight w:val="none"/>
          <w:lang w:val="en-US" w:eastAsia="zh-CN" w:bidi="ar-SA"/>
        </w:rPr>
        <w:t>供应商所提供的技术参数指标对磋商文件要求参数指标响应的程度</w:t>
      </w:r>
    </w:p>
    <w:p w14:paraId="4ECB8A58">
      <w:pP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（具体格式由</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自拟）</w:t>
      </w:r>
    </w:p>
    <w:p w14:paraId="76C6AFC2">
      <w:pPr>
        <w:spacing w:line="360" w:lineRule="auto"/>
        <w:ind w:firstLine="2" w:firstLineChars="1"/>
        <w:rPr>
          <w:rFonts w:hint="eastAsia" w:ascii="仿宋" w:hAnsi="仿宋" w:eastAsia="仿宋" w:cs="仿宋"/>
          <w:color w:val="auto"/>
          <w:sz w:val="24"/>
          <w:szCs w:val="24"/>
          <w:highlight w:val="none"/>
        </w:rPr>
      </w:pPr>
    </w:p>
    <w:p w14:paraId="29B6FCCF">
      <w:pPr>
        <w:spacing w:line="360" w:lineRule="auto"/>
        <w:ind w:firstLine="2" w:firstLineChars="1"/>
        <w:rPr>
          <w:rFonts w:hint="eastAsia" w:ascii="仿宋" w:hAnsi="仿宋" w:eastAsia="仿宋" w:cs="仿宋"/>
          <w:color w:val="auto"/>
          <w:sz w:val="24"/>
          <w:szCs w:val="24"/>
          <w:highlight w:val="none"/>
        </w:rPr>
      </w:pPr>
    </w:p>
    <w:p w14:paraId="1DA79003">
      <w:pPr>
        <w:spacing w:line="360" w:lineRule="auto"/>
        <w:ind w:firstLine="2" w:firstLineChars="1"/>
        <w:rPr>
          <w:rFonts w:hint="eastAsia" w:ascii="仿宋" w:hAnsi="仿宋" w:eastAsia="仿宋" w:cs="仿宋"/>
          <w:color w:val="auto"/>
          <w:sz w:val="24"/>
          <w:szCs w:val="24"/>
          <w:highlight w:val="none"/>
        </w:rPr>
      </w:pPr>
    </w:p>
    <w:p w14:paraId="47A83CF8">
      <w:pPr>
        <w:spacing w:line="360" w:lineRule="auto"/>
        <w:ind w:firstLine="2" w:firstLineChars="1"/>
        <w:rPr>
          <w:rFonts w:hint="eastAsia" w:ascii="仿宋" w:hAnsi="仿宋" w:eastAsia="仿宋" w:cs="仿宋"/>
          <w:color w:val="auto"/>
          <w:sz w:val="24"/>
          <w:szCs w:val="24"/>
          <w:highlight w:val="none"/>
        </w:rPr>
      </w:pPr>
    </w:p>
    <w:p w14:paraId="1CB80839">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6F1A6DB7">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463320B5">
      <w:pPr>
        <w:ind w:firstLine="3600" w:firstLineChars="1500"/>
        <w:rPr>
          <w:rFonts w:hint="eastAsia"/>
          <w:color w:val="auto"/>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43C37E4">
      <w:pPr>
        <w:spacing w:line="360" w:lineRule="auto"/>
        <w:rPr>
          <w:rFonts w:hint="eastAsia" w:ascii="仿宋" w:hAnsi="仿宋" w:eastAsia="仿宋" w:cs="仿宋"/>
          <w:color w:val="auto"/>
          <w:sz w:val="30"/>
          <w:szCs w:val="30"/>
          <w:highlight w:val="none"/>
        </w:rPr>
      </w:pPr>
    </w:p>
    <w:p w14:paraId="6361E254">
      <w:pPr>
        <w:pStyle w:val="33"/>
        <w:spacing w:line="360" w:lineRule="auto"/>
        <w:rPr>
          <w:rFonts w:hint="eastAsia" w:ascii="仿宋" w:hAnsi="仿宋" w:eastAsia="仿宋" w:cs="仿宋"/>
          <w:color w:val="auto"/>
          <w:sz w:val="30"/>
          <w:szCs w:val="30"/>
          <w:highlight w:val="none"/>
        </w:rPr>
      </w:pPr>
    </w:p>
    <w:p w14:paraId="59E5198F">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77A9760E">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13</w:t>
      </w:r>
      <w:r>
        <w:rPr>
          <w:rFonts w:hint="eastAsia" w:ascii="仿宋" w:hAnsi="仿宋" w:eastAsia="仿宋" w:cs="仿宋"/>
          <w:b/>
          <w:color w:val="auto"/>
          <w:sz w:val="28"/>
          <w:szCs w:val="28"/>
          <w:highlight w:val="none"/>
        </w:rPr>
        <w:t>：</w:t>
      </w:r>
    </w:p>
    <w:p w14:paraId="5F66931C">
      <w:pPr>
        <w:outlineLvl w:val="9"/>
        <w:rPr>
          <w:rFonts w:hint="eastAsia"/>
          <w:color w:val="auto"/>
        </w:rPr>
      </w:pPr>
    </w:p>
    <w:p w14:paraId="5A1A8FCB">
      <w:pPr>
        <w:spacing w:line="360" w:lineRule="auto"/>
        <w:jc w:val="center"/>
        <w:rPr>
          <w:rFonts w:hint="eastAsia" w:ascii="仿宋" w:hAnsi="仿宋" w:eastAsia="仿宋" w:cs="仿宋"/>
          <w:b/>
          <w:color w:val="auto"/>
          <w:spacing w:val="40"/>
          <w:kern w:val="2"/>
          <w:sz w:val="32"/>
          <w:highlight w:val="none"/>
          <w:lang w:val="en-US" w:eastAsia="zh-CN" w:bidi="ar-SA"/>
        </w:rPr>
      </w:pPr>
      <w:r>
        <w:rPr>
          <w:rFonts w:hint="eastAsia" w:ascii="仿宋" w:hAnsi="仿宋" w:eastAsia="仿宋" w:cs="仿宋"/>
          <w:b/>
          <w:color w:val="auto"/>
          <w:spacing w:val="40"/>
          <w:kern w:val="2"/>
          <w:sz w:val="32"/>
          <w:highlight w:val="none"/>
          <w:lang w:val="en-US" w:eastAsia="zh-CN" w:bidi="ar-SA"/>
        </w:rPr>
        <w:t>对本项目理解</w:t>
      </w:r>
    </w:p>
    <w:p w14:paraId="554379A1">
      <w:pP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（具体格式由</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自拟）</w:t>
      </w:r>
    </w:p>
    <w:p w14:paraId="25763458">
      <w:pPr>
        <w:spacing w:line="360" w:lineRule="auto"/>
        <w:ind w:firstLine="2" w:firstLineChars="1"/>
        <w:rPr>
          <w:rFonts w:hint="eastAsia" w:ascii="仿宋" w:hAnsi="仿宋" w:eastAsia="仿宋" w:cs="仿宋"/>
          <w:color w:val="auto"/>
          <w:sz w:val="24"/>
          <w:szCs w:val="24"/>
          <w:highlight w:val="none"/>
        </w:rPr>
      </w:pPr>
    </w:p>
    <w:p w14:paraId="05F76B7A">
      <w:pPr>
        <w:spacing w:line="360" w:lineRule="auto"/>
        <w:ind w:firstLine="2" w:firstLineChars="1"/>
        <w:rPr>
          <w:rFonts w:hint="eastAsia" w:ascii="仿宋" w:hAnsi="仿宋" w:eastAsia="仿宋" w:cs="仿宋"/>
          <w:color w:val="auto"/>
          <w:sz w:val="24"/>
          <w:szCs w:val="24"/>
          <w:highlight w:val="none"/>
        </w:rPr>
      </w:pPr>
    </w:p>
    <w:p w14:paraId="58D26813">
      <w:pPr>
        <w:spacing w:line="360" w:lineRule="auto"/>
        <w:ind w:firstLine="2" w:firstLineChars="1"/>
        <w:rPr>
          <w:rFonts w:hint="eastAsia" w:ascii="仿宋" w:hAnsi="仿宋" w:eastAsia="仿宋" w:cs="仿宋"/>
          <w:color w:val="auto"/>
          <w:sz w:val="24"/>
          <w:szCs w:val="24"/>
          <w:highlight w:val="none"/>
        </w:rPr>
      </w:pPr>
    </w:p>
    <w:p w14:paraId="6F34EB46">
      <w:pPr>
        <w:spacing w:line="360" w:lineRule="auto"/>
        <w:ind w:firstLine="2" w:firstLineChars="1"/>
        <w:rPr>
          <w:rFonts w:hint="eastAsia" w:ascii="仿宋" w:hAnsi="仿宋" w:eastAsia="仿宋" w:cs="仿宋"/>
          <w:color w:val="auto"/>
          <w:sz w:val="24"/>
          <w:szCs w:val="24"/>
          <w:highlight w:val="none"/>
        </w:rPr>
      </w:pPr>
    </w:p>
    <w:p w14:paraId="562D6822">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7B7DE7AA">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14FAEB23">
      <w:pPr>
        <w:ind w:firstLine="3600" w:firstLineChars="1500"/>
        <w:rPr>
          <w:rFonts w:hint="eastAsia"/>
          <w:color w:val="auto"/>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7BE8BD1">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48DB9A5B">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14</w:t>
      </w:r>
      <w:r>
        <w:rPr>
          <w:rFonts w:hint="eastAsia" w:ascii="仿宋" w:hAnsi="仿宋" w:eastAsia="仿宋" w:cs="仿宋"/>
          <w:b/>
          <w:color w:val="auto"/>
          <w:sz w:val="28"/>
          <w:szCs w:val="28"/>
          <w:highlight w:val="none"/>
        </w:rPr>
        <w:t>：</w:t>
      </w:r>
    </w:p>
    <w:p w14:paraId="5E4FD98F">
      <w:pPr>
        <w:outlineLvl w:val="9"/>
        <w:rPr>
          <w:rFonts w:hint="eastAsia"/>
          <w:color w:val="auto"/>
        </w:rPr>
      </w:pPr>
    </w:p>
    <w:p w14:paraId="4BBA3EDA">
      <w:pPr>
        <w:spacing w:line="360" w:lineRule="auto"/>
        <w:jc w:val="center"/>
        <w:rPr>
          <w:rFonts w:hint="eastAsia" w:ascii="仿宋" w:hAnsi="仿宋" w:eastAsia="仿宋" w:cs="仿宋"/>
          <w:b/>
          <w:color w:val="auto"/>
          <w:spacing w:val="40"/>
          <w:kern w:val="2"/>
          <w:sz w:val="32"/>
          <w:highlight w:val="none"/>
          <w:lang w:val="en-US" w:eastAsia="zh-CN" w:bidi="ar-SA"/>
        </w:rPr>
      </w:pPr>
      <w:r>
        <w:rPr>
          <w:rFonts w:hint="eastAsia" w:ascii="仿宋" w:hAnsi="仿宋" w:eastAsia="仿宋" w:cs="仿宋"/>
          <w:b/>
          <w:color w:val="auto"/>
          <w:spacing w:val="40"/>
          <w:kern w:val="2"/>
          <w:sz w:val="32"/>
          <w:highlight w:val="none"/>
          <w:lang w:val="en-US" w:eastAsia="zh-CN" w:bidi="ar-SA"/>
        </w:rPr>
        <w:t>项目服务方案</w:t>
      </w:r>
    </w:p>
    <w:p w14:paraId="7F9F34AE">
      <w:pP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（具体格式由</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自拟）</w:t>
      </w:r>
    </w:p>
    <w:p w14:paraId="418AE125">
      <w:pPr>
        <w:spacing w:line="360" w:lineRule="auto"/>
        <w:ind w:firstLine="2" w:firstLineChars="1"/>
        <w:rPr>
          <w:rFonts w:hint="eastAsia" w:ascii="仿宋" w:hAnsi="仿宋" w:eastAsia="仿宋" w:cs="仿宋"/>
          <w:color w:val="auto"/>
          <w:sz w:val="24"/>
          <w:szCs w:val="24"/>
          <w:highlight w:val="none"/>
        </w:rPr>
      </w:pPr>
    </w:p>
    <w:p w14:paraId="449ACCD2">
      <w:pPr>
        <w:spacing w:line="360" w:lineRule="auto"/>
        <w:ind w:firstLine="2" w:firstLineChars="1"/>
        <w:rPr>
          <w:rFonts w:hint="eastAsia" w:ascii="仿宋" w:hAnsi="仿宋" w:eastAsia="仿宋" w:cs="仿宋"/>
          <w:color w:val="auto"/>
          <w:sz w:val="24"/>
          <w:szCs w:val="24"/>
          <w:highlight w:val="none"/>
        </w:rPr>
      </w:pPr>
    </w:p>
    <w:p w14:paraId="0D435522">
      <w:pPr>
        <w:spacing w:line="360" w:lineRule="auto"/>
        <w:ind w:firstLine="2" w:firstLineChars="1"/>
        <w:rPr>
          <w:rFonts w:hint="eastAsia" w:ascii="仿宋" w:hAnsi="仿宋" w:eastAsia="仿宋" w:cs="仿宋"/>
          <w:color w:val="auto"/>
          <w:sz w:val="24"/>
          <w:szCs w:val="24"/>
          <w:highlight w:val="none"/>
        </w:rPr>
      </w:pPr>
    </w:p>
    <w:p w14:paraId="18112764">
      <w:pPr>
        <w:spacing w:line="360" w:lineRule="auto"/>
        <w:ind w:firstLine="2" w:firstLineChars="1"/>
        <w:rPr>
          <w:rFonts w:hint="eastAsia" w:ascii="仿宋" w:hAnsi="仿宋" w:eastAsia="仿宋" w:cs="仿宋"/>
          <w:color w:val="auto"/>
          <w:sz w:val="24"/>
          <w:szCs w:val="24"/>
          <w:highlight w:val="none"/>
        </w:rPr>
      </w:pPr>
    </w:p>
    <w:p w14:paraId="1C9BA69C">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5CB98FB0">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6E47AECA">
      <w:pPr>
        <w:pStyle w:val="33"/>
        <w:spacing w:line="360" w:lineRule="auto"/>
        <w:ind w:firstLine="3600" w:firstLineChars="1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FBFB924">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CB3ED3A">
      <w:pPr>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15</w:t>
      </w:r>
      <w:r>
        <w:rPr>
          <w:rFonts w:hint="eastAsia" w:ascii="仿宋" w:hAnsi="仿宋" w:eastAsia="仿宋" w:cs="仿宋"/>
          <w:b/>
          <w:color w:val="auto"/>
          <w:sz w:val="28"/>
          <w:szCs w:val="28"/>
          <w:highlight w:val="none"/>
        </w:rPr>
        <w:t>：</w:t>
      </w:r>
    </w:p>
    <w:p w14:paraId="07A9433E">
      <w:pPr>
        <w:spacing w:line="360" w:lineRule="auto"/>
        <w:jc w:val="center"/>
        <w:rPr>
          <w:rFonts w:hint="eastAsia" w:ascii="仿宋" w:hAnsi="仿宋" w:eastAsia="仿宋" w:cs="仿宋"/>
          <w:b/>
          <w:color w:val="auto"/>
          <w:spacing w:val="40"/>
          <w:kern w:val="2"/>
          <w:sz w:val="32"/>
          <w:highlight w:val="none"/>
          <w:lang w:val="en-US" w:eastAsia="zh-CN" w:bidi="ar-SA"/>
        </w:rPr>
      </w:pPr>
      <w:r>
        <w:rPr>
          <w:rFonts w:hint="eastAsia" w:ascii="仿宋" w:hAnsi="仿宋" w:eastAsia="仿宋" w:cs="仿宋"/>
          <w:b/>
          <w:color w:val="auto"/>
          <w:spacing w:val="40"/>
          <w:kern w:val="2"/>
          <w:sz w:val="32"/>
          <w:highlight w:val="none"/>
          <w:lang w:val="en-US" w:eastAsia="zh-CN" w:bidi="ar-SA"/>
        </w:rPr>
        <w:t>服务保障措施</w:t>
      </w:r>
    </w:p>
    <w:p w14:paraId="5F7BF789">
      <w:pP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（具体格式由</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自拟）</w:t>
      </w:r>
    </w:p>
    <w:p w14:paraId="30414446">
      <w:pPr>
        <w:pStyle w:val="10"/>
        <w:rPr>
          <w:rFonts w:hint="eastAsia" w:ascii="仿宋" w:hAnsi="仿宋" w:eastAsia="仿宋" w:cs="仿宋"/>
          <w:bCs/>
          <w:color w:val="auto"/>
          <w:sz w:val="24"/>
          <w:szCs w:val="24"/>
          <w:highlight w:val="none"/>
        </w:rPr>
      </w:pPr>
    </w:p>
    <w:p w14:paraId="4C48A97A">
      <w:pPr>
        <w:rPr>
          <w:rFonts w:hint="eastAsia" w:ascii="仿宋" w:hAnsi="仿宋" w:eastAsia="仿宋" w:cs="仿宋"/>
          <w:color w:val="auto"/>
        </w:rPr>
      </w:pPr>
    </w:p>
    <w:p w14:paraId="463AB7AB">
      <w:pPr>
        <w:spacing w:line="360" w:lineRule="auto"/>
        <w:ind w:firstLine="2" w:firstLineChars="1"/>
        <w:jc w:val="right"/>
        <w:rPr>
          <w:rFonts w:hint="eastAsia" w:ascii="仿宋" w:hAnsi="仿宋" w:eastAsia="仿宋" w:cs="仿宋"/>
          <w:color w:val="auto"/>
          <w:sz w:val="24"/>
          <w:szCs w:val="24"/>
          <w:highlight w:val="none"/>
          <w:lang w:eastAsia="zh-CN"/>
        </w:rPr>
      </w:pPr>
    </w:p>
    <w:p w14:paraId="3CDC8461">
      <w:pPr>
        <w:spacing w:line="360" w:lineRule="auto"/>
        <w:ind w:firstLine="2" w:firstLineChars="1"/>
        <w:jc w:val="right"/>
        <w:rPr>
          <w:rFonts w:hint="eastAsia" w:ascii="仿宋" w:hAnsi="仿宋" w:eastAsia="仿宋" w:cs="仿宋"/>
          <w:color w:val="auto"/>
          <w:sz w:val="24"/>
          <w:szCs w:val="24"/>
          <w:highlight w:val="none"/>
          <w:lang w:eastAsia="zh-CN"/>
        </w:rPr>
      </w:pPr>
    </w:p>
    <w:p w14:paraId="309EDE77">
      <w:pPr>
        <w:spacing w:line="360" w:lineRule="auto"/>
        <w:ind w:firstLine="2" w:firstLineChars="1"/>
        <w:jc w:val="right"/>
        <w:rPr>
          <w:rFonts w:hint="eastAsia" w:ascii="仿宋" w:hAnsi="仿宋" w:eastAsia="仿宋" w:cs="仿宋"/>
          <w:color w:val="auto"/>
          <w:sz w:val="24"/>
          <w:szCs w:val="24"/>
          <w:highlight w:val="none"/>
          <w:lang w:eastAsia="zh-CN"/>
        </w:rPr>
      </w:pPr>
    </w:p>
    <w:p w14:paraId="172BDCB1">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521109F8">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2B523E67">
      <w:pPr>
        <w:ind w:firstLine="4080" w:firstLineChars="17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br w:type="page"/>
      </w:r>
    </w:p>
    <w:p w14:paraId="7354DFBF">
      <w:pPr>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16</w:t>
      </w:r>
      <w:r>
        <w:rPr>
          <w:rFonts w:hint="eastAsia" w:ascii="仿宋" w:hAnsi="仿宋" w:eastAsia="仿宋" w:cs="仿宋"/>
          <w:b/>
          <w:color w:val="auto"/>
          <w:sz w:val="28"/>
          <w:szCs w:val="28"/>
          <w:highlight w:val="none"/>
        </w:rPr>
        <w:t>：</w:t>
      </w:r>
    </w:p>
    <w:p w14:paraId="2C4C7A8C">
      <w:pPr>
        <w:spacing w:line="360" w:lineRule="auto"/>
        <w:jc w:val="center"/>
        <w:rPr>
          <w:rFonts w:hint="eastAsia" w:ascii="仿宋" w:hAnsi="仿宋" w:eastAsia="仿宋" w:cs="仿宋"/>
          <w:b/>
          <w:color w:val="auto"/>
          <w:spacing w:val="40"/>
          <w:kern w:val="2"/>
          <w:sz w:val="32"/>
          <w:highlight w:val="none"/>
          <w:lang w:val="en-US" w:eastAsia="zh-CN" w:bidi="ar-SA"/>
        </w:rPr>
      </w:pPr>
      <w:r>
        <w:rPr>
          <w:rFonts w:hint="eastAsia" w:ascii="仿宋" w:hAnsi="仿宋" w:eastAsia="仿宋" w:cs="仿宋"/>
          <w:b/>
          <w:color w:val="auto"/>
          <w:spacing w:val="40"/>
          <w:kern w:val="2"/>
          <w:sz w:val="32"/>
          <w:highlight w:val="none"/>
          <w:lang w:val="en-US" w:eastAsia="zh-CN" w:bidi="ar-SA"/>
        </w:rPr>
        <w:t>服务人员配备</w:t>
      </w:r>
    </w:p>
    <w:p w14:paraId="5BBDB3F9">
      <w:pP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（具体格式由</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自拟）</w:t>
      </w:r>
    </w:p>
    <w:p w14:paraId="1F86C7B2">
      <w:pPr>
        <w:pStyle w:val="10"/>
        <w:rPr>
          <w:rFonts w:hint="eastAsia" w:ascii="仿宋" w:hAnsi="仿宋" w:eastAsia="仿宋" w:cs="仿宋"/>
          <w:bCs/>
          <w:color w:val="auto"/>
          <w:sz w:val="24"/>
          <w:szCs w:val="24"/>
          <w:highlight w:val="none"/>
        </w:rPr>
      </w:pPr>
    </w:p>
    <w:p w14:paraId="0453711C">
      <w:pPr>
        <w:rPr>
          <w:rFonts w:hint="eastAsia" w:ascii="仿宋" w:hAnsi="仿宋" w:eastAsia="仿宋" w:cs="仿宋"/>
          <w:color w:val="auto"/>
        </w:rPr>
      </w:pPr>
    </w:p>
    <w:p w14:paraId="22E37F06">
      <w:pPr>
        <w:spacing w:line="360" w:lineRule="auto"/>
        <w:ind w:firstLine="2" w:firstLineChars="1"/>
        <w:jc w:val="right"/>
        <w:rPr>
          <w:rFonts w:hint="eastAsia" w:ascii="仿宋" w:hAnsi="仿宋" w:eastAsia="仿宋" w:cs="仿宋"/>
          <w:color w:val="auto"/>
          <w:sz w:val="24"/>
          <w:szCs w:val="24"/>
          <w:highlight w:val="none"/>
          <w:lang w:eastAsia="zh-CN"/>
        </w:rPr>
      </w:pPr>
    </w:p>
    <w:p w14:paraId="19261A78">
      <w:pPr>
        <w:spacing w:line="360" w:lineRule="auto"/>
        <w:ind w:firstLine="2" w:firstLineChars="1"/>
        <w:jc w:val="right"/>
        <w:rPr>
          <w:rFonts w:hint="eastAsia" w:ascii="仿宋" w:hAnsi="仿宋" w:eastAsia="仿宋" w:cs="仿宋"/>
          <w:color w:val="auto"/>
          <w:sz w:val="24"/>
          <w:szCs w:val="24"/>
          <w:highlight w:val="none"/>
          <w:lang w:eastAsia="zh-CN"/>
        </w:rPr>
      </w:pPr>
    </w:p>
    <w:p w14:paraId="4432F77D">
      <w:pPr>
        <w:spacing w:line="360" w:lineRule="auto"/>
        <w:ind w:firstLine="2" w:firstLineChars="1"/>
        <w:jc w:val="right"/>
        <w:rPr>
          <w:rFonts w:hint="eastAsia" w:ascii="仿宋" w:hAnsi="仿宋" w:eastAsia="仿宋" w:cs="仿宋"/>
          <w:color w:val="auto"/>
          <w:sz w:val="24"/>
          <w:szCs w:val="24"/>
          <w:highlight w:val="none"/>
          <w:lang w:eastAsia="zh-CN"/>
        </w:rPr>
      </w:pPr>
    </w:p>
    <w:p w14:paraId="2C42AE26">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1F10047C">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65ECD50B">
      <w:pPr>
        <w:pStyle w:val="33"/>
        <w:spacing w:line="360" w:lineRule="auto"/>
        <w:ind w:firstLine="3600" w:firstLineChars="1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8E1700D">
      <w:pPr>
        <w:pStyle w:val="33"/>
        <w:spacing w:line="360" w:lineRule="auto"/>
        <w:rPr>
          <w:rFonts w:hint="eastAsia" w:ascii="仿宋" w:hAnsi="仿宋" w:eastAsia="仿宋" w:cs="仿宋"/>
          <w:color w:val="auto"/>
          <w:sz w:val="30"/>
          <w:szCs w:val="30"/>
          <w:highlight w:val="none"/>
        </w:rPr>
      </w:pPr>
    </w:p>
    <w:p w14:paraId="2690EEEA">
      <w:pPr>
        <w:pStyle w:val="33"/>
        <w:spacing w:line="360" w:lineRule="auto"/>
        <w:rPr>
          <w:rFonts w:hint="eastAsia" w:ascii="仿宋" w:hAnsi="仿宋" w:eastAsia="仿宋" w:cs="仿宋"/>
          <w:color w:val="auto"/>
          <w:sz w:val="30"/>
          <w:szCs w:val="30"/>
          <w:highlight w:val="none"/>
        </w:rPr>
      </w:pPr>
    </w:p>
    <w:p w14:paraId="4EFD2560">
      <w:pPr>
        <w:pStyle w:val="33"/>
        <w:spacing w:line="360" w:lineRule="auto"/>
        <w:rPr>
          <w:rFonts w:hint="eastAsia" w:ascii="仿宋" w:hAnsi="仿宋" w:eastAsia="仿宋" w:cs="仿宋"/>
          <w:color w:val="auto"/>
          <w:sz w:val="30"/>
          <w:szCs w:val="30"/>
          <w:highlight w:val="none"/>
        </w:rPr>
      </w:pPr>
    </w:p>
    <w:p w14:paraId="735441E1">
      <w:pPr>
        <w:pStyle w:val="33"/>
        <w:spacing w:line="360" w:lineRule="auto"/>
        <w:rPr>
          <w:rFonts w:hint="eastAsia" w:ascii="仿宋" w:hAnsi="仿宋" w:eastAsia="仿宋" w:cs="仿宋"/>
          <w:color w:val="auto"/>
          <w:sz w:val="30"/>
          <w:szCs w:val="30"/>
          <w:highlight w:val="none"/>
        </w:rPr>
      </w:pPr>
    </w:p>
    <w:p w14:paraId="2E5AD5A2">
      <w:pPr>
        <w:pStyle w:val="33"/>
        <w:spacing w:line="360" w:lineRule="auto"/>
        <w:rPr>
          <w:rFonts w:hint="eastAsia" w:ascii="仿宋" w:hAnsi="仿宋" w:eastAsia="仿宋" w:cs="仿宋"/>
          <w:color w:val="auto"/>
          <w:sz w:val="30"/>
          <w:szCs w:val="30"/>
          <w:highlight w:val="none"/>
        </w:rPr>
      </w:pPr>
    </w:p>
    <w:p w14:paraId="1009480B">
      <w:pPr>
        <w:pStyle w:val="33"/>
        <w:spacing w:line="360" w:lineRule="auto"/>
        <w:rPr>
          <w:rFonts w:hint="eastAsia" w:ascii="仿宋" w:hAnsi="仿宋" w:eastAsia="仿宋" w:cs="仿宋"/>
          <w:color w:val="auto"/>
          <w:sz w:val="30"/>
          <w:szCs w:val="30"/>
          <w:highlight w:val="none"/>
        </w:rPr>
      </w:pPr>
    </w:p>
    <w:p w14:paraId="2B71C6EB">
      <w:pPr>
        <w:spacing w:line="360" w:lineRule="auto"/>
        <w:rPr>
          <w:rFonts w:hint="eastAsia" w:ascii="仿宋" w:hAnsi="仿宋" w:eastAsia="仿宋" w:cs="仿宋"/>
          <w:color w:val="auto"/>
          <w:sz w:val="30"/>
          <w:szCs w:val="30"/>
          <w:highlight w:val="none"/>
        </w:rPr>
      </w:pPr>
    </w:p>
    <w:p w14:paraId="0969C016">
      <w:pPr>
        <w:spacing w:line="360" w:lineRule="auto"/>
        <w:rPr>
          <w:rFonts w:hint="eastAsia" w:ascii="仿宋" w:hAnsi="仿宋" w:eastAsia="仿宋" w:cs="仿宋"/>
          <w:color w:val="auto"/>
          <w:sz w:val="30"/>
          <w:szCs w:val="30"/>
          <w:highlight w:val="none"/>
        </w:rPr>
      </w:pPr>
    </w:p>
    <w:p w14:paraId="22E3EF8C">
      <w:pPr>
        <w:rPr>
          <w:rFonts w:hint="eastAsia" w:ascii="仿宋" w:hAnsi="仿宋" w:eastAsia="仿宋" w:cs="仿宋"/>
          <w:color w:val="auto"/>
          <w:sz w:val="32"/>
          <w:szCs w:val="32"/>
          <w:highlight w:val="none"/>
        </w:rPr>
      </w:pPr>
      <w:bookmarkStart w:id="252" w:name="_Toc8536"/>
      <w:bookmarkStart w:id="253" w:name="_Toc17993"/>
      <w:r>
        <w:rPr>
          <w:rFonts w:hint="eastAsia" w:ascii="仿宋" w:hAnsi="仿宋" w:eastAsia="仿宋" w:cs="仿宋"/>
          <w:color w:val="auto"/>
          <w:sz w:val="32"/>
          <w:szCs w:val="32"/>
          <w:highlight w:val="none"/>
        </w:rPr>
        <w:br w:type="page"/>
      </w:r>
    </w:p>
    <w:p w14:paraId="026A5A57">
      <w:pPr>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17</w:t>
      </w:r>
      <w:r>
        <w:rPr>
          <w:rFonts w:hint="eastAsia" w:ascii="仿宋" w:hAnsi="仿宋" w:eastAsia="仿宋" w:cs="仿宋"/>
          <w:b/>
          <w:color w:val="auto"/>
          <w:sz w:val="28"/>
          <w:szCs w:val="28"/>
          <w:highlight w:val="none"/>
        </w:rPr>
        <w:t>：</w:t>
      </w:r>
    </w:p>
    <w:p w14:paraId="27919705">
      <w:pPr>
        <w:spacing w:line="360" w:lineRule="auto"/>
        <w:jc w:val="center"/>
        <w:rPr>
          <w:rFonts w:hint="eastAsia" w:ascii="仿宋" w:hAnsi="仿宋" w:eastAsia="仿宋" w:cs="仿宋"/>
          <w:b/>
          <w:color w:val="auto"/>
          <w:spacing w:val="40"/>
          <w:kern w:val="2"/>
          <w:sz w:val="32"/>
          <w:highlight w:val="none"/>
          <w:lang w:val="en-US" w:eastAsia="zh-CN" w:bidi="ar-SA"/>
        </w:rPr>
      </w:pPr>
      <w:r>
        <w:rPr>
          <w:rFonts w:hint="eastAsia" w:ascii="仿宋" w:hAnsi="仿宋" w:eastAsia="仿宋" w:cs="仿宋"/>
          <w:b/>
          <w:color w:val="auto"/>
          <w:spacing w:val="40"/>
          <w:kern w:val="2"/>
          <w:sz w:val="32"/>
          <w:highlight w:val="none"/>
          <w:lang w:val="en-US" w:eastAsia="zh-CN" w:bidi="ar-SA"/>
        </w:rPr>
        <w:t>应急预案</w:t>
      </w:r>
    </w:p>
    <w:p w14:paraId="20C6FA88">
      <w:pP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（具体格式由</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自拟）</w:t>
      </w:r>
    </w:p>
    <w:p w14:paraId="70BCE906">
      <w:pPr>
        <w:pStyle w:val="10"/>
        <w:rPr>
          <w:rFonts w:hint="eastAsia" w:ascii="仿宋" w:hAnsi="仿宋" w:eastAsia="仿宋" w:cs="仿宋"/>
          <w:bCs/>
          <w:color w:val="auto"/>
          <w:sz w:val="24"/>
          <w:szCs w:val="24"/>
          <w:highlight w:val="none"/>
        </w:rPr>
      </w:pPr>
    </w:p>
    <w:p w14:paraId="4A2D3BB9">
      <w:pPr>
        <w:rPr>
          <w:rFonts w:hint="eastAsia" w:ascii="仿宋" w:hAnsi="仿宋" w:eastAsia="仿宋" w:cs="仿宋"/>
          <w:color w:val="auto"/>
        </w:rPr>
      </w:pPr>
    </w:p>
    <w:p w14:paraId="3FC73145">
      <w:pPr>
        <w:spacing w:line="360" w:lineRule="auto"/>
        <w:ind w:firstLine="2" w:firstLineChars="1"/>
        <w:jc w:val="right"/>
        <w:rPr>
          <w:rFonts w:hint="eastAsia" w:ascii="仿宋" w:hAnsi="仿宋" w:eastAsia="仿宋" w:cs="仿宋"/>
          <w:color w:val="auto"/>
          <w:sz w:val="24"/>
          <w:szCs w:val="24"/>
          <w:highlight w:val="none"/>
          <w:lang w:eastAsia="zh-CN"/>
        </w:rPr>
      </w:pPr>
    </w:p>
    <w:p w14:paraId="6CD63CAF">
      <w:pPr>
        <w:spacing w:line="360" w:lineRule="auto"/>
        <w:ind w:firstLine="2" w:firstLineChars="1"/>
        <w:jc w:val="right"/>
        <w:rPr>
          <w:rFonts w:hint="eastAsia" w:ascii="仿宋" w:hAnsi="仿宋" w:eastAsia="仿宋" w:cs="仿宋"/>
          <w:color w:val="auto"/>
          <w:sz w:val="24"/>
          <w:szCs w:val="24"/>
          <w:highlight w:val="none"/>
          <w:lang w:eastAsia="zh-CN"/>
        </w:rPr>
      </w:pPr>
    </w:p>
    <w:p w14:paraId="1338C8A9">
      <w:pPr>
        <w:spacing w:line="360" w:lineRule="auto"/>
        <w:ind w:firstLine="2" w:firstLineChars="1"/>
        <w:jc w:val="right"/>
        <w:rPr>
          <w:rFonts w:hint="eastAsia" w:ascii="仿宋" w:hAnsi="仿宋" w:eastAsia="仿宋" w:cs="仿宋"/>
          <w:color w:val="auto"/>
          <w:sz w:val="24"/>
          <w:szCs w:val="24"/>
          <w:highlight w:val="none"/>
          <w:lang w:eastAsia="zh-CN"/>
        </w:rPr>
      </w:pPr>
    </w:p>
    <w:p w14:paraId="45C37584">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shd w:val="clear" w:color="auto" w:fill="auto"/>
        </w:rPr>
        <w:t>（</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shd w:val="clear" w:color="auto" w:fill="auto"/>
        </w:rPr>
        <w:t>）</w:t>
      </w:r>
    </w:p>
    <w:p w14:paraId="45BDB510">
      <w:pPr>
        <w:spacing w:line="360" w:lineRule="auto"/>
        <w:ind w:firstLine="2" w:firstLineChars="1"/>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电子签字</w:t>
      </w:r>
      <w:r>
        <w:rPr>
          <w:rFonts w:hint="eastAsia" w:ascii="仿宋" w:hAnsi="仿宋" w:eastAsia="仿宋" w:cs="仿宋"/>
          <w:color w:val="auto"/>
          <w:sz w:val="24"/>
          <w:highlight w:val="none"/>
        </w:rPr>
        <w:t>或盖章）</w:t>
      </w:r>
    </w:p>
    <w:p w14:paraId="5E92C26A">
      <w:pPr>
        <w:ind w:firstLine="4560" w:firstLineChars="19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32"/>
          <w:szCs w:val="32"/>
          <w:highlight w:val="none"/>
        </w:rPr>
        <w:br w:type="page"/>
      </w:r>
    </w:p>
    <w:p w14:paraId="7776A501">
      <w:pPr>
        <w:outlineLvl w:val="9"/>
        <w:rPr>
          <w:rFonts w:hint="eastAsia"/>
          <w:color w:val="auto"/>
        </w:rPr>
      </w:pPr>
    </w:p>
    <w:p w14:paraId="078E9393">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7A6864BF">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7E5E2809">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4161E012">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053C40B4">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35A5EA0F">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0862B943">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1FF9DCB1">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21BE3915">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1DDAB725">
      <w:pPr>
        <w:numPr>
          <w:ilvl w:val="0"/>
          <w:numId w:val="0"/>
        </w:numPr>
        <w:tabs>
          <w:tab w:val="left" w:pos="360"/>
        </w:tabs>
        <w:spacing w:line="360" w:lineRule="auto"/>
        <w:jc w:val="center"/>
        <w:outlineLvl w:val="9"/>
        <w:rPr>
          <w:rFonts w:hint="eastAsia" w:ascii="仿宋" w:hAnsi="仿宋" w:eastAsia="仿宋" w:cs="仿宋"/>
          <w:color w:val="auto"/>
          <w:sz w:val="32"/>
          <w:szCs w:val="32"/>
          <w:highlight w:val="none"/>
        </w:rPr>
      </w:pPr>
    </w:p>
    <w:p w14:paraId="1537AAAE">
      <w:pPr>
        <w:pStyle w:val="2"/>
        <w:numPr>
          <w:ilvl w:val="0"/>
          <w:numId w:val="0"/>
        </w:numPr>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第六章  评审办法</w:t>
      </w:r>
      <w:bookmarkEnd w:id="252"/>
      <w:bookmarkEnd w:id="253"/>
    </w:p>
    <w:p w14:paraId="30451BB3">
      <w:pPr>
        <w:numPr>
          <w:ilvl w:val="0"/>
          <w:numId w:val="0"/>
        </w:numPr>
        <w:spacing w:line="360" w:lineRule="auto"/>
        <w:ind w:left="425"/>
        <w:jc w:val="center"/>
        <w:outlineLvl w:val="9"/>
        <w:rPr>
          <w:rFonts w:hint="eastAsia" w:ascii="仿宋" w:hAnsi="仿宋" w:eastAsia="仿宋" w:cs="仿宋"/>
          <w:b/>
          <w:bCs/>
          <w:color w:val="auto"/>
          <w:sz w:val="28"/>
          <w:szCs w:val="28"/>
          <w:highlight w:val="none"/>
        </w:rPr>
      </w:pPr>
      <w:r>
        <w:rPr>
          <w:rFonts w:hint="eastAsia" w:ascii="仿宋" w:hAnsi="仿宋" w:eastAsia="仿宋" w:cs="仿宋"/>
          <w:color w:val="auto"/>
          <w:highlight w:val="none"/>
        </w:rPr>
        <w:br w:type="page"/>
      </w:r>
      <w:bookmarkStart w:id="254" w:name="_Toc489145774"/>
      <w:bookmarkStart w:id="255" w:name="_Toc28744"/>
      <w:bookmarkStart w:id="256" w:name="_Toc19100"/>
      <w:bookmarkStart w:id="257" w:name="_Toc24349"/>
      <w:bookmarkStart w:id="258" w:name="_Toc488633639"/>
      <w:bookmarkStart w:id="259" w:name="_Toc489197878"/>
      <w:r>
        <w:rPr>
          <w:rFonts w:hint="eastAsia" w:ascii="仿宋" w:hAnsi="仿宋" w:eastAsia="仿宋" w:cs="仿宋"/>
          <w:b/>
          <w:bCs/>
          <w:color w:val="auto"/>
          <w:sz w:val="28"/>
          <w:szCs w:val="28"/>
          <w:highlight w:val="none"/>
        </w:rPr>
        <w:t>评</w:t>
      </w:r>
      <w:r>
        <w:rPr>
          <w:rFonts w:hint="eastAsia" w:ascii="仿宋" w:hAnsi="仿宋" w:eastAsia="仿宋" w:cs="仿宋"/>
          <w:b/>
          <w:bCs/>
          <w:color w:val="auto"/>
          <w:sz w:val="28"/>
          <w:szCs w:val="28"/>
          <w:highlight w:val="none"/>
          <w:lang w:val="en-US" w:eastAsia="zh-CN"/>
        </w:rPr>
        <w:t>审</w:t>
      </w:r>
      <w:r>
        <w:rPr>
          <w:rFonts w:hint="eastAsia" w:ascii="仿宋" w:hAnsi="仿宋" w:eastAsia="仿宋" w:cs="仿宋"/>
          <w:b/>
          <w:bCs/>
          <w:color w:val="auto"/>
          <w:sz w:val="28"/>
          <w:szCs w:val="28"/>
          <w:highlight w:val="none"/>
        </w:rPr>
        <w:t>方法前附表</w:t>
      </w:r>
      <w:bookmarkEnd w:id="254"/>
      <w:bookmarkEnd w:id="255"/>
      <w:bookmarkEnd w:id="256"/>
      <w:bookmarkEnd w:id="257"/>
      <w:bookmarkEnd w:id="258"/>
      <w:bookmarkEnd w:id="259"/>
    </w:p>
    <w:tbl>
      <w:tblPr>
        <w:tblStyle w:val="25"/>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0"/>
        <w:gridCol w:w="1600"/>
        <w:gridCol w:w="6200"/>
      </w:tblGrid>
      <w:tr w14:paraId="68E5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blHeader/>
          <w:jc w:val="center"/>
        </w:trPr>
        <w:tc>
          <w:tcPr>
            <w:tcW w:w="1899" w:type="dxa"/>
            <w:gridSpan w:val="2"/>
            <w:noWrap w:val="0"/>
            <w:vAlign w:val="center"/>
          </w:tcPr>
          <w:p w14:paraId="1DCE4FC5">
            <w:pPr>
              <w:spacing w:before="100" w:beforeAutospacing="1" w:after="100" w:afterAutospacing="1"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条款号</w:t>
            </w:r>
          </w:p>
        </w:tc>
        <w:tc>
          <w:tcPr>
            <w:tcW w:w="1600" w:type="dxa"/>
            <w:noWrap w:val="0"/>
            <w:vAlign w:val="center"/>
          </w:tcPr>
          <w:p w14:paraId="4FACC53E">
            <w:pPr>
              <w:spacing w:before="100" w:beforeAutospacing="1" w:after="100" w:afterAutospacing="1"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 审 内 容</w:t>
            </w:r>
          </w:p>
        </w:tc>
        <w:tc>
          <w:tcPr>
            <w:tcW w:w="6200" w:type="dxa"/>
            <w:noWrap w:val="0"/>
            <w:vAlign w:val="center"/>
          </w:tcPr>
          <w:p w14:paraId="715E709F">
            <w:pPr>
              <w:spacing w:before="100" w:beforeAutospacing="1" w:after="100" w:afterAutospacing="1"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 审 标 准</w:t>
            </w:r>
          </w:p>
        </w:tc>
      </w:tr>
      <w:tr w14:paraId="57D5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exact"/>
          <w:jc w:val="center"/>
        </w:trPr>
        <w:tc>
          <w:tcPr>
            <w:tcW w:w="1049" w:type="dxa"/>
            <w:noWrap w:val="0"/>
            <w:vAlign w:val="center"/>
          </w:tcPr>
          <w:p w14:paraId="145E7B3C">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2.1.1</w:t>
            </w:r>
          </w:p>
        </w:tc>
        <w:tc>
          <w:tcPr>
            <w:tcW w:w="850" w:type="dxa"/>
            <w:noWrap w:val="0"/>
            <w:vAlign w:val="center"/>
          </w:tcPr>
          <w:p w14:paraId="42C3EAF1">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资格审查标准</w:t>
            </w:r>
          </w:p>
        </w:tc>
        <w:tc>
          <w:tcPr>
            <w:tcW w:w="1600" w:type="dxa"/>
            <w:noWrap w:val="0"/>
            <w:vAlign w:val="center"/>
          </w:tcPr>
          <w:p w14:paraId="06D7458D">
            <w:pPr>
              <w:spacing w:before="100" w:beforeAutospacing="1" w:after="100" w:afterAutospacing="1"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资格</w:t>
            </w:r>
            <w:r>
              <w:rPr>
                <w:rFonts w:hint="eastAsia" w:ascii="仿宋" w:hAnsi="仿宋" w:eastAsia="仿宋" w:cs="仿宋"/>
                <w:color w:val="auto"/>
                <w:sz w:val="24"/>
                <w:highlight w:val="none"/>
                <w:lang w:val="en-US" w:eastAsia="zh-CN"/>
              </w:rPr>
              <w:t>要求</w:t>
            </w:r>
          </w:p>
        </w:tc>
        <w:tc>
          <w:tcPr>
            <w:tcW w:w="6200" w:type="dxa"/>
            <w:noWrap w:val="0"/>
            <w:vAlign w:val="center"/>
          </w:tcPr>
          <w:p w14:paraId="25FD40E9">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符合第二章《磋商须知》第4.1项规定</w:t>
            </w:r>
          </w:p>
        </w:tc>
      </w:tr>
      <w:tr w14:paraId="243E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049" w:type="dxa"/>
            <w:vMerge w:val="restart"/>
            <w:noWrap w:val="0"/>
            <w:vAlign w:val="center"/>
          </w:tcPr>
          <w:p w14:paraId="258E973F">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2.1.2</w:t>
            </w:r>
          </w:p>
        </w:tc>
        <w:tc>
          <w:tcPr>
            <w:tcW w:w="850" w:type="dxa"/>
            <w:vMerge w:val="restart"/>
            <w:noWrap w:val="0"/>
            <w:vAlign w:val="center"/>
          </w:tcPr>
          <w:p w14:paraId="7276E9CB">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符合性审查</w:t>
            </w:r>
          </w:p>
        </w:tc>
        <w:tc>
          <w:tcPr>
            <w:tcW w:w="1600" w:type="dxa"/>
            <w:noWrap w:val="0"/>
            <w:vAlign w:val="center"/>
          </w:tcPr>
          <w:p w14:paraId="760864CD">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磋商有效期</w:t>
            </w:r>
          </w:p>
        </w:tc>
        <w:tc>
          <w:tcPr>
            <w:tcW w:w="6200" w:type="dxa"/>
            <w:noWrap w:val="0"/>
            <w:vAlign w:val="center"/>
          </w:tcPr>
          <w:p w14:paraId="3C2F75BA">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符合第二章《磋商须知》第17.1项规定</w:t>
            </w:r>
          </w:p>
        </w:tc>
      </w:tr>
      <w:tr w14:paraId="1440E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049" w:type="dxa"/>
            <w:vMerge w:val="continue"/>
            <w:noWrap w:val="0"/>
            <w:vAlign w:val="center"/>
          </w:tcPr>
          <w:p w14:paraId="6C0A1CE1">
            <w:pPr>
              <w:spacing w:before="100" w:beforeAutospacing="1" w:after="100" w:afterAutospacing="1" w:line="360" w:lineRule="auto"/>
              <w:jc w:val="center"/>
              <w:rPr>
                <w:rFonts w:hint="eastAsia" w:ascii="仿宋" w:hAnsi="仿宋" w:eastAsia="仿宋" w:cs="仿宋"/>
                <w:color w:val="auto"/>
                <w:sz w:val="24"/>
                <w:highlight w:val="none"/>
              </w:rPr>
            </w:pPr>
          </w:p>
        </w:tc>
        <w:tc>
          <w:tcPr>
            <w:tcW w:w="850" w:type="dxa"/>
            <w:vMerge w:val="continue"/>
            <w:noWrap w:val="0"/>
            <w:vAlign w:val="center"/>
          </w:tcPr>
          <w:p w14:paraId="4282EF18">
            <w:pPr>
              <w:spacing w:before="100" w:beforeAutospacing="1" w:after="100" w:afterAutospacing="1" w:line="360" w:lineRule="auto"/>
              <w:jc w:val="center"/>
              <w:rPr>
                <w:rFonts w:hint="eastAsia" w:ascii="仿宋" w:hAnsi="仿宋" w:eastAsia="仿宋" w:cs="仿宋"/>
                <w:color w:val="auto"/>
                <w:sz w:val="24"/>
                <w:highlight w:val="none"/>
              </w:rPr>
            </w:pPr>
          </w:p>
        </w:tc>
        <w:tc>
          <w:tcPr>
            <w:tcW w:w="1600" w:type="dxa"/>
            <w:noWrap w:val="0"/>
            <w:vAlign w:val="center"/>
          </w:tcPr>
          <w:p w14:paraId="7CD295FF">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磋商保证金</w:t>
            </w:r>
          </w:p>
        </w:tc>
        <w:tc>
          <w:tcPr>
            <w:tcW w:w="6200" w:type="dxa"/>
            <w:noWrap w:val="0"/>
            <w:vAlign w:val="center"/>
          </w:tcPr>
          <w:p w14:paraId="34A2E74C">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符合第二章《磋商须知》第18.1项规定</w:t>
            </w:r>
          </w:p>
        </w:tc>
      </w:tr>
      <w:tr w14:paraId="2470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049" w:type="dxa"/>
            <w:vMerge w:val="continue"/>
            <w:noWrap w:val="0"/>
            <w:vAlign w:val="center"/>
          </w:tcPr>
          <w:p w14:paraId="3D080ADB">
            <w:pPr>
              <w:spacing w:before="100" w:beforeAutospacing="1" w:after="100" w:afterAutospacing="1" w:line="360" w:lineRule="auto"/>
              <w:jc w:val="center"/>
              <w:rPr>
                <w:rFonts w:hint="eastAsia" w:ascii="仿宋" w:hAnsi="仿宋" w:eastAsia="仿宋" w:cs="仿宋"/>
                <w:color w:val="auto"/>
                <w:sz w:val="24"/>
                <w:highlight w:val="none"/>
              </w:rPr>
            </w:pPr>
          </w:p>
        </w:tc>
        <w:tc>
          <w:tcPr>
            <w:tcW w:w="850" w:type="dxa"/>
            <w:vMerge w:val="continue"/>
            <w:noWrap w:val="0"/>
            <w:vAlign w:val="center"/>
          </w:tcPr>
          <w:p w14:paraId="639557DE">
            <w:pPr>
              <w:spacing w:before="100" w:beforeAutospacing="1" w:after="100" w:afterAutospacing="1" w:line="360" w:lineRule="auto"/>
              <w:jc w:val="center"/>
              <w:rPr>
                <w:rFonts w:hint="eastAsia" w:ascii="仿宋" w:hAnsi="仿宋" w:eastAsia="仿宋" w:cs="仿宋"/>
                <w:color w:val="auto"/>
                <w:sz w:val="24"/>
                <w:highlight w:val="none"/>
              </w:rPr>
            </w:pPr>
          </w:p>
        </w:tc>
        <w:tc>
          <w:tcPr>
            <w:tcW w:w="1600" w:type="dxa"/>
            <w:noWrap w:val="0"/>
            <w:vAlign w:val="center"/>
          </w:tcPr>
          <w:p w14:paraId="29FB545B">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磋商响应文件格式</w:t>
            </w:r>
          </w:p>
        </w:tc>
        <w:tc>
          <w:tcPr>
            <w:tcW w:w="6200" w:type="dxa"/>
            <w:noWrap w:val="0"/>
            <w:vAlign w:val="center"/>
          </w:tcPr>
          <w:p w14:paraId="7C376C20">
            <w:pPr>
              <w:spacing w:before="100" w:beforeAutospacing="1" w:after="100" w:afterAutospacing="1"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磋商响应文件按磋商文件要求签署、盖章的</w:t>
            </w:r>
          </w:p>
        </w:tc>
      </w:tr>
      <w:tr w14:paraId="738F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049" w:type="dxa"/>
            <w:vMerge w:val="continue"/>
            <w:noWrap w:val="0"/>
            <w:vAlign w:val="center"/>
          </w:tcPr>
          <w:p w14:paraId="63B3942B">
            <w:pPr>
              <w:spacing w:before="100" w:beforeAutospacing="1" w:after="100" w:afterAutospacing="1" w:line="360" w:lineRule="auto"/>
              <w:jc w:val="center"/>
              <w:rPr>
                <w:rFonts w:hint="eastAsia" w:ascii="仿宋" w:hAnsi="仿宋" w:eastAsia="仿宋" w:cs="仿宋"/>
                <w:color w:val="auto"/>
                <w:sz w:val="24"/>
                <w:highlight w:val="none"/>
              </w:rPr>
            </w:pPr>
          </w:p>
        </w:tc>
        <w:tc>
          <w:tcPr>
            <w:tcW w:w="850" w:type="dxa"/>
            <w:vMerge w:val="continue"/>
            <w:noWrap w:val="0"/>
            <w:vAlign w:val="center"/>
          </w:tcPr>
          <w:p w14:paraId="021583A2">
            <w:pPr>
              <w:spacing w:before="100" w:beforeAutospacing="1" w:after="100" w:afterAutospacing="1" w:line="360" w:lineRule="auto"/>
              <w:jc w:val="center"/>
              <w:rPr>
                <w:rFonts w:hint="eastAsia" w:ascii="仿宋" w:hAnsi="仿宋" w:eastAsia="仿宋" w:cs="仿宋"/>
                <w:color w:val="auto"/>
                <w:sz w:val="24"/>
                <w:highlight w:val="none"/>
              </w:rPr>
            </w:pPr>
          </w:p>
        </w:tc>
        <w:tc>
          <w:tcPr>
            <w:tcW w:w="1600" w:type="dxa"/>
            <w:noWrap w:val="0"/>
            <w:vAlign w:val="center"/>
          </w:tcPr>
          <w:p w14:paraId="319F6F43">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磋商报价</w:t>
            </w:r>
          </w:p>
        </w:tc>
        <w:tc>
          <w:tcPr>
            <w:tcW w:w="6200" w:type="dxa"/>
            <w:noWrap w:val="0"/>
            <w:vAlign w:val="center"/>
          </w:tcPr>
          <w:p w14:paraId="28AC6F55">
            <w:pPr>
              <w:spacing w:before="100" w:beforeAutospacing="1" w:after="100" w:afterAutospacing="1"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未超过采购预算，未出现缺项、漏项，对所投标段内所有内容作出完整唯一的报价</w:t>
            </w:r>
          </w:p>
        </w:tc>
      </w:tr>
      <w:tr w14:paraId="646FE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049" w:type="dxa"/>
            <w:vMerge w:val="continue"/>
            <w:noWrap w:val="0"/>
            <w:vAlign w:val="center"/>
          </w:tcPr>
          <w:p w14:paraId="06742231">
            <w:pPr>
              <w:spacing w:before="100" w:beforeAutospacing="1" w:after="100" w:afterAutospacing="1" w:line="360" w:lineRule="auto"/>
              <w:jc w:val="center"/>
              <w:rPr>
                <w:rFonts w:hint="eastAsia" w:ascii="仿宋" w:hAnsi="仿宋" w:eastAsia="仿宋" w:cs="仿宋"/>
                <w:color w:val="auto"/>
                <w:sz w:val="24"/>
                <w:highlight w:val="none"/>
              </w:rPr>
            </w:pPr>
          </w:p>
        </w:tc>
        <w:tc>
          <w:tcPr>
            <w:tcW w:w="850" w:type="dxa"/>
            <w:vMerge w:val="continue"/>
            <w:noWrap w:val="0"/>
            <w:vAlign w:val="center"/>
          </w:tcPr>
          <w:p w14:paraId="44780244">
            <w:pPr>
              <w:spacing w:before="100" w:beforeAutospacing="1" w:after="100" w:afterAutospacing="1" w:line="360" w:lineRule="auto"/>
              <w:jc w:val="center"/>
              <w:rPr>
                <w:rFonts w:hint="eastAsia" w:ascii="仿宋" w:hAnsi="仿宋" w:eastAsia="仿宋" w:cs="仿宋"/>
                <w:color w:val="auto"/>
                <w:sz w:val="24"/>
                <w:highlight w:val="none"/>
              </w:rPr>
            </w:pPr>
          </w:p>
        </w:tc>
        <w:tc>
          <w:tcPr>
            <w:tcW w:w="1600" w:type="dxa"/>
            <w:noWrap w:val="0"/>
            <w:vAlign w:val="center"/>
          </w:tcPr>
          <w:p w14:paraId="2E535B96">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其它实质性要求</w:t>
            </w:r>
          </w:p>
        </w:tc>
        <w:tc>
          <w:tcPr>
            <w:tcW w:w="6200" w:type="dxa"/>
            <w:noWrap w:val="0"/>
            <w:vAlign w:val="center"/>
          </w:tcPr>
          <w:p w14:paraId="1DE23ECA">
            <w:pPr>
              <w:spacing w:before="100" w:beforeAutospacing="1" w:after="100" w:afterAutospacing="1"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rPr>
              <w:t>响应文件不含有采购人不能接受的附加条件的，法律、法规和磋商文件规定的其他无效情形</w:t>
            </w:r>
          </w:p>
        </w:tc>
      </w:tr>
      <w:tr w14:paraId="24B40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exact"/>
          <w:jc w:val="center"/>
        </w:trPr>
        <w:tc>
          <w:tcPr>
            <w:tcW w:w="1049" w:type="dxa"/>
            <w:vMerge w:val="restart"/>
            <w:noWrap w:val="0"/>
            <w:vAlign w:val="center"/>
          </w:tcPr>
          <w:p w14:paraId="55142FD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p>
        </w:tc>
        <w:tc>
          <w:tcPr>
            <w:tcW w:w="850" w:type="dxa"/>
            <w:vMerge w:val="restart"/>
            <w:noWrap w:val="0"/>
            <w:vAlign w:val="center"/>
          </w:tcPr>
          <w:p w14:paraId="63306E5D">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分值构成与评分标准</w:t>
            </w:r>
          </w:p>
        </w:tc>
        <w:tc>
          <w:tcPr>
            <w:tcW w:w="1600" w:type="dxa"/>
            <w:noWrap w:val="0"/>
            <w:vAlign w:val="center"/>
          </w:tcPr>
          <w:p w14:paraId="59DCC7B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1）磋商总得分计算公式</w:t>
            </w:r>
          </w:p>
        </w:tc>
        <w:tc>
          <w:tcPr>
            <w:tcW w:w="6200" w:type="dxa"/>
            <w:noWrap w:val="0"/>
            <w:vAlign w:val="center"/>
          </w:tcPr>
          <w:p w14:paraId="26CFCF55">
            <w:pPr>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的评审总得分＝F1＋F2＋F3</w:t>
            </w:r>
          </w:p>
          <w:p w14:paraId="72DB3C8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p w14:paraId="4B758DC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①F1、F2、F3分别为报价评分、技术评分、商务评分3项评分因素的汇总得分；</w:t>
            </w:r>
          </w:p>
        </w:tc>
      </w:tr>
      <w:tr w14:paraId="71C9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6" w:hRule="exact"/>
          <w:jc w:val="center"/>
        </w:trPr>
        <w:tc>
          <w:tcPr>
            <w:tcW w:w="1049" w:type="dxa"/>
            <w:vMerge w:val="continue"/>
            <w:noWrap w:val="0"/>
            <w:vAlign w:val="center"/>
          </w:tcPr>
          <w:p w14:paraId="39F6691E">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646FC96C">
            <w:pPr>
              <w:spacing w:before="100" w:beforeAutospacing="1" w:after="100" w:afterAutospacing="1" w:line="360" w:lineRule="auto"/>
              <w:jc w:val="center"/>
              <w:rPr>
                <w:rFonts w:hint="eastAsia" w:ascii="仿宋" w:hAnsi="仿宋" w:eastAsia="仿宋" w:cs="仿宋"/>
                <w:color w:val="auto"/>
                <w:sz w:val="24"/>
                <w:highlight w:val="none"/>
              </w:rPr>
            </w:pPr>
          </w:p>
        </w:tc>
        <w:tc>
          <w:tcPr>
            <w:tcW w:w="1600" w:type="dxa"/>
            <w:noWrap w:val="0"/>
            <w:vAlign w:val="center"/>
          </w:tcPr>
          <w:p w14:paraId="19480E8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2）评分因素权重</w:t>
            </w:r>
          </w:p>
        </w:tc>
        <w:tc>
          <w:tcPr>
            <w:tcW w:w="6200" w:type="dxa"/>
            <w:noWrap w:val="0"/>
            <w:vAlign w:val="center"/>
          </w:tcPr>
          <w:p w14:paraId="06F0110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 F1：</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79A2C0A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技术部分 F2：</w:t>
            </w:r>
            <w:r>
              <w:rPr>
                <w:rFonts w:hint="eastAsia" w:ascii="仿宋" w:hAnsi="仿宋" w:eastAsia="仿宋" w:cs="仿宋"/>
                <w:color w:val="auto"/>
                <w:sz w:val="24"/>
                <w:szCs w:val="24"/>
                <w:highlight w:val="none"/>
                <w:lang w:val="en-US" w:eastAsia="zh-CN"/>
              </w:rPr>
              <w:t>80</w:t>
            </w:r>
            <w:r>
              <w:rPr>
                <w:rFonts w:hint="eastAsia" w:ascii="仿宋" w:hAnsi="仿宋" w:eastAsia="仿宋" w:cs="仿宋"/>
                <w:color w:val="auto"/>
                <w:sz w:val="24"/>
                <w:szCs w:val="24"/>
                <w:highlight w:val="none"/>
              </w:rPr>
              <w:t>分。</w:t>
            </w:r>
          </w:p>
          <w:p w14:paraId="17833CE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商务部分 F3：</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r>
      <w:tr w14:paraId="724B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5" w:hRule="exact"/>
          <w:jc w:val="center"/>
        </w:trPr>
        <w:tc>
          <w:tcPr>
            <w:tcW w:w="1049" w:type="dxa"/>
            <w:vMerge w:val="continue"/>
            <w:noWrap w:val="0"/>
            <w:vAlign w:val="center"/>
          </w:tcPr>
          <w:p w14:paraId="6452F4AD">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44650A38">
            <w:pPr>
              <w:spacing w:line="360" w:lineRule="auto"/>
              <w:rPr>
                <w:rFonts w:hint="eastAsia" w:ascii="仿宋" w:hAnsi="仿宋" w:eastAsia="仿宋" w:cs="仿宋"/>
                <w:color w:val="auto"/>
                <w:sz w:val="24"/>
                <w:highlight w:val="none"/>
              </w:rPr>
            </w:pPr>
          </w:p>
        </w:tc>
        <w:tc>
          <w:tcPr>
            <w:tcW w:w="1600" w:type="dxa"/>
            <w:noWrap w:val="0"/>
            <w:vAlign w:val="center"/>
          </w:tcPr>
          <w:p w14:paraId="5CED8FB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）报价评分F1（满分</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tc>
        <w:tc>
          <w:tcPr>
            <w:tcW w:w="6200" w:type="dxa"/>
            <w:noWrap w:val="0"/>
            <w:vAlign w:val="center"/>
          </w:tcPr>
          <w:p w14:paraId="36A7A8E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报价得分按照低价优先法计算，即满足磋商文件要求且最后报价最低的供应商的价格为磋商基准价，其价格分为满分。其他供应商的价格分统一按照下列公式计算：</w:t>
            </w:r>
          </w:p>
          <w:p w14:paraId="30342622">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磋商报价得分=（磋商基准价/最后磋商报价）×</w:t>
            </w:r>
            <w:r>
              <w:rPr>
                <w:rFonts w:hint="eastAsia" w:ascii="仿宋" w:hAnsi="仿宋" w:eastAsia="仿宋" w:cs="仿宋"/>
                <w:color w:val="auto"/>
                <w:sz w:val="24"/>
                <w:highlight w:val="none"/>
                <w:lang w:val="en-US" w:eastAsia="zh-CN"/>
              </w:rPr>
              <w:t>10</w:t>
            </w:r>
          </w:p>
          <w:p w14:paraId="4B3594C2">
            <w:pPr>
              <w:spacing w:line="360"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b/>
                <w:color w:val="auto"/>
                <w:sz w:val="24"/>
                <w:szCs w:val="24"/>
                <w:highlight w:val="none"/>
              </w:rPr>
              <w:t>注：根据《关于印发</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政府采购促进中小企业发展管理办法</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的通知》（财库〔2020〕46号）的规定</w:t>
            </w:r>
            <w:r>
              <w:rPr>
                <w:rFonts w:hint="eastAsia" w:ascii="仿宋" w:hAnsi="仿宋" w:eastAsia="仿宋" w:cs="仿宋"/>
                <w:b/>
                <w:color w:val="auto"/>
                <w:sz w:val="24"/>
                <w:szCs w:val="24"/>
                <w:highlight w:val="none"/>
                <w:lang w:eastAsia="zh-CN"/>
              </w:rPr>
              <w:t>、《关于进一步加大政府采购支持中小企业力度的通知》（财库[2022]19号）规定，</w:t>
            </w:r>
            <w:r>
              <w:rPr>
                <w:rFonts w:hint="eastAsia" w:ascii="仿宋" w:hAnsi="仿宋" w:eastAsia="仿宋" w:cs="仿宋"/>
                <w:b/>
                <w:bCs/>
                <w:color w:val="auto"/>
                <w:sz w:val="24"/>
                <w:highlight w:val="none"/>
                <w:lang w:eastAsia="zh-CN"/>
              </w:rPr>
              <w:t>本项目</w:t>
            </w:r>
            <w:r>
              <w:rPr>
                <w:rFonts w:hint="eastAsia" w:ascii="仿宋" w:hAnsi="仿宋" w:eastAsia="仿宋" w:cs="仿宋"/>
                <w:b/>
                <w:bCs/>
                <w:color w:val="auto"/>
                <w:sz w:val="24"/>
                <w:highlight w:val="none"/>
                <w:lang w:val="en-US" w:eastAsia="zh-CN"/>
              </w:rPr>
              <w:t>中小</w:t>
            </w:r>
            <w:r>
              <w:rPr>
                <w:rFonts w:hint="eastAsia" w:ascii="仿宋" w:hAnsi="仿宋" w:eastAsia="仿宋" w:cs="仿宋"/>
                <w:b/>
                <w:bCs/>
                <w:color w:val="auto"/>
                <w:sz w:val="24"/>
                <w:highlight w:val="none"/>
                <w:lang w:eastAsia="zh-CN"/>
              </w:rPr>
              <w:t>企业的报价给予</w:t>
            </w: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lang w:eastAsia="zh-CN"/>
              </w:rPr>
              <w:t>的扣除，用扣除后的价格参与评审。须提供《中小企业声明函》并对声明的真实性负责</w:t>
            </w:r>
            <w:r>
              <w:rPr>
                <w:rFonts w:hint="eastAsia" w:ascii="仿宋" w:hAnsi="仿宋" w:eastAsia="仿宋" w:cs="仿宋"/>
                <w:b/>
                <w:bCs/>
                <w:color w:val="auto"/>
                <w:sz w:val="24"/>
                <w:highlight w:val="none"/>
              </w:rPr>
              <w:t>；监狱企业</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残疾人企业</w:t>
            </w:r>
            <w:r>
              <w:rPr>
                <w:rFonts w:hint="eastAsia" w:ascii="仿宋" w:hAnsi="仿宋" w:eastAsia="仿宋" w:cs="仿宋"/>
                <w:b/>
                <w:bCs/>
                <w:color w:val="auto"/>
                <w:sz w:val="24"/>
                <w:highlight w:val="none"/>
              </w:rPr>
              <w:t>视同</w:t>
            </w:r>
            <w:r>
              <w:rPr>
                <w:rFonts w:hint="eastAsia" w:ascii="仿宋" w:hAnsi="仿宋" w:eastAsia="仿宋" w:cs="仿宋"/>
                <w:b/>
                <w:bCs/>
                <w:color w:val="auto"/>
                <w:sz w:val="24"/>
                <w:highlight w:val="none"/>
                <w:lang w:eastAsia="zh-CN"/>
              </w:rPr>
              <w:t>中小企业</w:t>
            </w:r>
            <w:r>
              <w:rPr>
                <w:rFonts w:hint="eastAsia" w:ascii="仿宋" w:hAnsi="仿宋" w:eastAsia="仿宋" w:cs="仿宋"/>
                <w:b/>
                <w:bCs/>
                <w:color w:val="auto"/>
                <w:sz w:val="24"/>
                <w:highlight w:val="none"/>
              </w:rPr>
              <w:t>，监狱企业投标的提供由省级以上监狱管理局、戒毒管理局</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含新疆生产建设兵团</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出具的属于监狱企业的证明文件，不再提供《中</w:t>
            </w:r>
            <w:r>
              <w:rPr>
                <w:rFonts w:hint="eastAsia" w:ascii="仿宋" w:hAnsi="仿宋" w:eastAsia="仿宋" w:cs="仿宋"/>
                <w:b/>
                <w:bCs/>
                <w:color w:val="auto"/>
                <w:sz w:val="24"/>
                <w:highlight w:val="none"/>
                <w:lang w:eastAsia="zh-CN"/>
              </w:rPr>
              <w:t>中小企业</w:t>
            </w:r>
            <w:r>
              <w:rPr>
                <w:rFonts w:hint="eastAsia" w:ascii="仿宋" w:hAnsi="仿宋" w:eastAsia="仿宋" w:cs="仿宋"/>
                <w:b/>
                <w:bCs/>
                <w:color w:val="auto"/>
                <w:sz w:val="24"/>
                <w:highlight w:val="none"/>
              </w:rPr>
              <w:t>声明函》；扣除后的报价作为评标价参与</w:t>
            </w:r>
            <w:r>
              <w:rPr>
                <w:rFonts w:hint="eastAsia" w:ascii="仿宋" w:hAnsi="仿宋" w:eastAsia="仿宋" w:cs="仿宋"/>
                <w:b/>
                <w:bCs/>
                <w:color w:val="auto"/>
                <w:sz w:val="24"/>
                <w:highlight w:val="none"/>
                <w:lang w:val="en-US" w:eastAsia="zh-CN"/>
              </w:rPr>
              <w:t>评审</w:t>
            </w:r>
            <w:r>
              <w:rPr>
                <w:rFonts w:hint="eastAsia" w:ascii="仿宋" w:hAnsi="仿宋" w:eastAsia="仿宋" w:cs="仿宋"/>
                <w:b/>
                <w:bCs/>
                <w:color w:val="auto"/>
                <w:sz w:val="24"/>
                <w:highlight w:val="none"/>
              </w:rPr>
              <w:t>。</w:t>
            </w:r>
          </w:p>
          <w:p w14:paraId="20F93635">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即：评</w:t>
            </w:r>
            <w:r>
              <w:rPr>
                <w:rFonts w:hint="eastAsia" w:ascii="仿宋" w:hAnsi="仿宋" w:eastAsia="仿宋" w:cs="仿宋"/>
                <w:b/>
                <w:bCs/>
                <w:color w:val="auto"/>
                <w:sz w:val="24"/>
                <w:highlight w:val="none"/>
                <w:lang w:val="en-US" w:eastAsia="zh-CN"/>
              </w:rPr>
              <w:t>审</w:t>
            </w:r>
            <w:r>
              <w:rPr>
                <w:rFonts w:hint="eastAsia" w:ascii="仿宋" w:hAnsi="仿宋" w:eastAsia="仿宋" w:cs="仿宋"/>
                <w:b/>
                <w:bCs/>
                <w:color w:val="auto"/>
                <w:sz w:val="24"/>
                <w:highlight w:val="none"/>
              </w:rPr>
              <w:t>价=</w:t>
            </w:r>
            <w:r>
              <w:rPr>
                <w:rFonts w:hint="eastAsia" w:ascii="仿宋" w:hAnsi="仿宋" w:eastAsia="仿宋" w:cs="仿宋"/>
                <w:b/>
                <w:bCs/>
                <w:color w:val="auto"/>
                <w:sz w:val="24"/>
                <w:highlight w:val="none"/>
                <w:lang w:val="en-US" w:eastAsia="zh-CN"/>
              </w:rPr>
              <w:t>最后磋商</w:t>
            </w:r>
            <w:r>
              <w:rPr>
                <w:rFonts w:hint="eastAsia" w:ascii="仿宋" w:hAnsi="仿宋" w:eastAsia="仿宋" w:cs="仿宋"/>
                <w:b/>
                <w:bCs/>
                <w:color w:val="auto"/>
                <w:sz w:val="24"/>
                <w:highlight w:val="none"/>
              </w:rPr>
              <w:t>报价×(1-</w:t>
            </w: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w:t>
            </w:r>
            <w:r>
              <w:rPr>
                <w:rFonts w:hint="eastAsia" w:ascii="仿宋" w:hAnsi="仿宋" w:eastAsia="仿宋" w:cs="仿宋"/>
                <w:b/>
                <w:color w:val="auto"/>
                <w:sz w:val="24"/>
                <w:szCs w:val="24"/>
                <w:highlight w:val="none"/>
              </w:rPr>
              <w:t>。</w:t>
            </w:r>
          </w:p>
        </w:tc>
      </w:tr>
      <w:tr w14:paraId="2C50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9" w:hRule="atLeast"/>
          <w:jc w:val="center"/>
        </w:trPr>
        <w:tc>
          <w:tcPr>
            <w:tcW w:w="1049" w:type="dxa"/>
            <w:vMerge w:val="continue"/>
            <w:noWrap w:val="0"/>
            <w:vAlign w:val="center"/>
          </w:tcPr>
          <w:p w14:paraId="22C88BF4">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2A333053">
            <w:pPr>
              <w:spacing w:line="360" w:lineRule="auto"/>
              <w:rPr>
                <w:rFonts w:hint="eastAsia" w:ascii="仿宋" w:hAnsi="仿宋" w:eastAsia="仿宋" w:cs="仿宋"/>
                <w:color w:val="auto"/>
                <w:sz w:val="24"/>
                <w:highlight w:val="none"/>
              </w:rPr>
            </w:pPr>
          </w:p>
        </w:tc>
        <w:tc>
          <w:tcPr>
            <w:tcW w:w="1600" w:type="dxa"/>
            <w:noWrap w:val="0"/>
            <w:vAlign w:val="center"/>
          </w:tcPr>
          <w:p w14:paraId="53746F7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4）技术部分评分F2（满分</w:t>
            </w:r>
            <w:r>
              <w:rPr>
                <w:rFonts w:hint="eastAsia" w:ascii="仿宋" w:hAnsi="仿宋" w:eastAsia="仿宋" w:cs="仿宋"/>
                <w:color w:val="auto"/>
                <w:sz w:val="24"/>
                <w:szCs w:val="24"/>
                <w:highlight w:val="none"/>
                <w:lang w:val="en-US" w:eastAsia="zh-CN"/>
              </w:rPr>
              <w:t>80</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 xml:space="preserve"> </w:t>
            </w:r>
          </w:p>
        </w:tc>
        <w:tc>
          <w:tcPr>
            <w:tcW w:w="6200" w:type="dxa"/>
            <w:noWrap w:val="0"/>
            <w:vAlign w:val="center"/>
          </w:tcPr>
          <w:p w14:paraId="2A5EB764">
            <w:pPr>
              <w:widowControl/>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（1）供应商所提供的技术参数指标对磋商文件要求参数指标响应的程度（满分30分）</w:t>
            </w:r>
          </w:p>
          <w:p w14:paraId="54892625">
            <w:pPr>
              <w:pStyle w:val="1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根据磋商文件第四章采购需求中的要求，标注星号（“</w:t>
            </w: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t>”）的条款为重要技术指标及要求，负偏离一条扣3分，分数扣完为止；其余条款为一般技术条款，负偏离一条扣1分，分数扣完为止。注：若响应文件中提供的支持资料参数与技术规格偏离表应答不符或无技术资料支持该应答，视为不响应该项技术参数要求，技术部分对应参数条款扣分。</w:t>
            </w:r>
          </w:p>
        </w:tc>
      </w:tr>
      <w:tr w14:paraId="0B87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9" w:hRule="atLeast"/>
          <w:jc w:val="center"/>
        </w:trPr>
        <w:tc>
          <w:tcPr>
            <w:tcW w:w="1049" w:type="dxa"/>
            <w:vMerge w:val="continue"/>
            <w:noWrap w:val="0"/>
            <w:vAlign w:val="center"/>
          </w:tcPr>
          <w:p w14:paraId="5A43C72F">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1BA6C128">
            <w:pPr>
              <w:spacing w:line="360" w:lineRule="auto"/>
              <w:rPr>
                <w:rFonts w:hint="eastAsia" w:ascii="仿宋" w:hAnsi="仿宋" w:eastAsia="仿宋" w:cs="仿宋"/>
                <w:color w:val="auto"/>
                <w:sz w:val="24"/>
                <w:highlight w:val="none"/>
              </w:rPr>
            </w:pPr>
          </w:p>
        </w:tc>
        <w:tc>
          <w:tcPr>
            <w:tcW w:w="1600" w:type="dxa"/>
            <w:noWrap w:val="0"/>
            <w:vAlign w:val="center"/>
          </w:tcPr>
          <w:p w14:paraId="2CE790D7">
            <w:pPr>
              <w:spacing w:line="360" w:lineRule="auto"/>
              <w:jc w:val="center"/>
              <w:rPr>
                <w:rFonts w:hint="eastAsia" w:ascii="仿宋" w:hAnsi="仿宋" w:eastAsia="仿宋" w:cs="仿宋"/>
                <w:color w:val="auto"/>
                <w:sz w:val="24"/>
                <w:szCs w:val="24"/>
                <w:highlight w:val="none"/>
              </w:rPr>
            </w:pPr>
          </w:p>
        </w:tc>
        <w:tc>
          <w:tcPr>
            <w:tcW w:w="6200" w:type="dxa"/>
            <w:noWrap w:val="0"/>
            <w:vAlign w:val="center"/>
          </w:tcPr>
          <w:p w14:paraId="72CF5375">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（2）对本项目理解（满分5分） </w:t>
            </w:r>
          </w:p>
          <w:p w14:paraId="5E913FA3">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第一档次（5分）：响应文件中对项目理解全面、完整，充分考虑了设备维保服务的具体需求的； </w:t>
            </w:r>
          </w:p>
          <w:p w14:paraId="56C57367">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第二档次（3分）：响应文件中对项目理解较为全面，考虑了设备维保服务的具体需求的； </w:t>
            </w:r>
          </w:p>
          <w:p w14:paraId="04FA3972">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第三档次（2分）：响应文件中对项目理解不够全面，基本满足项目需求，对设备维保服务的具体需求不够明确的； </w:t>
            </w:r>
          </w:p>
          <w:p w14:paraId="5EEAEA10">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第四档次（1分）：响应文件中体现了对项目的理解但不能够满足项目需求的； </w:t>
            </w:r>
          </w:p>
          <w:p w14:paraId="13F629CC">
            <w:pPr>
              <w:pStyle w:val="1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第五档次（0分）：响应文件中提供的理解不能满足项目需求的。</w:t>
            </w:r>
          </w:p>
        </w:tc>
      </w:tr>
      <w:tr w14:paraId="3EC53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9" w:hRule="atLeast"/>
          <w:jc w:val="center"/>
        </w:trPr>
        <w:tc>
          <w:tcPr>
            <w:tcW w:w="1049" w:type="dxa"/>
            <w:vMerge w:val="continue"/>
            <w:noWrap w:val="0"/>
            <w:vAlign w:val="center"/>
          </w:tcPr>
          <w:p w14:paraId="3AE55291">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1FDAEDFA">
            <w:pPr>
              <w:spacing w:line="360" w:lineRule="auto"/>
              <w:rPr>
                <w:rFonts w:hint="eastAsia" w:ascii="仿宋" w:hAnsi="仿宋" w:eastAsia="仿宋" w:cs="仿宋"/>
                <w:color w:val="auto"/>
                <w:sz w:val="24"/>
                <w:highlight w:val="none"/>
              </w:rPr>
            </w:pPr>
          </w:p>
        </w:tc>
        <w:tc>
          <w:tcPr>
            <w:tcW w:w="1600" w:type="dxa"/>
            <w:noWrap w:val="0"/>
            <w:vAlign w:val="center"/>
          </w:tcPr>
          <w:p w14:paraId="7535DBB8">
            <w:pPr>
              <w:spacing w:line="360" w:lineRule="auto"/>
              <w:jc w:val="center"/>
              <w:rPr>
                <w:rFonts w:hint="eastAsia" w:ascii="仿宋" w:hAnsi="仿宋" w:eastAsia="仿宋" w:cs="仿宋"/>
                <w:color w:val="auto"/>
                <w:sz w:val="24"/>
                <w:szCs w:val="24"/>
                <w:highlight w:val="none"/>
              </w:rPr>
            </w:pPr>
          </w:p>
        </w:tc>
        <w:tc>
          <w:tcPr>
            <w:tcW w:w="6200" w:type="dxa"/>
            <w:noWrap w:val="0"/>
            <w:vAlign w:val="center"/>
          </w:tcPr>
          <w:p w14:paraId="614522B6">
            <w:pPr>
              <w:widowControl/>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（3）项目服务方案（满分20分） </w:t>
            </w:r>
          </w:p>
          <w:p w14:paraId="01AB9BB6">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根据响应文件中提供的项目服务方案进行评分。 </w:t>
            </w:r>
          </w:p>
          <w:p w14:paraId="19A3F358">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第一档次（20分）：响应文件中提供的服务方案完善、合理可行、优于项目需求，充分考虑了设备维保服务的具体需求的； </w:t>
            </w:r>
          </w:p>
          <w:p w14:paraId="49B8F9ED">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第二档次（15分）：响应文件中提供的服务方案基本完整，能满足项目需求，对设备维保服务的具体需求较清晰明确，服务组织措施得当的； </w:t>
            </w:r>
          </w:p>
          <w:p w14:paraId="6EA6C534">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第三档次（10分）：响应文件中提供的服务方案有部分缺漏，基本满足项目需求，对设备维保服务的具体需求不够明确或服务组织措施针对性差的； </w:t>
            </w:r>
          </w:p>
          <w:p w14:paraId="0AB6188D">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第四档次（5分）：响应文件中提供的服务方案不能满足项目需求，对设备维保服务的具体需求不明确或服务组织措施没有针对性的； </w:t>
            </w:r>
          </w:p>
          <w:p w14:paraId="288C7C9B">
            <w:pPr>
              <w:pStyle w:val="1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第五档次（0分）：响应文件中未提供的服务方案的。</w:t>
            </w:r>
          </w:p>
        </w:tc>
      </w:tr>
      <w:tr w14:paraId="204F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9" w:hRule="atLeast"/>
          <w:jc w:val="center"/>
        </w:trPr>
        <w:tc>
          <w:tcPr>
            <w:tcW w:w="1049" w:type="dxa"/>
            <w:vMerge w:val="continue"/>
            <w:noWrap w:val="0"/>
            <w:vAlign w:val="center"/>
          </w:tcPr>
          <w:p w14:paraId="4918DBA2">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62C3790A">
            <w:pPr>
              <w:spacing w:line="360" w:lineRule="auto"/>
              <w:rPr>
                <w:rFonts w:hint="eastAsia" w:ascii="仿宋" w:hAnsi="仿宋" w:eastAsia="仿宋" w:cs="仿宋"/>
                <w:color w:val="auto"/>
                <w:sz w:val="24"/>
                <w:highlight w:val="none"/>
              </w:rPr>
            </w:pPr>
          </w:p>
        </w:tc>
        <w:tc>
          <w:tcPr>
            <w:tcW w:w="1600" w:type="dxa"/>
            <w:noWrap w:val="0"/>
            <w:vAlign w:val="center"/>
          </w:tcPr>
          <w:p w14:paraId="5187E969">
            <w:pPr>
              <w:spacing w:line="360" w:lineRule="auto"/>
              <w:jc w:val="center"/>
              <w:rPr>
                <w:rFonts w:hint="eastAsia" w:ascii="仿宋" w:hAnsi="仿宋" w:eastAsia="仿宋" w:cs="仿宋"/>
                <w:color w:val="auto"/>
                <w:sz w:val="24"/>
                <w:szCs w:val="24"/>
                <w:highlight w:val="none"/>
              </w:rPr>
            </w:pPr>
          </w:p>
        </w:tc>
        <w:tc>
          <w:tcPr>
            <w:tcW w:w="6200" w:type="dxa"/>
            <w:noWrap w:val="0"/>
            <w:vAlign w:val="center"/>
          </w:tcPr>
          <w:p w14:paraId="1DB8028C">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（4）服务保障措施评分（满分10分） </w:t>
            </w:r>
          </w:p>
          <w:p w14:paraId="0858773F">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第一档次（10分）：供应商针对本项目提出的服务保障措施完整、全面、具体、详细，针对性强，可行性强的；</w:t>
            </w:r>
          </w:p>
          <w:p w14:paraId="0B565275">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第二档次（7分）：供应商针对本项目提出的服务保障措施基本完整，具有较强的针对性和可行性的； </w:t>
            </w:r>
          </w:p>
          <w:p w14:paraId="6616FEE2">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第三档次（4分）：供应商针对本项目提出的服务承诺及安全保障措施基本完整，具有简单的针对性和可行性但实施力度较弱的； </w:t>
            </w:r>
          </w:p>
          <w:p w14:paraId="753A02B5">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第四档次（2分）：供应商针对本项目提出的服务保障措施有缺漏，缺乏针对性以及可行性的； </w:t>
            </w:r>
          </w:p>
          <w:p w14:paraId="2C56F4CE">
            <w:pPr>
              <w:pStyle w:val="1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第五档次（0分）：未提供服务承诺及安全保障措施的。</w:t>
            </w:r>
          </w:p>
        </w:tc>
      </w:tr>
      <w:tr w14:paraId="17AA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9" w:hRule="atLeast"/>
          <w:jc w:val="center"/>
        </w:trPr>
        <w:tc>
          <w:tcPr>
            <w:tcW w:w="1049" w:type="dxa"/>
            <w:vMerge w:val="continue"/>
            <w:noWrap w:val="0"/>
            <w:vAlign w:val="center"/>
          </w:tcPr>
          <w:p w14:paraId="6DB0D976">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75A8D89F">
            <w:pPr>
              <w:spacing w:line="360" w:lineRule="auto"/>
              <w:rPr>
                <w:rFonts w:hint="eastAsia" w:ascii="仿宋" w:hAnsi="仿宋" w:eastAsia="仿宋" w:cs="仿宋"/>
                <w:color w:val="auto"/>
                <w:sz w:val="24"/>
                <w:highlight w:val="none"/>
              </w:rPr>
            </w:pPr>
          </w:p>
        </w:tc>
        <w:tc>
          <w:tcPr>
            <w:tcW w:w="1600" w:type="dxa"/>
            <w:noWrap w:val="0"/>
            <w:vAlign w:val="center"/>
          </w:tcPr>
          <w:p w14:paraId="67AC39FB">
            <w:pPr>
              <w:spacing w:line="360" w:lineRule="auto"/>
              <w:jc w:val="center"/>
              <w:rPr>
                <w:rFonts w:hint="eastAsia" w:ascii="仿宋" w:hAnsi="仿宋" w:eastAsia="仿宋" w:cs="仿宋"/>
                <w:color w:val="auto"/>
                <w:sz w:val="24"/>
                <w:szCs w:val="24"/>
                <w:highlight w:val="none"/>
              </w:rPr>
            </w:pPr>
          </w:p>
        </w:tc>
        <w:tc>
          <w:tcPr>
            <w:tcW w:w="6200" w:type="dxa"/>
            <w:noWrap w:val="0"/>
            <w:vAlign w:val="center"/>
          </w:tcPr>
          <w:p w14:paraId="3C903224">
            <w:pPr>
              <w:widowControl/>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（5）服务人员配备（满分10分） </w:t>
            </w:r>
          </w:p>
          <w:p w14:paraId="34C596D8">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第一档次（10分）：服务人员配备较好、结构合理，证明材料清晰，完整，能较好的满足使用方需求的； </w:t>
            </w:r>
          </w:p>
          <w:p w14:paraId="068AF77C">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第二档次（7分）：服务人员配置合理、证明材料清晰，基本完整，基本满足使用方需求的； </w:t>
            </w:r>
          </w:p>
          <w:p w14:paraId="7AA06B95">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第三档次（4分）：服务人员配置一般、针对性较差、证明材料不清晰的； </w:t>
            </w:r>
          </w:p>
          <w:p w14:paraId="7F3B90F4">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第四档次（1分）：服务人员配置不完整的；</w:t>
            </w:r>
          </w:p>
          <w:p w14:paraId="5AD79F6E">
            <w:pPr>
              <w:pStyle w:val="1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第五档次（0分）：未提供证明材料的</w:t>
            </w:r>
          </w:p>
        </w:tc>
      </w:tr>
      <w:tr w14:paraId="334D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9" w:hRule="atLeast"/>
          <w:jc w:val="center"/>
        </w:trPr>
        <w:tc>
          <w:tcPr>
            <w:tcW w:w="1049" w:type="dxa"/>
            <w:vMerge w:val="continue"/>
            <w:noWrap w:val="0"/>
            <w:vAlign w:val="center"/>
          </w:tcPr>
          <w:p w14:paraId="761EBD3D">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09510B94">
            <w:pPr>
              <w:spacing w:line="360" w:lineRule="auto"/>
              <w:rPr>
                <w:rFonts w:hint="eastAsia" w:ascii="仿宋" w:hAnsi="仿宋" w:eastAsia="仿宋" w:cs="仿宋"/>
                <w:color w:val="auto"/>
                <w:sz w:val="24"/>
                <w:highlight w:val="none"/>
              </w:rPr>
            </w:pPr>
          </w:p>
        </w:tc>
        <w:tc>
          <w:tcPr>
            <w:tcW w:w="1600" w:type="dxa"/>
            <w:noWrap w:val="0"/>
            <w:vAlign w:val="center"/>
          </w:tcPr>
          <w:p w14:paraId="03226F6E">
            <w:pPr>
              <w:spacing w:line="360" w:lineRule="auto"/>
              <w:jc w:val="center"/>
              <w:rPr>
                <w:rFonts w:hint="eastAsia" w:ascii="仿宋" w:hAnsi="仿宋" w:eastAsia="仿宋" w:cs="仿宋"/>
                <w:color w:val="auto"/>
                <w:sz w:val="24"/>
                <w:szCs w:val="24"/>
                <w:highlight w:val="none"/>
              </w:rPr>
            </w:pPr>
          </w:p>
        </w:tc>
        <w:tc>
          <w:tcPr>
            <w:tcW w:w="6200" w:type="dxa"/>
            <w:noWrap w:val="0"/>
            <w:vAlign w:val="center"/>
          </w:tcPr>
          <w:p w14:paraId="5BD160C3">
            <w:pPr>
              <w:widowControl/>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（6）应急预案（满分5分） </w:t>
            </w:r>
          </w:p>
          <w:p w14:paraId="1FD4852A">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第一档次（5分）：响应文件中提供的应急预案考虑全面，针对性强，针对本项目特点能提出切实可行解决方案、合理可行的； </w:t>
            </w:r>
          </w:p>
          <w:p w14:paraId="6329CAD2">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第二档次（3分）：响应文件中提供的应急预案编制合理、但不够全面，针对性一般，针对本项目服务特点能提出相应解决方案的； </w:t>
            </w:r>
          </w:p>
          <w:p w14:paraId="03BABAB6">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第三档次（2分）：响应文件中提供的应急预案编制不够合理，针对本项目服务特点提出的解决方案，合理性及可行性较差的；</w:t>
            </w:r>
          </w:p>
          <w:p w14:paraId="351E6C32">
            <w:pPr>
              <w:widowControl/>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第四档次（1分）：响应文件提供了应急预案但不可行的；</w:t>
            </w:r>
          </w:p>
          <w:p w14:paraId="1C4B6BB4">
            <w:pPr>
              <w:pStyle w:val="1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第五档次（0分）：响应文件未提供应急预案；</w:t>
            </w:r>
          </w:p>
        </w:tc>
      </w:tr>
      <w:tr w14:paraId="78AF7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9" w:hRule="atLeast"/>
          <w:jc w:val="center"/>
        </w:trPr>
        <w:tc>
          <w:tcPr>
            <w:tcW w:w="1049" w:type="dxa"/>
            <w:vMerge w:val="continue"/>
            <w:noWrap w:val="0"/>
            <w:vAlign w:val="center"/>
          </w:tcPr>
          <w:p w14:paraId="4D8DF95E">
            <w:pPr>
              <w:spacing w:line="360" w:lineRule="auto"/>
              <w:rPr>
                <w:rFonts w:hint="eastAsia" w:ascii="仿宋" w:hAnsi="仿宋" w:eastAsia="仿宋" w:cs="仿宋"/>
                <w:color w:val="auto"/>
                <w:sz w:val="24"/>
                <w:highlight w:val="none"/>
              </w:rPr>
            </w:pPr>
          </w:p>
        </w:tc>
        <w:tc>
          <w:tcPr>
            <w:tcW w:w="850" w:type="dxa"/>
            <w:vMerge w:val="continue"/>
            <w:noWrap w:val="0"/>
            <w:vAlign w:val="center"/>
          </w:tcPr>
          <w:p w14:paraId="04166C55">
            <w:pPr>
              <w:spacing w:line="360" w:lineRule="auto"/>
              <w:rPr>
                <w:rFonts w:hint="eastAsia" w:ascii="仿宋" w:hAnsi="仿宋" w:eastAsia="仿宋" w:cs="仿宋"/>
                <w:color w:val="auto"/>
                <w:sz w:val="24"/>
                <w:highlight w:val="none"/>
              </w:rPr>
            </w:pPr>
          </w:p>
        </w:tc>
        <w:tc>
          <w:tcPr>
            <w:tcW w:w="1600" w:type="dxa"/>
            <w:noWrap w:val="0"/>
            <w:vAlign w:val="center"/>
          </w:tcPr>
          <w:p w14:paraId="2472A931">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）商务部分评分F3（满分</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tc>
        <w:tc>
          <w:tcPr>
            <w:tcW w:w="6200" w:type="dxa"/>
            <w:noWrap w:val="0"/>
            <w:vAlign w:val="center"/>
          </w:tcPr>
          <w:p w14:paraId="3FD978C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类似业绩评审（满分10分</w:t>
            </w:r>
            <w:r>
              <w:rPr>
                <w:rFonts w:hint="eastAsia" w:ascii="仿宋" w:hAnsi="仿宋" w:eastAsia="仿宋" w:cs="仿宋"/>
                <w:b w:val="0"/>
                <w:bCs w:val="0"/>
                <w:color w:val="auto"/>
                <w:kern w:val="2"/>
                <w:sz w:val="24"/>
                <w:szCs w:val="24"/>
                <w:highlight w:val="none"/>
                <w:lang w:val="en-US" w:eastAsia="zh-CN" w:bidi="ar-SA"/>
              </w:rPr>
              <w:t>）</w:t>
            </w:r>
          </w:p>
          <w:p w14:paraId="7187998C">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供应商具有近三年（2022年1月至今）类似项目业绩，每提供1个业绩得1分。 </w:t>
            </w:r>
          </w:p>
          <w:p w14:paraId="5B30952D">
            <w:pPr>
              <w:pStyle w:val="10"/>
              <w:spacing w:line="360" w:lineRule="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注：响应文件中须提供业绩列表及相对应的业绩证明材料，业绩证明材料为合同扫描件。无证明材料或证明材料不能明确的不予认可。 </w:t>
            </w:r>
          </w:p>
        </w:tc>
      </w:tr>
    </w:tbl>
    <w:p w14:paraId="11C391B8">
      <w:pPr>
        <w:pStyle w:val="12"/>
        <w:spacing w:line="360" w:lineRule="auto"/>
        <w:ind w:left="0" w:leftChars="0" w:firstLine="0" w:firstLineChars="0"/>
        <w:rPr>
          <w:rFonts w:hint="eastAsia" w:ascii="仿宋" w:hAnsi="仿宋" w:eastAsia="仿宋" w:cs="仿宋"/>
          <w:b/>
          <w:bCs/>
          <w:color w:val="auto"/>
          <w:sz w:val="24"/>
          <w:szCs w:val="24"/>
          <w:highlight w:val="none"/>
          <w:lang w:val="zh-CN"/>
        </w:rPr>
      </w:pPr>
    </w:p>
    <w:p w14:paraId="4082B4C9">
      <w:pPr>
        <w:pStyle w:val="12"/>
        <w:spacing w:line="360" w:lineRule="auto"/>
        <w:ind w:left="0" w:leftChars="0" w:firstLine="0" w:firstLineChars="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1 、评审原则及方法</w:t>
      </w:r>
    </w:p>
    <w:p w14:paraId="611260A6">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 评审原则：磋商小组成员应当按照客观、公正、审慎的原则，根据磋商文件规定的评审程序、评审方法和评审标准进行独立评审。未实质性响应磋商文件的响应文件按无效响应处理，磋商小组应当告知提交响应文件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，该</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不得再继续参加磋商。</w:t>
      </w:r>
    </w:p>
    <w:p w14:paraId="5DE27105">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 评审方法：综合评分法，是指响应文件满足磋商文件全部实质性要求且按评审因素的量化指标评审得分最高的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为成交候选人的评审方法。磋商小组根据竞争性磋商文件规定的磋商程序和方法对各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的响应文件进行综合评分。</w:t>
      </w:r>
    </w:p>
    <w:p w14:paraId="23386E92">
      <w:pPr>
        <w:pStyle w:val="12"/>
        <w:spacing w:line="360" w:lineRule="auto"/>
        <w:ind w:left="0" w:leftChars="0" w:firstLine="0" w:firstLineChars="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2 、</w:t>
      </w:r>
      <w:r>
        <w:rPr>
          <w:rFonts w:hint="eastAsia" w:ascii="仿宋" w:hAnsi="仿宋" w:eastAsia="仿宋" w:cs="仿宋"/>
          <w:b/>
          <w:bCs/>
          <w:color w:val="auto"/>
          <w:sz w:val="24"/>
          <w:szCs w:val="24"/>
          <w:highlight w:val="none"/>
        </w:rPr>
        <w:t>资格审查、</w:t>
      </w:r>
      <w:r>
        <w:rPr>
          <w:rFonts w:hint="eastAsia" w:ascii="仿宋" w:hAnsi="仿宋" w:eastAsia="仿宋" w:cs="仿宋"/>
          <w:b/>
          <w:bCs/>
          <w:color w:val="auto"/>
          <w:sz w:val="24"/>
          <w:szCs w:val="24"/>
          <w:highlight w:val="none"/>
          <w:lang w:val="zh-CN"/>
        </w:rPr>
        <w:t>实质性评审、详细评审</w:t>
      </w:r>
    </w:p>
    <w:p w14:paraId="43EF0929">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2.1资格审查：</w:t>
      </w:r>
      <w:r>
        <w:rPr>
          <w:rFonts w:hint="eastAsia" w:ascii="仿宋" w:hAnsi="仿宋" w:eastAsia="仿宋" w:cs="仿宋"/>
          <w:color w:val="auto"/>
          <w:sz w:val="24"/>
          <w:szCs w:val="24"/>
          <w:highlight w:val="none"/>
        </w:rPr>
        <w:t>磋商小组</w:t>
      </w:r>
      <w:r>
        <w:rPr>
          <w:rFonts w:hint="eastAsia" w:ascii="仿宋" w:hAnsi="仿宋" w:eastAsia="仿宋" w:cs="仿宋"/>
          <w:color w:val="auto"/>
          <w:sz w:val="24"/>
          <w:szCs w:val="24"/>
          <w:highlight w:val="none"/>
          <w:lang w:val="zh-CN"/>
        </w:rPr>
        <w:t>依据法律法规和</w:t>
      </w:r>
      <w:r>
        <w:rPr>
          <w:rFonts w:hint="eastAsia" w:ascii="仿宋" w:hAnsi="仿宋" w:eastAsia="仿宋" w:cs="仿宋"/>
          <w:color w:val="auto"/>
          <w:sz w:val="24"/>
          <w:szCs w:val="24"/>
          <w:highlight w:val="none"/>
        </w:rPr>
        <w:t>竞争性磋商</w:t>
      </w:r>
      <w:r>
        <w:rPr>
          <w:rFonts w:hint="eastAsia" w:ascii="仿宋" w:hAnsi="仿宋" w:eastAsia="仿宋" w:cs="仿宋"/>
          <w:color w:val="auto"/>
          <w:sz w:val="24"/>
          <w:szCs w:val="24"/>
          <w:highlight w:val="none"/>
          <w:lang w:val="zh-CN"/>
        </w:rPr>
        <w:t>文件的规定，对</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zh-CN"/>
        </w:rPr>
        <w:t>文件中的资格证明文件进行审查（具体详见《评</w:t>
      </w:r>
      <w:r>
        <w:rPr>
          <w:rFonts w:hint="eastAsia" w:ascii="仿宋" w:hAnsi="仿宋" w:eastAsia="仿宋" w:cs="仿宋"/>
          <w:color w:val="auto"/>
          <w:sz w:val="24"/>
          <w:szCs w:val="24"/>
          <w:highlight w:val="none"/>
          <w:lang w:val="en-US" w:eastAsia="zh-CN"/>
        </w:rPr>
        <w:t>审</w:t>
      </w:r>
      <w:r>
        <w:rPr>
          <w:rFonts w:hint="eastAsia" w:ascii="仿宋" w:hAnsi="仿宋" w:eastAsia="仿宋" w:cs="仿宋"/>
          <w:color w:val="auto"/>
          <w:sz w:val="24"/>
          <w:szCs w:val="24"/>
          <w:highlight w:val="none"/>
          <w:lang w:val="zh-CN"/>
        </w:rPr>
        <w:t>方法前附表》），有一项不符合的，该</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zh-CN"/>
        </w:rPr>
        <w:t>文件按无效</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CN"/>
        </w:rPr>
        <w:t>处理。</w:t>
      </w:r>
    </w:p>
    <w:p w14:paraId="0A6C6EB6">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磋商小组依据竞争性磋商文件第六章《评审方法》2.1 实质性评审标准规定的内容，对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响应文件中进行审查，以确定</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是否具备参加本项目竞争性磋商采购活动的资格，未通过实质性评审的响应文件将按无效响应处理。</w:t>
      </w:r>
    </w:p>
    <w:p w14:paraId="7BF44B8F">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 xml:space="preserve"> 磋商小组各成员将按照竞争性磋商文件中规定的详细评审标准独立对每个有效响应的文件进行评价、打分，然后汇总每个</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每项评分因素的得分，最终按以下公式计算出各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的评审得分。</w:t>
      </w:r>
    </w:p>
    <w:p w14:paraId="33DD142B">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评审得分=F1＋F2＋……＋Fn</w:t>
      </w:r>
    </w:p>
    <w:p w14:paraId="6B68EE31">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F1、F2……Fn 分别为每项评分因素的汇总得分。</w:t>
      </w:r>
    </w:p>
    <w:p w14:paraId="2276C2ED">
      <w:pPr>
        <w:pStyle w:val="12"/>
        <w:spacing w:line="360" w:lineRule="auto"/>
        <w:ind w:left="0" w:leftChars="0" w:firstLine="0" w:firstLineChars="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3 、磋商及最后报价</w:t>
      </w:r>
    </w:p>
    <w:p w14:paraId="6ADC7CDC">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3.1 磋商小组所有成员集中与单一</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分别进行磋商，并给予所有参加磋商的</w:t>
      </w:r>
      <w:r>
        <w:rPr>
          <w:rFonts w:hint="eastAsia" w:ascii="仿宋" w:hAnsi="仿宋" w:eastAsia="仿宋" w:cs="仿宋"/>
          <w:color w:val="auto"/>
          <w:sz w:val="24"/>
          <w:szCs w:val="24"/>
          <w:highlight w:val="none"/>
        </w:rPr>
        <w:t>申请人</w:t>
      </w:r>
      <w:r>
        <w:rPr>
          <w:rFonts w:hint="eastAsia" w:ascii="仿宋" w:hAnsi="仿宋" w:eastAsia="仿宋" w:cs="仿宋"/>
          <w:color w:val="auto"/>
          <w:sz w:val="24"/>
          <w:szCs w:val="24"/>
          <w:highlight w:val="none"/>
          <w:lang w:val="zh-CN"/>
        </w:rPr>
        <w:t>平等的磋商机会。在磋商过程中，磋商小组可以根据磋商文件和磋商情况实质性变动服务要求中的技术、服务要求以及合同草案条款，但不得变动磋商文件中的其他内容。实质性变动的内容，须经采购人代表确认。</w:t>
      </w:r>
    </w:p>
    <w:p w14:paraId="73604EE4">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3.2 在磋商过程中，磋商的任何一方不得透露与磋商有关的其他</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的技术资料、价格、折扣和其他信息。</w:t>
      </w:r>
    </w:p>
    <w:p w14:paraId="43348A56">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3.3 有助于响应文件的详细审查、评价和比较，磋商小组可要求对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分别进行技术询问、澄清，有关要求和答复均现场进行。磋商小组对</w:t>
      </w:r>
      <w:r>
        <w:rPr>
          <w:rFonts w:hint="eastAsia" w:ascii="仿宋" w:hAnsi="仿宋" w:eastAsia="仿宋" w:cs="仿宋"/>
          <w:color w:val="auto"/>
          <w:sz w:val="24"/>
          <w:szCs w:val="24"/>
          <w:highlight w:val="none"/>
        </w:rPr>
        <w:t>磋商申请</w:t>
      </w:r>
      <w:r>
        <w:rPr>
          <w:rFonts w:hint="eastAsia" w:ascii="仿宋" w:hAnsi="仿宋" w:eastAsia="仿宋" w:cs="仿宋"/>
          <w:color w:val="auto"/>
          <w:sz w:val="24"/>
          <w:szCs w:val="24"/>
          <w:highlight w:val="none"/>
          <w:lang w:val="zh-CN"/>
        </w:rPr>
        <w:t>提交的澄清、说明有疑问的，可以要求</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进一步澄清、说明。</w:t>
      </w:r>
    </w:p>
    <w:p w14:paraId="34675FDE">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3.4 </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的澄清、说明或者更正应当由法定代表人或其授权代表签字或者加盖公章。由授权代表签字的，应当附法定代表人授权书。</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为自然人的，应当由本人签字并附身份证明。</w:t>
      </w:r>
    </w:p>
    <w:p w14:paraId="485A7EDF">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3.5 磋商结束后，磋商小组将要求所有实质性响应的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在规定时间内提交最后报价，提交最后报价的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不得少于</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家，最后报价应由法定代表人或其委托代理人签字，在规定的时间统一密封递交，最后报价是</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响应文件的有效组成部分。在提交最后报价之前，</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可以根据磋商情况退出磋商，其磋商保证金按规定的时间予以退还。</w:t>
      </w:r>
    </w:p>
    <w:p w14:paraId="3E08B643">
      <w:pPr>
        <w:pStyle w:val="12"/>
        <w:tabs>
          <w:tab w:val="left" w:pos="3472"/>
        </w:tabs>
        <w:spacing w:line="360" w:lineRule="auto"/>
        <w:ind w:left="0" w:leftChars="0" w:firstLine="0" w:firstLineChars="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4 、评审及统分原则</w:t>
      </w:r>
      <w:r>
        <w:rPr>
          <w:rFonts w:hint="eastAsia" w:ascii="仿宋" w:hAnsi="仿宋" w:eastAsia="仿宋" w:cs="仿宋"/>
          <w:b/>
          <w:bCs/>
          <w:color w:val="auto"/>
          <w:sz w:val="24"/>
          <w:szCs w:val="24"/>
          <w:highlight w:val="none"/>
          <w:lang w:val="zh-CN"/>
        </w:rPr>
        <w:tab/>
      </w:r>
    </w:p>
    <w:p w14:paraId="0A2AAB0D">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4.1 磋商小组成员要依法独立审查，并对审查意见承担个人责任。磋商小组成员对需要共同认定的事项存在争议的，按照少数服从多数的原则做出结论。持不同意见的磋商小组成员应当在评审报告上签署不同意见并说明理由，否则视为同意。</w:t>
      </w:r>
    </w:p>
    <w:p w14:paraId="7357E3B8">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4.2 磋商小组对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的价格分等客观评分项的评分应当一致，对其他需要借助专业知识评判的主观评分项，应当严格按照评分细则公正评分。</w:t>
      </w:r>
    </w:p>
    <w:p w14:paraId="212F5BF1">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4.3 </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各项评分因素得分为该项因素各成员评分的算术平均值（保留小数点后两位），小数点后第三位“四舍五入”。</w:t>
      </w:r>
    </w:p>
    <w:p w14:paraId="3DDC8261">
      <w:pPr>
        <w:pStyle w:val="12"/>
        <w:spacing w:line="360" w:lineRule="auto"/>
        <w:ind w:left="0" w:leftChars="0" w:firstLine="0" w:firstLineChars="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5 、推荐成交候选</w:t>
      </w:r>
      <w:r>
        <w:rPr>
          <w:rFonts w:hint="eastAsia" w:ascii="仿宋" w:hAnsi="仿宋" w:eastAsia="仿宋" w:cs="仿宋"/>
          <w:b/>
          <w:bCs/>
          <w:color w:val="auto"/>
          <w:sz w:val="24"/>
          <w:szCs w:val="24"/>
          <w:highlight w:val="none"/>
        </w:rPr>
        <w:t>人</w:t>
      </w:r>
      <w:r>
        <w:rPr>
          <w:rFonts w:hint="eastAsia" w:ascii="仿宋" w:hAnsi="仿宋" w:eastAsia="仿宋" w:cs="仿宋"/>
          <w:b/>
          <w:bCs/>
          <w:color w:val="auto"/>
          <w:sz w:val="24"/>
          <w:szCs w:val="24"/>
          <w:highlight w:val="none"/>
          <w:lang w:val="zh-CN"/>
        </w:rPr>
        <w:t>及确定成交</w:t>
      </w:r>
      <w:r>
        <w:rPr>
          <w:rFonts w:hint="eastAsia" w:ascii="仿宋" w:hAnsi="仿宋" w:eastAsia="仿宋" w:cs="仿宋"/>
          <w:b/>
          <w:bCs/>
          <w:color w:val="auto"/>
          <w:sz w:val="24"/>
          <w:szCs w:val="24"/>
          <w:highlight w:val="none"/>
        </w:rPr>
        <w:t>人</w:t>
      </w:r>
    </w:p>
    <w:p w14:paraId="43D453FE">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5.1磋商小组按照评审得分由高到低顺序推荐 3名成交候选</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zh-CN"/>
        </w:rPr>
        <w:t>，并编写评审报告。评审得分相同的，按照最后报价（符合中小企业划分标准或残疾人福利性单位产品的用扣除后的价格参与评审）由低到高的顺序推荐。评审得分且最后报价相同的，按照</w:t>
      </w:r>
      <w:r>
        <w:rPr>
          <w:rFonts w:hint="eastAsia" w:ascii="仿宋" w:hAnsi="仿宋" w:eastAsia="仿宋" w:cs="仿宋"/>
          <w:color w:val="auto"/>
          <w:sz w:val="24"/>
          <w:szCs w:val="24"/>
          <w:highlight w:val="none"/>
        </w:rPr>
        <w:t>技术部分得分由高到低</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lang w:val="zh-CN"/>
        </w:rPr>
        <w:t>顺序推荐。</w:t>
      </w:r>
    </w:p>
    <w:p w14:paraId="3A4A21DC">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5.2 采购人从评审报告提出的成交候选</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lang w:val="zh-CN"/>
        </w:rPr>
        <w:t>中，按照排序由高到低的原则确定成交</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zh-CN"/>
        </w:rPr>
        <w:t>。</w:t>
      </w:r>
    </w:p>
    <w:p w14:paraId="67E33D64">
      <w:pPr>
        <w:pStyle w:val="12"/>
        <w:spacing w:line="360" w:lineRule="auto"/>
        <w:ind w:left="0" w:leftChars="0" w:firstLine="0" w:firstLineChars="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6 、竞争性磋商的保密性</w:t>
      </w:r>
    </w:p>
    <w:p w14:paraId="1B5EFF47">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6.1 评审结束后，至确定成交</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zh-CN"/>
        </w:rPr>
        <w:t>与采购人签订合同后止，凡与审查、澄清、评价、比较、推荐成交候选</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zh-CN"/>
        </w:rPr>
        <w:t>意见有关的内容，任何人均不得向</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及与磋商无关的其他人透露。</w:t>
      </w:r>
    </w:p>
    <w:p w14:paraId="1A86CA9C">
      <w:pPr>
        <w:pStyle w:val="12"/>
        <w:spacing w:line="360" w:lineRule="auto"/>
        <w:ind w:left="0" w:leftChars="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6.2 从响应文件提交截止日起到确定成交</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zh-CN"/>
        </w:rPr>
        <w:t>之日止，</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不得与参加磋商的有关人员私下接触。在磋商过程中，如果</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szCs w:val="24"/>
          <w:highlight w:val="none"/>
          <w:lang w:val="zh-CN"/>
        </w:rPr>
        <w:t>试图在响应文件审查、澄清、比较及推荐方面向参与磋商的有关人员施加任何影响，其响应文件按无效响应处理。</w:t>
      </w:r>
    </w:p>
    <w:p w14:paraId="23478AA1">
      <w:pPr>
        <w:spacing w:line="360" w:lineRule="auto"/>
        <w:rPr>
          <w:rFonts w:hint="eastAsia" w:ascii="仿宋" w:hAnsi="仿宋" w:eastAsia="仿宋" w:cs="仿宋"/>
          <w:color w:val="auto"/>
          <w:highlight w:val="none"/>
        </w:rPr>
      </w:pPr>
    </w:p>
    <w:sectPr>
      <w:footerReference r:id="rId6" w:type="default"/>
      <w:pgSz w:w="11906" w:h="16838"/>
      <w:pgMar w:top="1440" w:right="1083" w:bottom="1440" w:left="1083" w:header="1134" w:footer="850" w:gutter="0"/>
      <w:pgBorders w:offsetFrom="page">
        <w:top w:val="none" w:sz="0" w:space="0"/>
        <w:left w:val="none" w:sz="0" w:space="0"/>
        <w:bottom w:val="none" w:sz="0" w:space="0"/>
        <w:right w:val="none" w:sz="0" w:space="0"/>
      </w:pgBorders>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ADCC">
    <w:pPr>
      <w:pStyle w:val="18"/>
    </w:pPr>
    <w:r>
      <w:rPr>
        <w:sz w:val="18"/>
      </w:rPr>
      <mc:AlternateContent>
        <mc:Choice Requires="wps">
          <w:drawing>
            <wp:anchor distT="0" distB="0" distL="114300" distR="114300" simplePos="0" relativeHeight="251660288" behindDoc="0" locked="0" layoutInCell="1" allowOverlap="1">
              <wp:simplePos x="0" y="0"/>
              <wp:positionH relativeFrom="margin">
                <wp:posOffset>4989195</wp:posOffset>
              </wp:positionH>
              <wp:positionV relativeFrom="paragraph">
                <wp:posOffset>0</wp:posOffset>
              </wp:positionV>
              <wp:extent cx="285115" cy="14287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85115" cy="142875"/>
                      </a:xfrm>
                      <a:prstGeom prst="rect">
                        <a:avLst/>
                      </a:prstGeom>
                      <a:noFill/>
                      <a:ln w="15875">
                        <a:noFill/>
                      </a:ln>
                    </wps:spPr>
                    <wps:txbx>
                      <w:txbxContent>
                        <w:p w14:paraId="46E5BE1F">
                          <w:pPr>
                            <w:pStyle w:val="18"/>
                            <w:jc w:val="center"/>
                            <w:rPr>
                              <w:sz w:val="24"/>
                              <w:szCs w:val="24"/>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lIns="0" tIns="0" rIns="0" bIns="0" upright="0"/>
                  </wps:wsp>
                </a:graphicData>
              </a:graphic>
            </wp:anchor>
          </w:drawing>
        </mc:Choice>
        <mc:Fallback>
          <w:pict>
            <v:shape id="_x0000_s1026" o:spid="_x0000_s1026" o:spt="202" type="#_x0000_t202" style="position:absolute;left:0pt;margin-left:392.85pt;margin-top:0pt;height:11.25pt;width:22.45pt;mso-position-horizontal-relative:margin;z-index:251660288;mso-width-relative:page;mso-height-relative:page;" filled="f" stroked="f" coordsize="21600,21600" o:gfxdata="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D5hIVDXAAAABwEAAA8AAAAAAAAAAQAgAAAAIgAAAGRycy9kb3ducmV2Lnht&#10;bFBLAQIUABQAAAAIAIdO4kDEtofZwQEAAHsDAAAOAAAAAAAAAAEAIAAAACYBAABkcnMvZTJvRG9j&#10;LnhtbFBLBQYAAAAABgAGAFkBAABZBQAAAAA=&#10;">
              <v:fill on="f" focussize="0,0"/>
              <v:stroke on="f" weight="1.25pt"/>
              <v:imagedata o:title=""/>
              <o:lock v:ext="edit" aspectratio="f"/>
              <v:textbox inset="0mm,0mm,0mm,0mm">
                <w:txbxContent>
                  <w:p w14:paraId="46E5BE1F">
                    <w:pPr>
                      <w:pStyle w:val="18"/>
                      <w:jc w:val="center"/>
                      <w:rPr>
                        <w:sz w:val="24"/>
                        <w:szCs w:val="24"/>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r>
      <w:rPr>
        <w:rFonts w:hint="eastAsia"/>
      </w:rPr>
      <w:drawing>
        <wp:inline distT="0" distB="0" distL="114300" distR="114300">
          <wp:extent cx="1982470" cy="290195"/>
          <wp:effectExtent l="0" t="0" r="17780" b="14605"/>
          <wp:docPr id="6" name="图片 3" descr="宋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宋体"/>
                  <pic:cNvPicPr>
                    <a:picLocks noChangeAspect="1"/>
                  </pic:cNvPicPr>
                </pic:nvPicPr>
                <pic:blipFill>
                  <a:blip r:embed="rId1"/>
                  <a:stretch>
                    <a:fillRect/>
                  </a:stretch>
                </pic:blipFill>
                <pic:spPr>
                  <a:xfrm>
                    <a:off x="0" y="0"/>
                    <a:ext cx="1982470" cy="29019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99153">
    <w:pPr>
      <w:pStyle w:val="18"/>
      <w:jc w:val="both"/>
    </w:pPr>
    <w:r>
      <w:rPr>
        <w:sz w:val="18"/>
      </w:rPr>
      <mc:AlternateContent>
        <mc:Choice Requires="wps">
          <w:drawing>
            <wp:anchor distT="0" distB="0" distL="114300" distR="114300" simplePos="0" relativeHeight="251661312" behindDoc="0" locked="0" layoutInCell="1" allowOverlap="1">
              <wp:simplePos x="0" y="0"/>
              <wp:positionH relativeFrom="margin">
                <wp:posOffset>5788025</wp:posOffset>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BF7695">
                          <w:pPr>
                            <w:pStyle w:val="18"/>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left:455.75pt;margin-top:0pt;height:144pt;width:144pt;mso-position-horizontal-relative:margin;mso-wrap-style:none;z-index:251661312;mso-width-relative:page;mso-height-relative:page;" filled="f" stroked="f" coordsize="21600,21600" o:gfxdata="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pwXnNQAAAAJAQAADwAAAAAAAAABACAAAAAiAAAAZHJzL2Rvd25y&#10;ZXYueG1sUEsBAhQAFAAAAAgAh07iQArdWJHJAQAAmQMAAA4AAAAAAAAAAQAgAAAAIwEAAGRycy9l&#10;Mm9Eb2MueG1sUEsFBgAAAAAGAAYAWQEAAF4FAAAAAA==&#10;">
              <v:fill on="f" focussize="0,0"/>
              <v:stroke on="f"/>
              <v:imagedata o:title=""/>
              <o:lock v:ext="edit" aspectratio="f"/>
              <v:textbox inset="0mm,0mm,0mm,0mm" style="mso-fit-shape-to-text:t;">
                <w:txbxContent>
                  <w:p w14:paraId="74BF7695">
                    <w:pPr>
                      <w:pStyle w:val="18"/>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rPr>
      <w:drawing>
        <wp:inline distT="0" distB="0" distL="114300" distR="114300">
          <wp:extent cx="1982470" cy="290195"/>
          <wp:effectExtent l="0" t="0" r="17780" b="14605"/>
          <wp:docPr id="1" name="图片 1" descr="宋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宋体"/>
                  <pic:cNvPicPr>
                    <a:picLocks noChangeAspect="1"/>
                  </pic:cNvPicPr>
                </pic:nvPicPr>
                <pic:blipFill>
                  <a:blip r:embed="rId1"/>
                  <a:stretch>
                    <a:fillRect/>
                  </a:stretch>
                </pic:blipFill>
                <pic:spPr>
                  <a:xfrm>
                    <a:off x="0" y="0"/>
                    <a:ext cx="1982470" cy="290195"/>
                  </a:xfrm>
                  <a:prstGeom prst="rect">
                    <a:avLst/>
                  </a:prstGeom>
                  <a:noFill/>
                  <a:ln>
                    <a:noFill/>
                  </a:ln>
                </pic:spPr>
              </pic:pic>
            </a:graphicData>
          </a:graphic>
        </wp:inline>
      </w:drawing>
    </w:r>
  </w:p>
  <w:p w14:paraId="60C3E82D">
    <w:pPr>
      <w:pStyle w:val="18"/>
      <w:jc w:val="both"/>
      <w:rPr>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DC545">
    <w:pPr>
      <w:pStyle w:val="18"/>
      <w:jc w:val="both"/>
    </w:pPr>
    <w:r>
      <w:rPr>
        <w:sz w:val="18"/>
      </w:rPr>
      <mc:AlternateContent>
        <mc:Choice Requires="wps">
          <w:drawing>
            <wp:anchor distT="0" distB="0" distL="114300" distR="114300" simplePos="0" relativeHeight="251662336" behindDoc="0" locked="0" layoutInCell="1" allowOverlap="1">
              <wp:simplePos x="0" y="0"/>
              <wp:positionH relativeFrom="margin">
                <wp:posOffset>5788025</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925ABE">
                          <w:pPr>
                            <w:pStyle w:val="18"/>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left:455.75pt;margin-top:0pt;height:144pt;width:144pt;mso-position-horizontal-relative:margin;mso-wrap-style:none;z-index:251662336;mso-width-relative:page;mso-height-relative:page;" filled="f" stroked="f" coordsize="21600,21600" o:gfxdata="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pwXnNQAAAAJAQAADwAAAAAAAAABACAAAAAiAAAAZHJzL2Rvd25y&#10;ZXYueG1sUEsBAhQAFAAAAAgAh07iQPq776bJAQAAmQMAAA4AAAAAAAAAAQAgAAAAIwEAAGRycy9l&#10;Mm9Eb2MueG1sUEsFBgAAAAAGAAYAWQEAAF4FAAAAAA==&#10;">
              <v:fill on="f" focussize="0,0"/>
              <v:stroke on="f"/>
              <v:imagedata o:title=""/>
              <o:lock v:ext="edit" aspectratio="f"/>
              <v:textbox inset="0mm,0mm,0mm,0mm" style="mso-fit-shape-to-text:t;">
                <w:txbxContent>
                  <w:p w14:paraId="31925ABE">
                    <w:pPr>
                      <w:pStyle w:val="18"/>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rPr>
      <w:drawing>
        <wp:inline distT="0" distB="0" distL="114300" distR="114300">
          <wp:extent cx="1982470" cy="290195"/>
          <wp:effectExtent l="0" t="0" r="17780" b="14605"/>
          <wp:docPr id="4" name="图片 2" descr="宋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宋体"/>
                  <pic:cNvPicPr>
                    <a:picLocks noChangeAspect="1"/>
                  </pic:cNvPicPr>
                </pic:nvPicPr>
                <pic:blipFill>
                  <a:blip r:embed="rId1"/>
                  <a:stretch>
                    <a:fillRect/>
                  </a:stretch>
                </pic:blipFill>
                <pic:spPr>
                  <a:xfrm>
                    <a:off x="0" y="0"/>
                    <a:ext cx="1982470" cy="290195"/>
                  </a:xfrm>
                  <a:prstGeom prst="rect">
                    <a:avLst/>
                  </a:prstGeom>
                  <a:noFill/>
                  <a:ln>
                    <a:noFill/>
                  </a:ln>
                </pic:spPr>
              </pic:pic>
            </a:graphicData>
          </a:graphic>
        </wp:inline>
      </w:drawing>
    </w:r>
  </w:p>
  <w:p w14:paraId="247FD2B8">
    <w:pPr>
      <w:pStyle w:val="18"/>
      <w:jc w:val="both"/>
      <w:rPr>
        <w:sz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492C8">
    <w:pPr>
      <w:pStyle w:val="20"/>
      <w:jc w:val="left"/>
      <w:rPr>
        <w:rFonts w:hint="eastAsia" w:eastAsia="仿宋"/>
        <w:sz w:val="21"/>
        <w:szCs w:val="21"/>
        <w:u w:val="single"/>
        <w:lang w:eastAsia="zh-CN"/>
      </w:rPr>
    </w:pPr>
    <w:r>
      <w:rPr>
        <w:rFonts w:hint="eastAsia" w:ascii="仿宋" w:hAnsi="仿宋" w:eastAsia="仿宋" w:cs="仿宋"/>
        <w:bCs/>
        <w:kern w:val="0"/>
        <w:sz w:val="21"/>
        <w:szCs w:val="21"/>
        <w:u w:val="single"/>
        <w:lang w:val="en-US" w:eastAsia="zh-CN"/>
      </w:rPr>
      <w:t xml:space="preserve">文山州人民医院GE 1.5T核磁共振设备维保服务采购项目                </w:t>
    </w:r>
    <w:r>
      <w:rPr>
        <w:rFonts w:hint="eastAsia" w:ascii="仿宋" w:hAnsi="仿宋" w:eastAsia="仿宋" w:cs="仿宋"/>
        <w:bCs/>
        <w:kern w:val="0"/>
        <w:sz w:val="21"/>
        <w:szCs w:val="21"/>
        <w:u w:val="single"/>
      </w:rPr>
      <w:t xml:space="preserve"> </w:t>
    </w:r>
    <w:r>
      <w:rPr>
        <w:rFonts w:hint="eastAsia" w:ascii="仿宋" w:hAnsi="仿宋" w:eastAsia="仿宋" w:cs="仿宋"/>
        <w:bCs/>
        <w:kern w:val="0"/>
        <w:sz w:val="21"/>
        <w:szCs w:val="21"/>
        <w:u w:val="single"/>
        <w:lang w:val="en-US" w:eastAsia="zh-CN"/>
      </w:rPr>
      <w:t xml:space="preserve">      </w:t>
    </w:r>
    <w:r>
      <w:rPr>
        <w:rFonts w:hint="eastAsia" w:ascii="仿宋" w:hAnsi="仿宋" w:eastAsia="仿宋" w:cs="仿宋"/>
        <w:bCs/>
        <w:kern w:val="0"/>
        <w:sz w:val="21"/>
        <w:szCs w:val="21"/>
        <w:u w:val="single"/>
      </w:rPr>
      <w:t xml:space="preserve">  </w:t>
    </w:r>
    <w:r>
      <w:rPr>
        <w:rFonts w:hint="eastAsia" w:ascii="仿宋" w:hAnsi="仿宋" w:eastAsia="仿宋" w:cs="仿宋"/>
        <w:bCs/>
        <w:kern w:val="0"/>
        <w:sz w:val="21"/>
        <w:szCs w:val="21"/>
        <w:u w:val="single"/>
        <w:lang w:val="en-US" w:eastAsia="zh-CN"/>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5E0C9011"/>
    <w:multiLevelType w:val="singleLevel"/>
    <w:tmpl w:val="5E0C9011"/>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ZmZWM0NmFlNzg1NmUwYTE3YTc0MzI2M2MwZDg3NGQifQ=="/>
  </w:docVars>
  <w:rsids>
    <w:rsidRoot w:val="00000000"/>
    <w:rsid w:val="000944F3"/>
    <w:rsid w:val="001D31BC"/>
    <w:rsid w:val="00232D15"/>
    <w:rsid w:val="005A7639"/>
    <w:rsid w:val="00603C40"/>
    <w:rsid w:val="00745D8D"/>
    <w:rsid w:val="008008FC"/>
    <w:rsid w:val="00A161B5"/>
    <w:rsid w:val="00A317D8"/>
    <w:rsid w:val="00CD34EE"/>
    <w:rsid w:val="00D5548F"/>
    <w:rsid w:val="00D62F56"/>
    <w:rsid w:val="00E03728"/>
    <w:rsid w:val="00E16FE2"/>
    <w:rsid w:val="00FF1DC6"/>
    <w:rsid w:val="01027C29"/>
    <w:rsid w:val="01311D17"/>
    <w:rsid w:val="01331F02"/>
    <w:rsid w:val="01341B75"/>
    <w:rsid w:val="013B0DE8"/>
    <w:rsid w:val="0144383A"/>
    <w:rsid w:val="01475100"/>
    <w:rsid w:val="01484743"/>
    <w:rsid w:val="01534102"/>
    <w:rsid w:val="01565C22"/>
    <w:rsid w:val="015D3EF6"/>
    <w:rsid w:val="01764E4A"/>
    <w:rsid w:val="01836392"/>
    <w:rsid w:val="01940399"/>
    <w:rsid w:val="01BC3303"/>
    <w:rsid w:val="01D34781"/>
    <w:rsid w:val="01D46E69"/>
    <w:rsid w:val="01DF6DF7"/>
    <w:rsid w:val="01E51CDE"/>
    <w:rsid w:val="01FD4A06"/>
    <w:rsid w:val="02293338"/>
    <w:rsid w:val="0231618C"/>
    <w:rsid w:val="02527D0D"/>
    <w:rsid w:val="02621B2A"/>
    <w:rsid w:val="027B0C02"/>
    <w:rsid w:val="02877A69"/>
    <w:rsid w:val="029C7412"/>
    <w:rsid w:val="029C7646"/>
    <w:rsid w:val="02AF3060"/>
    <w:rsid w:val="02B7255D"/>
    <w:rsid w:val="02BE0982"/>
    <w:rsid w:val="02D52433"/>
    <w:rsid w:val="02E402D4"/>
    <w:rsid w:val="02F33729"/>
    <w:rsid w:val="02F43599"/>
    <w:rsid w:val="02FD27C5"/>
    <w:rsid w:val="03042C10"/>
    <w:rsid w:val="03174950"/>
    <w:rsid w:val="033066A4"/>
    <w:rsid w:val="03466CCE"/>
    <w:rsid w:val="035D6DD9"/>
    <w:rsid w:val="037371CF"/>
    <w:rsid w:val="03771FAF"/>
    <w:rsid w:val="039B0EA8"/>
    <w:rsid w:val="03AB44DB"/>
    <w:rsid w:val="03AD0120"/>
    <w:rsid w:val="03C43349"/>
    <w:rsid w:val="03D4024C"/>
    <w:rsid w:val="040169B7"/>
    <w:rsid w:val="04422138"/>
    <w:rsid w:val="046161A6"/>
    <w:rsid w:val="04A44EF6"/>
    <w:rsid w:val="04D07A99"/>
    <w:rsid w:val="04E23BA9"/>
    <w:rsid w:val="04E657F2"/>
    <w:rsid w:val="050D1CDD"/>
    <w:rsid w:val="051A0D14"/>
    <w:rsid w:val="0530687F"/>
    <w:rsid w:val="0546392D"/>
    <w:rsid w:val="0551312F"/>
    <w:rsid w:val="05530129"/>
    <w:rsid w:val="05574A2F"/>
    <w:rsid w:val="055D3D61"/>
    <w:rsid w:val="05814E8E"/>
    <w:rsid w:val="05992218"/>
    <w:rsid w:val="05A2765A"/>
    <w:rsid w:val="05A33F90"/>
    <w:rsid w:val="05A577CC"/>
    <w:rsid w:val="05BC31B5"/>
    <w:rsid w:val="05D10144"/>
    <w:rsid w:val="05D11D1B"/>
    <w:rsid w:val="05D21668"/>
    <w:rsid w:val="05EB57D6"/>
    <w:rsid w:val="05FC4C84"/>
    <w:rsid w:val="062412EC"/>
    <w:rsid w:val="063127B9"/>
    <w:rsid w:val="063F6C84"/>
    <w:rsid w:val="06937E4A"/>
    <w:rsid w:val="06C11C2A"/>
    <w:rsid w:val="06D96834"/>
    <w:rsid w:val="06DA52C7"/>
    <w:rsid w:val="06EC4B26"/>
    <w:rsid w:val="071D49D3"/>
    <w:rsid w:val="072B0F1D"/>
    <w:rsid w:val="072D2CD1"/>
    <w:rsid w:val="07321A16"/>
    <w:rsid w:val="073D3ED1"/>
    <w:rsid w:val="075A2234"/>
    <w:rsid w:val="07612C2A"/>
    <w:rsid w:val="07642729"/>
    <w:rsid w:val="077E6D8B"/>
    <w:rsid w:val="078D5AAB"/>
    <w:rsid w:val="0793173F"/>
    <w:rsid w:val="07C17876"/>
    <w:rsid w:val="07C5765D"/>
    <w:rsid w:val="07C662A5"/>
    <w:rsid w:val="07E30570"/>
    <w:rsid w:val="08190DCF"/>
    <w:rsid w:val="081E5377"/>
    <w:rsid w:val="08281DB8"/>
    <w:rsid w:val="082B5B04"/>
    <w:rsid w:val="082D3366"/>
    <w:rsid w:val="083B5324"/>
    <w:rsid w:val="08884883"/>
    <w:rsid w:val="08977AC2"/>
    <w:rsid w:val="089D7D3D"/>
    <w:rsid w:val="08A234FA"/>
    <w:rsid w:val="08B2354B"/>
    <w:rsid w:val="08B45336"/>
    <w:rsid w:val="08B463DC"/>
    <w:rsid w:val="08CD6F49"/>
    <w:rsid w:val="08D3254D"/>
    <w:rsid w:val="08F16337"/>
    <w:rsid w:val="09111161"/>
    <w:rsid w:val="094E1E3B"/>
    <w:rsid w:val="0963597A"/>
    <w:rsid w:val="097360DF"/>
    <w:rsid w:val="099119F8"/>
    <w:rsid w:val="09BA670D"/>
    <w:rsid w:val="09E73CDA"/>
    <w:rsid w:val="0A032908"/>
    <w:rsid w:val="0A2719BB"/>
    <w:rsid w:val="0A2E5A2C"/>
    <w:rsid w:val="0A3204B8"/>
    <w:rsid w:val="0A3453E6"/>
    <w:rsid w:val="0A371466"/>
    <w:rsid w:val="0A693E03"/>
    <w:rsid w:val="0A873D39"/>
    <w:rsid w:val="0A875DC7"/>
    <w:rsid w:val="0AB45767"/>
    <w:rsid w:val="0ABB486A"/>
    <w:rsid w:val="0ABC5A36"/>
    <w:rsid w:val="0ABD461B"/>
    <w:rsid w:val="0AE416C5"/>
    <w:rsid w:val="0AE722C1"/>
    <w:rsid w:val="0AE95B29"/>
    <w:rsid w:val="0AFF69E2"/>
    <w:rsid w:val="0B2D6E0B"/>
    <w:rsid w:val="0B41267E"/>
    <w:rsid w:val="0B4C669A"/>
    <w:rsid w:val="0B503D0B"/>
    <w:rsid w:val="0B580C6F"/>
    <w:rsid w:val="0B6E1083"/>
    <w:rsid w:val="0B742184"/>
    <w:rsid w:val="0B7A250D"/>
    <w:rsid w:val="0B7F01FA"/>
    <w:rsid w:val="0BA45778"/>
    <w:rsid w:val="0BAC5B85"/>
    <w:rsid w:val="0BC74A5C"/>
    <w:rsid w:val="0BDA1D21"/>
    <w:rsid w:val="0BDD7409"/>
    <w:rsid w:val="0BEC33D4"/>
    <w:rsid w:val="0C0B6170"/>
    <w:rsid w:val="0C0D1227"/>
    <w:rsid w:val="0C0F7C73"/>
    <w:rsid w:val="0C1B7AC6"/>
    <w:rsid w:val="0C23558F"/>
    <w:rsid w:val="0C2B692F"/>
    <w:rsid w:val="0C4E60D6"/>
    <w:rsid w:val="0C4F5ECE"/>
    <w:rsid w:val="0C577213"/>
    <w:rsid w:val="0C6D1FDE"/>
    <w:rsid w:val="0C6F34EB"/>
    <w:rsid w:val="0C831895"/>
    <w:rsid w:val="0C9231F7"/>
    <w:rsid w:val="0C9E2BE9"/>
    <w:rsid w:val="0CAF1B45"/>
    <w:rsid w:val="0CBD77F4"/>
    <w:rsid w:val="0CCC4FEA"/>
    <w:rsid w:val="0CCE1F12"/>
    <w:rsid w:val="0CD6012E"/>
    <w:rsid w:val="0CE35136"/>
    <w:rsid w:val="0CF50C5A"/>
    <w:rsid w:val="0CFB6852"/>
    <w:rsid w:val="0D303BE3"/>
    <w:rsid w:val="0D3076AC"/>
    <w:rsid w:val="0D316F73"/>
    <w:rsid w:val="0D3252F4"/>
    <w:rsid w:val="0D7954D6"/>
    <w:rsid w:val="0D895758"/>
    <w:rsid w:val="0DA73361"/>
    <w:rsid w:val="0DC346E4"/>
    <w:rsid w:val="0DCC7EE8"/>
    <w:rsid w:val="0DD1667E"/>
    <w:rsid w:val="0DD70DF1"/>
    <w:rsid w:val="0E2D0DD7"/>
    <w:rsid w:val="0E2E2851"/>
    <w:rsid w:val="0E521CA4"/>
    <w:rsid w:val="0E6D5E4B"/>
    <w:rsid w:val="0E7D0CF0"/>
    <w:rsid w:val="0E8F32F8"/>
    <w:rsid w:val="0EBF41B7"/>
    <w:rsid w:val="0EC048DA"/>
    <w:rsid w:val="0EC46336"/>
    <w:rsid w:val="0EC654E2"/>
    <w:rsid w:val="0ECD1D77"/>
    <w:rsid w:val="0ED17392"/>
    <w:rsid w:val="0EF32E70"/>
    <w:rsid w:val="0EFE3455"/>
    <w:rsid w:val="0F0547E3"/>
    <w:rsid w:val="0F19479F"/>
    <w:rsid w:val="0F3C0393"/>
    <w:rsid w:val="0F44530B"/>
    <w:rsid w:val="0F4D66CC"/>
    <w:rsid w:val="0F533B34"/>
    <w:rsid w:val="0F8023B4"/>
    <w:rsid w:val="0F82063D"/>
    <w:rsid w:val="0F84395A"/>
    <w:rsid w:val="0F855E04"/>
    <w:rsid w:val="0F8C43D4"/>
    <w:rsid w:val="0F8D148D"/>
    <w:rsid w:val="0FBC1BB4"/>
    <w:rsid w:val="0FBE36CF"/>
    <w:rsid w:val="0FD20B69"/>
    <w:rsid w:val="0FED7CC7"/>
    <w:rsid w:val="10063C00"/>
    <w:rsid w:val="100A6148"/>
    <w:rsid w:val="1027377E"/>
    <w:rsid w:val="108005C5"/>
    <w:rsid w:val="10824416"/>
    <w:rsid w:val="109F5523"/>
    <w:rsid w:val="10BD45EF"/>
    <w:rsid w:val="10BE31F3"/>
    <w:rsid w:val="10CC23B9"/>
    <w:rsid w:val="10DE3261"/>
    <w:rsid w:val="1111334E"/>
    <w:rsid w:val="111858CF"/>
    <w:rsid w:val="111A48FF"/>
    <w:rsid w:val="111C4CB0"/>
    <w:rsid w:val="11400FC1"/>
    <w:rsid w:val="11486A80"/>
    <w:rsid w:val="114C04A7"/>
    <w:rsid w:val="116C60F0"/>
    <w:rsid w:val="116E354A"/>
    <w:rsid w:val="118254A0"/>
    <w:rsid w:val="119465DD"/>
    <w:rsid w:val="11AC4F95"/>
    <w:rsid w:val="11B40973"/>
    <w:rsid w:val="11C11197"/>
    <w:rsid w:val="11C94A03"/>
    <w:rsid w:val="11E02E71"/>
    <w:rsid w:val="11E072F2"/>
    <w:rsid w:val="12367774"/>
    <w:rsid w:val="12445622"/>
    <w:rsid w:val="12611060"/>
    <w:rsid w:val="127D3BF5"/>
    <w:rsid w:val="12853FB7"/>
    <w:rsid w:val="128B2246"/>
    <w:rsid w:val="129F4EED"/>
    <w:rsid w:val="12A147A1"/>
    <w:rsid w:val="12A5514C"/>
    <w:rsid w:val="12A5559B"/>
    <w:rsid w:val="12C51179"/>
    <w:rsid w:val="12CD592B"/>
    <w:rsid w:val="12DD7D95"/>
    <w:rsid w:val="12F232D0"/>
    <w:rsid w:val="12FE6D81"/>
    <w:rsid w:val="13094269"/>
    <w:rsid w:val="13417E5C"/>
    <w:rsid w:val="1373516E"/>
    <w:rsid w:val="1386265D"/>
    <w:rsid w:val="13AA10EF"/>
    <w:rsid w:val="13AC2939"/>
    <w:rsid w:val="13C46A1B"/>
    <w:rsid w:val="13CA18E2"/>
    <w:rsid w:val="13CA68CB"/>
    <w:rsid w:val="13CB56D3"/>
    <w:rsid w:val="13F87AF9"/>
    <w:rsid w:val="14192386"/>
    <w:rsid w:val="1423545B"/>
    <w:rsid w:val="143559F0"/>
    <w:rsid w:val="1457685B"/>
    <w:rsid w:val="14672AB0"/>
    <w:rsid w:val="147E306D"/>
    <w:rsid w:val="14812B5E"/>
    <w:rsid w:val="14825F5F"/>
    <w:rsid w:val="14850E98"/>
    <w:rsid w:val="14860174"/>
    <w:rsid w:val="14870407"/>
    <w:rsid w:val="149E54BE"/>
    <w:rsid w:val="14A93330"/>
    <w:rsid w:val="14AA3E63"/>
    <w:rsid w:val="14AB4B80"/>
    <w:rsid w:val="14AB611F"/>
    <w:rsid w:val="14CE18D5"/>
    <w:rsid w:val="14F86F0C"/>
    <w:rsid w:val="15134980"/>
    <w:rsid w:val="15217956"/>
    <w:rsid w:val="1539469A"/>
    <w:rsid w:val="15403011"/>
    <w:rsid w:val="154A4E0D"/>
    <w:rsid w:val="155E74FE"/>
    <w:rsid w:val="156A691B"/>
    <w:rsid w:val="15792306"/>
    <w:rsid w:val="15942980"/>
    <w:rsid w:val="15B16D01"/>
    <w:rsid w:val="15B55A42"/>
    <w:rsid w:val="15C35F26"/>
    <w:rsid w:val="15C73101"/>
    <w:rsid w:val="15E773AF"/>
    <w:rsid w:val="15F829AC"/>
    <w:rsid w:val="16027CCE"/>
    <w:rsid w:val="160666FB"/>
    <w:rsid w:val="160F3460"/>
    <w:rsid w:val="161453FB"/>
    <w:rsid w:val="16195BEC"/>
    <w:rsid w:val="1648249F"/>
    <w:rsid w:val="16510541"/>
    <w:rsid w:val="166913FA"/>
    <w:rsid w:val="16B6041A"/>
    <w:rsid w:val="16B9532F"/>
    <w:rsid w:val="16C3226C"/>
    <w:rsid w:val="16CC65BA"/>
    <w:rsid w:val="16D43D9D"/>
    <w:rsid w:val="16D6544E"/>
    <w:rsid w:val="16DA0303"/>
    <w:rsid w:val="16DF6DDB"/>
    <w:rsid w:val="16F95C4B"/>
    <w:rsid w:val="170169BF"/>
    <w:rsid w:val="170424EA"/>
    <w:rsid w:val="170A6E3A"/>
    <w:rsid w:val="171643FA"/>
    <w:rsid w:val="17241645"/>
    <w:rsid w:val="1729477D"/>
    <w:rsid w:val="172D3597"/>
    <w:rsid w:val="175C3583"/>
    <w:rsid w:val="175C540E"/>
    <w:rsid w:val="176067C5"/>
    <w:rsid w:val="17793FC0"/>
    <w:rsid w:val="177D0F31"/>
    <w:rsid w:val="178146F7"/>
    <w:rsid w:val="17872B72"/>
    <w:rsid w:val="178C67C4"/>
    <w:rsid w:val="1797686A"/>
    <w:rsid w:val="17A64325"/>
    <w:rsid w:val="17C3759F"/>
    <w:rsid w:val="17E313B9"/>
    <w:rsid w:val="17E43402"/>
    <w:rsid w:val="17EB7C53"/>
    <w:rsid w:val="18141894"/>
    <w:rsid w:val="181635BD"/>
    <w:rsid w:val="18221802"/>
    <w:rsid w:val="18221CB2"/>
    <w:rsid w:val="18366AB4"/>
    <w:rsid w:val="18434EFE"/>
    <w:rsid w:val="1848696B"/>
    <w:rsid w:val="184E13A7"/>
    <w:rsid w:val="18553C6E"/>
    <w:rsid w:val="188D4705"/>
    <w:rsid w:val="188F67F7"/>
    <w:rsid w:val="18930B39"/>
    <w:rsid w:val="18A1732B"/>
    <w:rsid w:val="18A62C37"/>
    <w:rsid w:val="18AB3BD6"/>
    <w:rsid w:val="18C509A5"/>
    <w:rsid w:val="190C7477"/>
    <w:rsid w:val="19226F18"/>
    <w:rsid w:val="19285D35"/>
    <w:rsid w:val="195E2067"/>
    <w:rsid w:val="19617221"/>
    <w:rsid w:val="196B0D46"/>
    <w:rsid w:val="197C21D7"/>
    <w:rsid w:val="198156B7"/>
    <w:rsid w:val="1987425B"/>
    <w:rsid w:val="19B3178A"/>
    <w:rsid w:val="19B66BAA"/>
    <w:rsid w:val="19C63842"/>
    <w:rsid w:val="19CF0EFF"/>
    <w:rsid w:val="19D44BED"/>
    <w:rsid w:val="19F06BF6"/>
    <w:rsid w:val="19F317B3"/>
    <w:rsid w:val="19FA356E"/>
    <w:rsid w:val="1A0F4FB1"/>
    <w:rsid w:val="1A2E70D2"/>
    <w:rsid w:val="1A3405AA"/>
    <w:rsid w:val="1A3473F5"/>
    <w:rsid w:val="1A4846D8"/>
    <w:rsid w:val="1A634E91"/>
    <w:rsid w:val="1A6C3E3C"/>
    <w:rsid w:val="1A6D6D72"/>
    <w:rsid w:val="1A7B4AF0"/>
    <w:rsid w:val="1A961D39"/>
    <w:rsid w:val="1A9C249F"/>
    <w:rsid w:val="1AA749A0"/>
    <w:rsid w:val="1ACD11E1"/>
    <w:rsid w:val="1ACE7CA5"/>
    <w:rsid w:val="1AE31BEC"/>
    <w:rsid w:val="1AE74A7E"/>
    <w:rsid w:val="1AFE0742"/>
    <w:rsid w:val="1B012302"/>
    <w:rsid w:val="1B0D6EF9"/>
    <w:rsid w:val="1B215F5C"/>
    <w:rsid w:val="1B237E4C"/>
    <w:rsid w:val="1B240DAA"/>
    <w:rsid w:val="1B542D7A"/>
    <w:rsid w:val="1B570174"/>
    <w:rsid w:val="1B5B7AE6"/>
    <w:rsid w:val="1B6A000C"/>
    <w:rsid w:val="1B844598"/>
    <w:rsid w:val="1B8646B1"/>
    <w:rsid w:val="1B8C72A8"/>
    <w:rsid w:val="1B8F2D2B"/>
    <w:rsid w:val="1B925E6B"/>
    <w:rsid w:val="1BB27BF9"/>
    <w:rsid w:val="1BC77487"/>
    <w:rsid w:val="1BCC05DF"/>
    <w:rsid w:val="1BE518B1"/>
    <w:rsid w:val="1BEA0B41"/>
    <w:rsid w:val="1BF81195"/>
    <w:rsid w:val="1C1332DC"/>
    <w:rsid w:val="1C202539"/>
    <w:rsid w:val="1C243148"/>
    <w:rsid w:val="1C260E39"/>
    <w:rsid w:val="1C4F6534"/>
    <w:rsid w:val="1C577152"/>
    <w:rsid w:val="1C5C6A2B"/>
    <w:rsid w:val="1C6217A1"/>
    <w:rsid w:val="1C6A607E"/>
    <w:rsid w:val="1C7F56B4"/>
    <w:rsid w:val="1C871B3C"/>
    <w:rsid w:val="1C9127A0"/>
    <w:rsid w:val="1C961E8E"/>
    <w:rsid w:val="1CAB616A"/>
    <w:rsid w:val="1CB84D79"/>
    <w:rsid w:val="1CBA395B"/>
    <w:rsid w:val="1CD42975"/>
    <w:rsid w:val="1CE479C1"/>
    <w:rsid w:val="1CE73C6B"/>
    <w:rsid w:val="1CE74422"/>
    <w:rsid w:val="1D642064"/>
    <w:rsid w:val="1D77469C"/>
    <w:rsid w:val="1D78618F"/>
    <w:rsid w:val="1DB55473"/>
    <w:rsid w:val="1DBC0763"/>
    <w:rsid w:val="1DEC1B23"/>
    <w:rsid w:val="1E035C35"/>
    <w:rsid w:val="1E087E4C"/>
    <w:rsid w:val="1E0B0F3D"/>
    <w:rsid w:val="1E0E4BD4"/>
    <w:rsid w:val="1E174FFE"/>
    <w:rsid w:val="1E2E1F24"/>
    <w:rsid w:val="1E3775A0"/>
    <w:rsid w:val="1E4E57A9"/>
    <w:rsid w:val="1E863F66"/>
    <w:rsid w:val="1E9E60BA"/>
    <w:rsid w:val="1EC353AF"/>
    <w:rsid w:val="1F392331"/>
    <w:rsid w:val="1F3D1E0D"/>
    <w:rsid w:val="1F4D4218"/>
    <w:rsid w:val="1F6A132C"/>
    <w:rsid w:val="1F770DE5"/>
    <w:rsid w:val="1F78089D"/>
    <w:rsid w:val="1FB90013"/>
    <w:rsid w:val="1FE2019D"/>
    <w:rsid w:val="1FED554B"/>
    <w:rsid w:val="1FEF3071"/>
    <w:rsid w:val="20216FA3"/>
    <w:rsid w:val="203465C1"/>
    <w:rsid w:val="204E750E"/>
    <w:rsid w:val="207B7AB5"/>
    <w:rsid w:val="209F1F27"/>
    <w:rsid w:val="20BD4E2C"/>
    <w:rsid w:val="20D858B3"/>
    <w:rsid w:val="20DB68D9"/>
    <w:rsid w:val="20DC4BC9"/>
    <w:rsid w:val="2100335A"/>
    <w:rsid w:val="212A7EDF"/>
    <w:rsid w:val="2144065A"/>
    <w:rsid w:val="214773B6"/>
    <w:rsid w:val="215211C9"/>
    <w:rsid w:val="216F2748"/>
    <w:rsid w:val="21715E9B"/>
    <w:rsid w:val="217E02C6"/>
    <w:rsid w:val="21833EB2"/>
    <w:rsid w:val="21921F06"/>
    <w:rsid w:val="21B04C0A"/>
    <w:rsid w:val="21C67E02"/>
    <w:rsid w:val="21D34566"/>
    <w:rsid w:val="21D724C7"/>
    <w:rsid w:val="21E97210"/>
    <w:rsid w:val="21EB5882"/>
    <w:rsid w:val="21F0142B"/>
    <w:rsid w:val="22123583"/>
    <w:rsid w:val="2216564E"/>
    <w:rsid w:val="22360B93"/>
    <w:rsid w:val="225057F0"/>
    <w:rsid w:val="22587ACE"/>
    <w:rsid w:val="226914B8"/>
    <w:rsid w:val="22970912"/>
    <w:rsid w:val="22BA3A0C"/>
    <w:rsid w:val="22D103DA"/>
    <w:rsid w:val="22E22972"/>
    <w:rsid w:val="22FD1936"/>
    <w:rsid w:val="230304F3"/>
    <w:rsid w:val="23165F35"/>
    <w:rsid w:val="234247F5"/>
    <w:rsid w:val="235A5128"/>
    <w:rsid w:val="235F22BC"/>
    <w:rsid w:val="236B38D7"/>
    <w:rsid w:val="23BD69A6"/>
    <w:rsid w:val="23C117A3"/>
    <w:rsid w:val="23CE3317"/>
    <w:rsid w:val="23D53818"/>
    <w:rsid w:val="23D73ED4"/>
    <w:rsid w:val="23D804D0"/>
    <w:rsid w:val="23E93E4F"/>
    <w:rsid w:val="23EB5BB6"/>
    <w:rsid w:val="23EB7FF4"/>
    <w:rsid w:val="23F8618F"/>
    <w:rsid w:val="23FC383D"/>
    <w:rsid w:val="240F1CB3"/>
    <w:rsid w:val="2414094F"/>
    <w:rsid w:val="24390D5F"/>
    <w:rsid w:val="24392B0D"/>
    <w:rsid w:val="243F67E5"/>
    <w:rsid w:val="244A0E80"/>
    <w:rsid w:val="2454113B"/>
    <w:rsid w:val="246C2EE2"/>
    <w:rsid w:val="24831C13"/>
    <w:rsid w:val="248D3C0D"/>
    <w:rsid w:val="249203D9"/>
    <w:rsid w:val="249F404D"/>
    <w:rsid w:val="24A47005"/>
    <w:rsid w:val="24C83E91"/>
    <w:rsid w:val="24D42D06"/>
    <w:rsid w:val="24E4405B"/>
    <w:rsid w:val="250103DF"/>
    <w:rsid w:val="25086440"/>
    <w:rsid w:val="25257B3F"/>
    <w:rsid w:val="25401C79"/>
    <w:rsid w:val="254E67FA"/>
    <w:rsid w:val="25506327"/>
    <w:rsid w:val="255A16BD"/>
    <w:rsid w:val="25835643"/>
    <w:rsid w:val="2598308D"/>
    <w:rsid w:val="259F185D"/>
    <w:rsid w:val="25A16BBC"/>
    <w:rsid w:val="25A41A32"/>
    <w:rsid w:val="25A46B73"/>
    <w:rsid w:val="25BE6E41"/>
    <w:rsid w:val="25C23D11"/>
    <w:rsid w:val="25C46CDA"/>
    <w:rsid w:val="25CF1C80"/>
    <w:rsid w:val="25DA75EF"/>
    <w:rsid w:val="25DB0986"/>
    <w:rsid w:val="25ED0452"/>
    <w:rsid w:val="25EF2E28"/>
    <w:rsid w:val="25F45F1D"/>
    <w:rsid w:val="26163F80"/>
    <w:rsid w:val="26343A5E"/>
    <w:rsid w:val="263B14AA"/>
    <w:rsid w:val="263D29A6"/>
    <w:rsid w:val="265754CC"/>
    <w:rsid w:val="267F4FEE"/>
    <w:rsid w:val="26803DDD"/>
    <w:rsid w:val="26A872B5"/>
    <w:rsid w:val="26C0145C"/>
    <w:rsid w:val="26D04B73"/>
    <w:rsid w:val="26E16ABF"/>
    <w:rsid w:val="26E32FBC"/>
    <w:rsid w:val="26F70FE3"/>
    <w:rsid w:val="272457A9"/>
    <w:rsid w:val="272A5942"/>
    <w:rsid w:val="274E6F17"/>
    <w:rsid w:val="27555CCC"/>
    <w:rsid w:val="275F40EE"/>
    <w:rsid w:val="276009DF"/>
    <w:rsid w:val="27791376"/>
    <w:rsid w:val="2796358C"/>
    <w:rsid w:val="27B771A2"/>
    <w:rsid w:val="27BC6A7B"/>
    <w:rsid w:val="27C17A3B"/>
    <w:rsid w:val="27EA0295"/>
    <w:rsid w:val="27F6425C"/>
    <w:rsid w:val="280F6685"/>
    <w:rsid w:val="281E2A8B"/>
    <w:rsid w:val="283D6944"/>
    <w:rsid w:val="283D7114"/>
    <w:rsid w:val="284B5306"/>
    <w:rsid w:val="285D7F9B"/>
    <w:rsid w:val="28835D9D"/>
    <w:rsid w:val="28C95A76"/>
    <w:rsid w:val="28CC2D4B"/>
    <w:rsid w:val="28D52DA8"/>
    <w:rsid w:val="28D6651F"/>
    <w:rsid w:val="28DA26D9"/>
    <w:rsid w:val="28DD6DEC"/>
    <w:rsid w:val="28E568AC"/>
    <w:rsid w:val="28EC793A"/>
    <w:rsid w:val="28FE0609"/>
    <w:rsid w:val="294728DB"/>
    <w:rsid w:val="294B7585"/>
    <w:rsid w:val="29A51C98"/>
    <w:rsid w:val="29A749BD"/>
    <w:rsid w:val="29B1238A"/>
    <w:rsid w:val="29C055B9"/>
    <w:rsid w:val="29CA157B"/>
    <w:rsid w:val="29F66F1D"/>
    <w:rsid w:val="2A13500A"/>
    <w:rsid w:val="2A297CE3"/>
    <w:rsid w:val="2A2A570B"/>
    <w:rsid w:val="2A2D0A17"/>
    <w:rsid w:val="2A3113B3"/>
    <w:rsid w:val="2A7A422C"/>
    <w:rsid w:val="2A8F6B31"/>
    <w:rsid w:val="2AE5687B"/>
    <w:rsid w:val="2AEA2DB3"/>
    <w:rsid w:val="2AFA2ECC"/>
    <w:rsid w:val="2B0955F8"/>
    <w:rsid w:val="2B0B1507"/>
    <w:rsid w:val="2B1A7C8E"/>
    <w:rsid w:val="2B403743"/>
    <w:rsid w:val="2B430040"/>
    <w:rsid w:val="2B4B2D75"/>
    <w:rsid w:val="2B4B759A"/>
    <w:rsid w:val="2B63443D"/>
    <w:rsid w:val="2B6C5576"/>
    <w:rsid w:val="2BA07708"/>
    <w:rsid w:val="2BA77027"/>
    <w:rsid w:val="2BAB2036"/>
    <w:rsid w:val="2BCE7E1E"/>
    <w:rsid w:val="2BD54612"/>
    <w:rsid w:val="2BD85275"/>
    <w:rsid w:val="2BF63C2F"/>
    <w:rsid w:val="2BFC0FF0"/>
    <w:rsid w:val="2C1005F7"/>
    <w:rsid w:val="2C26688C"/>
    <w:rsid w:val="2C3455DF"/>
    <w:rsid w:val="2C446252"/>
    <w:rsid w:val="2C4870F4"/>
    <w:rsid w:val="2C581F9E"/>
    <w:rsid w:val="2CBD0053"/>
    <w:rsid w:val="2CCB2871"/>
    <w:rsid w:val="2CE90268"/>
    <w:rsid w:val="2CF82E63"/>
    <w:rsid w:val="2D124E81"/>
    <w:rsid w:val="2D226552"/>
    <w:rsid w:val="2D245F3C"/>
    <w:rsid w:val="2D37027B"/>
    <w:rsid w:val="2D3F166A"/>
    <w:rsid w:val="2D983225"/>
    <w:rsid w:val="2DC72F38"/>
    <w:rsid w:val="2DDC7010"/>
    <w:rsid w:val="2DE92ED0"/>
    <w:rsid w:val="2E3929A2"/>
    <w:rsid w:val="2E532C78"/>
    <w:rsid w:val="2E9C746E"/>
    <w:rsid w:val="2EA15006"/>
    <w:rsid w:val="2EBB1BDA"/>
    <w:rsid w:val="2EF04C58"/>
    <w:rsid w:val="2F0C4870"/>
    <w:rsid w:val="2F127534"/>
    <w:rsid w:val="2F1D68FD"/>
    <w:rsid w:val="2F3944A8"/>
    <w:rsid w:val="2F6C0C38"/>
    <w:rsid w:val="2F757811"/>
    <w:rsid w:val="2F783490"/>
    <w:rsid w:val="2FA32247"/>
    <w:rsid w:val="2FAC7283"/>
    <w:rsid w:val="2FC27AB3"/>
    <w:rsid w:val="2FC8743B"/>
    <w:rsid w:val="2FC92C11"/>
    <w:rsid w:val="2FD858D0"/>
    <w:rsid w:val="30076E0B"/>
    <w:rsid w:val="301A6825"/>
    <w:rsid w:val="30206AC0"/>
    <w:rsid w:val="30405223"/>
    <w:rsid w:val="304E05F0"/>
    <w:rsid w:val="30601421"/>
    <w:rsid w:val="30622988"/>
    <w:rsid w:val="307A24E3"/>
    <w:rsid w:val="309E2EB1"/>
    <w:rsid w:val="30A77B88"/>
    <w:rsid w:val="30C24B88"/>
    <w:rsid w:val="30CB104E"/>
    <w:rsid w:val="30DC4F4C"/>
    <w:rsid w:val="30F01A2D"/>
    <w:rsid w:val="311A1155"/>
    <w:rsid w:val="311E247C"/>
    <w:rsid w:val="313034EA"/>
    <w:rsid w:val="31366300"/>
    <w:rsid w:val="31433DA6"/>
    <w:rsid w:val="3155497F"/>
    <w:rsid w:val="317D6237"/>
    <w:rsid w:val="317F4CF0"/>
    <w:rsid w:val="31907D0D"/>
    <w:rsid w:val="31BE0AC2"/>
    <w:rsid w:val="31C17C65"/>
    <w:rsid w:val="31C679AA"/>
    <w:rsid w:val="31D476F9"/>
    <w:rsid w:val="31E039EF"/>
    <w:rsid w:val="31EB569F"/>
    <w:rsid w:val="31F61D28"/>
    <w:rsid w:val="31FA551D"/>
    <w:rsid w:val="32102E8A"/>
    <w:rsid w:val="3212499D"/>
    <w:rsid w:val="321B600C"/>
    <w:rsid w:val="32222E32"/>
    <w:rsid w:val="322F7FE6"/>
    <w:rsid w:val="32407EFC"/>
    <w:rsid w:val="32454D73"/>
    <w:rsid w:val="324E4F9D"/>
    <w:rsid w:val="32576CFF"/>
    <w:rsid w:val="325A4582"/>
    <w:rsid w:val="325A5C91"/>
    <w:rsid w:val="326E42CA"/>
    <w:rsid w:val="327452CB"/>
    <w:rsid w:val="32747B3A"/>
    <w:rsid w:val="32825C8E"/>
    <w:rsid w:val="328E0F1B"/>
    <w:rsid w:val="32911E12"/>
    <w:rsid w:val="32AB72CC"/>
    <w:rsid w:val="32B37488"/>
    <w:rsid w:val="32BE6851"/>
    <w:rsid w:val="32C542CE"/>
    <w:rsid w:val="32C87DB1"/>
    <w:rsid w:val="32D65D69"/>
    <w:rsid w:val="32E36AB1"/>
    <w:rsid w:val="33072028"/>
    <w:rsid w:val="330B70A0"/>
    <w:rsid w:val="33205F09"/>
    <w:rsid w:val="33277006"/>
    <w:rsid w:val="33284CF5"/>
    <w:rsid w:val="332E54A4"/>
    <w:rsid w:val="33310106"/>
    <w:rsid w:val="33374F5F"/>
    <w:rsid w:val="334179D2"/>
    <w:rsid w:val="33610880"/>
    <w:rsid w:val="336F5012"/>
    <w:rsid w:val="33876F17"/>
    <w:rsid w:val="338D7858"/>
    <w:rsid w:val="33994918"/>
    <w:rsid w:val="339F25F0"/>
    <w:rsid w:val="33BF7E9F"/>
    <w:rsid w:val="33D27B46"/>
    <w:rsid w:val="33F15215"/>
    <w:rsid w:val="34047292"/>
    <w:rsid w:val="34176C19"/>
    <w:rsid w:val="342C0303"/>
    <w:rsid w:val="343155AF"/>
    <w:rsid w:val="34327D71"/>
    <w:rsid w:val="346477BA"/>
    <w:rsid w:val="34807A69"/>
    <w:rsid w:val="34A418FC"/>
    <w:rsid w:val="34B64201"/>
    <w:rsid w:val="34D90809"/>
    <w:rsid w:val="34D94975"/>
    <w:rsid w:val="34E20A44"/>
    <w:rsid w:val="34E26C48"/>
    <w:rsid w:val="34E66B8B"/>
    <w:rsid w:val="350007A1"/>
    <w:rsid w:val="35063763"/>
    <w:rsid w:val="351D09ED"/>
    <w:rsid w:val="352769B2"/>
    <w:rsid w:val="352B76D6"/>
    <w:rsid w:val="354928BB"/>
    <w:rsid w:val="35492DCC"/>
    <w:rsid w:val="354B08F2"/>
    <w:rsid w:val="35567D48"/>
    <w:rsid w:val="3562043A"/>
    <w:rsid w:val="35730C01"/>
    <w:rsid w:val="357D116A"/>
    <w:rsid w:val="358058EA"/>
    <w:rsid w:val="359E4478"/>
    <w:rsid w:val="35C73443"/>
    <w:rsid w:val="35CD0FC1"/>
    <w:rsid w:val="360A4309"/>
    <w:rsid w:val="3612637E"/>
    <w:rsid w:val="361867B8"/>
    <w:rsid w:val="362538B0"/>
    <w:rsid w:val="36263EB1"/>
    <w:rsid w:val="36295D23"/>
    <w:rsid w:val="363436E7"/>
    <w:rsid w:val="363B1AD6"/>
    <w:rsid w:val="363E6370"/>
    <w:rsid w:val="364751DE"/>
    <w:rsid w:val="36585878"/>
    <w:rsid w:val="366A1FAA"/>
    <w:rsid w:val="368D117D"/>
    <w:rsid w:val="36BB45A2"/>
    <w:rsid w:val="36BD694E"/>
    <w:rsid w:val="36D42267"/>
    <w:rsid w:val="36DA030B"/>
    <w:rsid w:val="371C6EEA"/>
    <w:rsid w:val="3759156D"/>
    <w:rsid w:val="375C703A"/>
    <w:rsid w:val="37756B23"/>
    <w:rsid w:val="37971080"/>
    <w:rsid w:val="379D591B"/>
    <w:rsid w:val="37CC26AB"/>
    <w:rsid w:val="382C4A83"/>
    <w:rsid w:val="382E37CB"/>
    <w:rsid w:val="383473D4"/>
    <w:rsid w:val="385339F3"/>
    <w:rsid w:val="385744B5"/>
    <w:rsid w:val="3857798D"/>
    <w:rsid w:val="388B6D5B"/>
    <w:rsid w:val="389B4448"/>
    <w:rsid w:val="38AB4527"/>
    <w:rsid w:val="38B80763"/>
    <w:rsid w:val="38E5586B"/>
    <w:rsid w:val="392978A1"/>
    <w:rsid w:val="392F023F"/>
    <w:rsid w:val="392F4273"/>
    <w:rsid w:val="3931593C"/>
    <w:rsid w:val="394C4C39"/>
    <w:rsid w:val="39595CD9"/>
    <w:rsid w:val="396726D7"/>
    <w:rsid w:val="39780844"/>
    <w:rsid w:val="398C702E"/>
    <w:rsid w:val="39C01C04"/>
    <w:rsid w:val="3A0A759D"/>
    <w:rsid w:val="3A0B4429"/>
    <w:rsid w:val="3A1D2711"/>
    <w:rsid w:val="3A23295C"/>
    <w:rsid w:val="3A2F27B1"/>
    <w:rsid w:val="3A3A0F35"/>
    <w:rsid w:val="3A4A5CF9"/>
    <w:rsid w:val="3A4C29FF"/>
    <w:rsid w:val="3A4E2E7A"/>
    <w:rsid w:val="3A71619C"/>
    <w:rsid w:val="3A82574F"/>
    <w:rsid w:val="3A8A77C7"/>
    <w:rsid w:val="3AAE2B09"/>
    <w:rsid w:val="3AAF36D1"/>
    <w:rsid w:val="3AF76093"/>
    <w:rsid w:val="3B0829CF"/>
    <w:rsid w:val="3B1975E7"/>
    <w:rsid w:val="3B273845"/>
    <w:rsid w:val="3B314385"/>
    <w:rsid w:val="3B381919"/>
    <w:rsid w:val="3B4756B8"/>
    <w:rsid w:val="3B4E035D"/>
    <w:rsid w:val="3B513D41"/>
    <w:rsid w:val="3B5F3F0A"/>
    <w:rsid w:val="3B651FC7"/>
    <w:rsid w:val="3B6B3A9C"/>
    <w:rsid w:val="3B7D67F1"/>
    <w:rsid w:val="3B86072C"/>
    <w:rsid w:val="3B8C441F"/>
    <w:rsid w:val="3B9025FB"/>
    <w:rsid w:val="3B990D4C"/>
    <w:rsid w:val="3B9A1C8B"/>
    <w:rsid w:val="3B9B1C36"/>
    <w:rsid w:val="3B9D2E9D"/>
    <w:rsid w:val="3BB70C55"/>
    <w:rsid w:val="3BCA4961"/>
    <w:rsid w:val="3BD13444"/>
    <w:rsid w:val="3BD845CF"/>
    <w:rsid w:val="3BEA1C5F"/>
    <w:rsid w:val="3BEF65FF"/>
    <w:rsid w:val="3C033CD5"/>
    <w:rsid w:val="3C563DE0"/>
    <w:rsid w:val="3C646C9E"/>
    <w:rsid w:val="3C684FB2"/>
    <w:rsid w:val="3C7140B2"/>
    <w:rsid w:val="3C741E04"/>
    <w:rsid w:val="3C8C1C1A"/>
    <w:rsid w:val="3C8F5568"/>
    <w:rsid w:val="3C922ECF"/>
    <w:rsid w:val="3CB179A0"/>
    <w:rsid w:val="3CC035D2"/>
    <w:rsid w:val="3CC50F8A"/>
    <w:rsid w:val="3CC56885"/>
    <w:rsid w:val="3CDE11AF"/>
    <w:rsid w:val="3CE72624"/>
    <w:rsid w:val="3D023D18"/>
    <w:rsid w:val="3D3C1086"/>
    <w:rsid w:val="3D3C3B87"/>
    <w:rsid w:val="3D5B42BA"/>
    <w:rsid w:val="3D8A1625"/>
    <w:rsid w:val="3D8A1E5D"/>
    <w:rsid w:val="3DB96F6E"/>
    <w:rsid w:val="3DD629BF"/>
    <w:rsid w:val="3DD92421"/>
    <w:rsid w:val="3DF55990"/>
    <w:rsid w:val="3E257B2C"/>
    <w:rsid w:val="3E3B1459"/>
    <w:rsid w:val="3E6A003B"/>
    <w:rsid w:val="3E7C2B8B"/>
    <w:rsid w:val="3E7C456A"/>
    <w:rsid w:val="3E8B57AF"/>
    <w:rsid w:val="3E944C72"/>
    <w:rsid w:val="3EA82911"/>
    <w:rsid w:val="3EAB41B0"/>
    <w:rsid w:val="3EBC0A17"/>
    <w:rsid w:val="3EC218CF"/>
    <w:rsid w:val="3ECF7E9E"/>
    <w:rsid w:val="3ED661BC"/>
    <w:rsid w:val="3ED84AC3"/>
    <w:rsid w:val="3EE635AA"/>
    <w:rsid w:val="3EE74ACC"/>
    <w:rsid w:val="3F044B91"/>
    <w:rsid w:val="3F126D5F"/>
    <w:rsid w:val="3F694841"/>
    <w:rsid w:val="3F725694"/>
    <w:rsid w:val="3FB054B8"/>
    <w:rsid w:val="3FBD0512"/>
    <w:rsid w:val="3FCB558A"/>
    <w:rsid w:val="3FCB7E46"/>
    <w:rsid w:val="3FD01A8E"/>
    <w:rsid w:val="3FFC0ABE"/>
    <w:rsid w:val="400474C0"/>
    <w:rsid w:val="400C6396"/>
    <w:rsid w:val="4048312A"/>
    <w:rsid w:val="404F5D8A"/>
    <w:rsid w:val="405838EF"/>
    <w:rsid w:val="4058445D"/>
    <w:rsid w:val="40655CA4"/>
    <w:rsid w:val="406D2278"/>
    <w:rsid w:val="4075587B"/>
    <w:rsid w:val="40864F3B"/>
    <w:rsid w:val="4090365D"/>
    <w:rsid w:val="409937B6"/>
    <w:rsid w:val="40A550EE"/>
    <w:rsid w:val="40AF0726"/>
    <w:rsid w:val="40C72698"/>
    <w:rsid w:val="40DA7CA8"/>
    <w:rsid w:val="40FE10AD"/>
    <w:rsid w:val="40FF27C4"/>
    <w:rsid w:val="41001083"/>
    <w:rsid w:val="41026119"/>
    <w:rsid w:val="410831F5"/>
    <w:rsid w:val="412705B4"/>
    <w:rsid w:val="41347152"/>
    <w:rsid w:val="413E79F2"/>
    <w:rsid w:val="4140157C"/>
    <w:rsid w:val="4180587D"/>
    <w:rsid w:val="418155DB"/>
    <w:rsid w:val="419456F5"/>
    <w:rsid w:val="419801BB"/>
    <w:rsid w:val="41AA4BF2"/>
    <w:rsid w:val="41BE244C"/>
    <w:rsid w:val="41C77552"/>
    <w:rsid w:val="41CA7043"/>
    <w:rsid w:val="41D94161"/>
    <w:rsid w:val="41DA44FE"/>
    <w:rsid w:val="41DF25AB"/>
    <w:rsid w:val="41F37C04"/>
    <w:rsid w:val="421859BC"/>
    <w:rsid w:val="4222464D"/>
    <w:rsid w:val="42300B58"/>
    <w:rsid w:val="423050F8"/>
    <w:rsid w:val="42343CA3"/>
    <w:rsid w:val="42551C10"/>
    <w:rsid w:val="426D0A43"/>
    <w:rsid w:val="427773EA"/>
    <w:rsid w:val="42790E24"/>
    <w:rsid w:val="429A07C3"/>
    <w:rsid w:val="42AE6DC3"/>
    <w:rsid w:val="42B5384F"/>
    <w:rsid w:val="42C56687"/>
    <w:rsid w:val="42CF2D51"/>
    <w:rsid w:val="42EF14D8"/>
    <w:rsid w:val="43087E22"/>
    <w:rsid w:val="43212983"/>
    <w:rsid w:val="432C0E21"/>
    <w:rsid w:val="432D7AE4"/>
    <w:rsid w:val="4348377A"/>
    <w:rsid w:val="43491913"/>
    <w:rsid w:val="434B137F"/>
    <w:rsid w:val="435068EC"/>
    <w:rsid w:val="43574906"/>
    <w:rsid w:val="435A6FE5"/>
    <w:rsid w:val="436D31D9"/>
    <w:rsid w:val="43704235"/>
    <w:rsid w:val="438E176F"/>
    <w:rsid w:val="439308F6"/>
    <w:rsid w:val="43A43AA5"/>
    <w:rsid w:val="43B12B73"/>
    <w:rsid w:val="43BC1704"/>
    <w:rsid w:val="43C84CE6"/>
    <w:rsid w:val="43EC4D96"/>
    <w:rsid w:val="43FF14A5"/>
    <w:rsid w:val="440F122B"/>
    <w:rsid w:val="441E6A6D"/>
    <w:rsid w:val="4432143C"/>
    <w:rsid w:val="443A2EAB"/>
    <w:rsid w:val="4440539A"/>
    <w:rsid w:val="444B24EE"/>
    <w:rsid w:val="444E1F64"/>
    <w:rsid w:val="448535BF"/>
    <w:rsid w:val="44EC69CB"/>
    <w:rsid w:val="44F13F8B"/>
    <w:rsid w:val="452E7B26"/>
    <w:rsid w:val="4538560A"/>
    <w:rsid w:val="45443E19"/>
    <w:rsid w:val="454A3340"/>
    <w:rsid w:val="454A46CD"/>
    <w:rsid w:val="454D1C55"/>
    <w:rsid w:val="455E1702"/>
    <w:rsid w:val="455E6BAA"/>
    <w:rsid w:val="45762CD5"/>
    <w:rsid w:val="45885490"/>
    <w:rsid w:val="45A43627"/>
    <w:rsid w:val="45A72E4A"/>
    <w:rsid w:val="45AF4585"/>
    <w:rsid w:val="45CB17DD"/>
    <w:rsid w:val="45CF5642"/>
    <w:rsid w:val="45DF6B64"/>
    <w:rsid w:val="461A39A7"/>
    <w:rsid w:val="462D4AE5"/>
    <w:rsid w:val="46484333"/>
    <w:rsid w:val="46521C06"/>
    <w:rsid w:val="466962CB"/>
    <w:rsid w:val="46742B23"/>
    <w:rsid w:val="469C3F9C"/>
    <w:rsid w:val="46B76712"/>
    <w:rsid w:val="46C34B4D"/>
    <w:rsid w:val="46C9003F"/>
    <w:rsid w:val="46DE73B9"/>
    <w:rsid w:val="46E406CE"/>
    <w:rsid w:val="46E70E14"/>
    <w:rsid w:val="46E849E4"/>
    <w:rsid w:val="46ED144E"/>
    <w:rsid w:val="46FA5927"/>
    <w:rsid w:val="4712301E"/>
    <w:rsid w:val="47364EFF"/>
    <w:rsid w:val="473F03A0"/>
    <w:rsid w:val="474464C7"/>
    <w:rsid w:val="475211E9"/>
    <w:rsid w:val="47590F1B"/>
    <w:rsid w:val="475E6263"/>
    <w:rsid w:val="47752836"/>
    <w:rsid w:val="47B67ACB"/>
    <w:rsid w:val="47BC0B80"/>
    <w:rsid w:val="47E40645"/>
    <w:rsid w:val="47E9742A"/>
    <w:rsid w:val="47F93EE6"/>
    <w:rsid w:val="482254E2"/>
    <w:rsid w:val="484A06EC"/>
    <w:rsid w:val="484B701A"/>
    <w:rsid w:val="485708B3"/>
    <w:rsid w:val="488C41E2"/>
    <w:rsid w:val="4893018E"/>
    <w:rsid w:val="48931F3C"/>
    <w:rsid w:val="48954870"/>
    <w:rsid w:val="48B35FCA"/>
    <w:rsid w:val="48C2406E"/>
    <w:rsid w:val="48D37D0C"/>
    <w:rsid w:val="48DA62A5"/>
    <w:rsid w:val="48F40CA1"/>
    <w:rsid w:val="48F707B1"/>
    <w:rsid w:val="4913212B"/>
    <w:rsid w:val="491E4CC6"/>
    <w:rsid w:val="49440DBB"/>
    <w:rsid w:val="49571F09"/>
    <w:rsid w:val="495C179F"/>
    <w:rsid w:val="495F413C"/>
    <w:rsid w:val="49607C0A"/>
    <w:rsid w:val="49775EAA"/>
    <w:rsid w:val="49811A5C"/>
    <w:rsid w:val="49841BC0"/>
    <w:rsid w:val="4989333F"/>
    <w:rsid w:val="4996283E"/>
    <w:rsid w:val="499B1F55"/>
    <w:rsid w:val="49C13A6B"/>
    <w:rsid w:val="49C7171E"/>
    <w:rsid w:val="49D6410F"/>
    <w:rsid w:val="49DC3DB7"/>
    <w:rsid w:val="49DD5467"/>
    <w:rsid w:val="49F93CCA"/>
    <w:rsid w:val="49FB0460"/>
    <w:rsid w:val="4A037D72"/>
    <w:rsid w:val="4A057040"/>
    <w:rsid w:val="4A49241B"/>
    <w:rsid w:val="4A7604B5"/>
    <w:rsid w:val="4A8B36E6"/>
    <w:rsid w:val="4A9465F4"/>
    <w:rsid w:val="4A975594"/>
    <w:rsid w:val="4AA00DF6"/>
    <w:rsid w:val="4AB533DB"/>
    <w:rsid w:val="4ABA2260"/>
    <w:rsid w:val="4ADA57C4"/>
    <w:rsid w:val="4ADE5503"/>
    <w:rsid w:val="4AE86827"/>
    <w:rsid w:val="4AF3229C"/>
    <w:rsid w:val="4AF37775"/>
    <w:rsid w:val="4AF6781C"/>
    <w:rsid w:val="4B0457A6"/>
    <w:rsid w:val="4B0C56EE"/>
    <w:rsid w:val="4B271C83"/>
    <w:rsid w:val="4B335DAE"/>
    <w:rsid w:val="4B3600B8"/>
    <w:rsid w:val="4B475260"/>
    <w:rsid w:val="4B57340A"/>
    <w:rsid w:val="4B5C7373"/>
    <w:rsid w:val="4B743ED4"/>
    <w:rsid w:val="4B850F19"/>
    <w:rsid w:val="4B9820C9"/>
    <w:rsid w:val="4BAC7107"/>
    <w:rsid w:val="4BBB0F78"/>
    <w:rsid w:val="4BE66895"/>
    <w:rsid w:val="4BEB041A"/>
    <w:rsid w:val="4BFA50D9"/>
    <w:rsid w:val="4C10669D"/>
    <w:rsid w:val="4C11171E"/>
    <w:rsid w:val="4C1B7A77"/>
    <w:rsid w:val="4C1E6722"/>
    <w:rsid w:val="4C1F053D"/>
    <w:rsid w:val="4C3A17DA"/>
    <w:rsid w:val="4C4800E5"/>
    <w:rsid w:val="4C8E1777"/>
    <w:rsid w:val="4C9436DF"/>
    <w:rsid w:val="4C9E4CAD"/>
    <w:rsid w:val="4CA02647"/>
    <w:rsid w:val="4CA145B2"/>
    <w:rsid w:val="4CA2701A"/>
    <w:rsid w:val="4CCD06CE"/>
    <w:rsid w:val="4CDE5AEF"/>
    <w:rsid w:val="4CE57CF0"/>
    <w:rsid w:val="4CE63D92"/>
    <w:rsid w:val="4D1D3B66"/>
    <w:rsid w:val="4D4334F8"/>
    <w:rsid w:val="4D7E1644"/>
    <w:rsid w:val="4D812CAB"/>
    <w:rsid w:val="4DA85C8C"/>
    <w:rsid w:val="4DB835EE"/>
    <w:rsid w:val="4DB911E1"/>
    <w:rsid w:val="4DBF70B7"/>
    <w:rsid w:val="4DC03D6B"/>
    <w:rsid w:val="4DC46845"/>
    <w:rsid w:val="4DCA7DF0"/>
    <w:rsid w:val="4DD068DA"/>
    <w:rsid w:val="4DDE00FE"/>
    <w:rsid w:val="4DEF686F"/>
    <w:rsid w:val="4DF529C5"/>
    <w:rsid w:val="4E1708AD"/>
    <w:rsid w:val="4E1861E1"/>
    <w:rsid w:val="4E1D528D"/>
    <w:rsid w:val="4E1E68D9"/>
    <w:rsid w:val="4E250F3D"/>
    <w:rsid w:val="4E270D56"/>
    <w:rsid w:val="4E5203F3"/>
    <w:rsid w:val="4E827C7E"/>
    <w:rsid w:val="4E8A066A"/>
    <w:rsid w:val="4E933309"/>
    <w:rsid w:val="4E996D94"/>
    <w:rsid w:val="4EB65EC5"/>
    <w:rsid w:val="4EDC2D1C"/>
    <w:rsid w:val="4EDE2869"/>
    <w:rsid w:val="4F0A2770"/>
    <w:rsid w:val="4F1519B1"/>
    <w:rsid w:val="4F281D27"/>
    <w:rsid w:val="4F294A04"/>
    <w:rsid w:val="4F2C2E62"/>
    <w:rsid w:val="4F65388A"/>
    <w:rsid w:val="4F776C1B"/>
    <w:rsid w:val="4F925E53"/>
    <w:rsid w:val="4FA4240F"/>
    <w:rsid w:val="4FA75050"/>
    <w:rsid w:val="4FB548FC"/>
    <w:rsid w:val="4FBE36A0"/>
    <w:rsid w:val="4FC07F21"/>
    <w:rsid w:val="4FC36674"/>
    <w:rsid w:val="4FE24AA8"/>
    <w:rsid w:val="4FFA53FB"/>
    <w:rsid w:val="5000045A"/>
    <w:rsid w:val="504F1475"/>
    <w:rsid w:val="50696566"/>
    <w:rsid w:val="507227CC"/>
    <w:rsid w:val="507A5AA3"/>
    <w:rsid w:val="50855DC9"/>
    <w:rsid w:val="508D082C"/>
    <w:rsid w:val="50BD049E"/>
    <w:rsid w:val="50C40C1E"/>
    <w:rsid w:val="50CB7E2A"/>
    <w:rsid w:val="50D554EA"/>
    <w:rsid w:val="50F87F29"/>
    <w:rsid w:val="510B4946"/>
    <w:rsid w:val="51136310"/>
    <w:rsid w:val="512C2F2E"/>
    <w:rsid w:val="512F1746"/>
    <w:rsid w:val="51537ED6"/>
    <w:rsid w:val="515779C6"/>
    <w:rsid w:val="515D7F4A"/>
    <w:rsid w:val="51622AE3"/>
    <w:rsid w:val="51646834"/>
    <w:rsid w:val="51913924"/>
    <w:rsid w:val="51AB33B0"/>
    <w:rsid w:val="51B3680B"/>
    <w:rsid w:val="51BC2590"/>
    <w:rsid w:val="51C9315E"/>
    <w:rsid w:val="51D36D9F"/>
    <w:rsid w:val="51F21A3A"/>
    <w:rsid w:val="523300D4"/>
    <w:rsid w:val="523E5CAF"/>
    <w:rsid w:val="524349D3"/>
    <w:rsid w:val="52536949"/>
    <w:rsid w:val="52544256"/>
    <w:rsid w:val="52A73EA7"/>
    <w:rsid w:val="52C95948"/>
    <w:rsid w:val="52CA4322"/>
    <w:rsid w:val="52D42F3D"/>
    <w:rsid w:val="53032E64"/>
    <w:rsid w:val="530722B4"/>
    <w:rsid w:val="530F0D59"/>
    <w:rsid w:val="53172164"/>
    <w:rsid w:val="532A55B0"/>
    <w:rsid w:val="53316F22"/>
    <w:rsid w:val="53340A1E"/>
    <w:rsid w:val="5375433E"/>
    <w:rsid w:val="53854BDD"/>
    <w:rsid w:val="5387055B"/>
    <w:rsid w:val="538753EB"/>
    <w:rsid w:val="539162FD"/>
    <w:rsid w:val="53961EF2"/>
    <w:rsid w:val="53BD3672"/>
    <w:rsid w:val="53EB17CC"/>
    <w:rsid w:val="53F2740C"/>
    <w:rsid w:val="53F73DB6"/>
    <w:rsid w:val="540360B6"/>
    <w:rsid w:val="541911D3"/>
    <w:rsid w:val="5422686A"/>
    <w:rsid w:val="542F06B0"/>
    <w:rsid w:val="54482775"/>
    <w:rsid w:val="544F2F18"/>
    <w:rsid w:val="54532EC8"/>
    <w:rsid w:val="547B4A44"/>
    <w:rsid w:val="54B64CFF"/>
    <w:rsid w:val="54C26C57"/>
    <w:rsid w:val="54DC4356"/>
    <w:rsid w:val="54E26BCD"/>
    <w:rsid w:val="54FB70FE"/>
    <w:rsid w:val="54FD055C"/>
    <w:rsid w:val="54FD53A9"/>
    <w:rsid w:val="551E603D"/>
    <w:rsid w:val="55201E77"/>
    <w:rsid w:val="553E174D"/>
    <w:rsid w:val="554F0B7F"/>
    <w:rsid w:val="557F05F8"/>
    <w:rsid w:val="558812F2"/>
    <w:rsid w:val="55882F41"/>
    <w:rsid w:val="558A73F9"/>
    <w:rsid w:val="55A627C2"/>
    <w:rsid w:val="55A80B53"/>
    <w:rsid w:val="55C23E61"/>
    <w:rsid w:val="55C768AD"/>
    <w:rsid w:val="55CC72D9"/>
    <w:rsid w:val="561C2C9A"/>
    <w:rsid w:val="56244B1C"/>
    <w:rsid w:val="564074CB"/>
    <w:rsid w:val="56475CD2"/>
    <w:rsid w:val="565815F6"/>
    <w:rsid w:val="565F5026"/>
    <w:rsid w:val="567751FE"/>
    <w:rsid w:val="568A7075"/>
    <w:rsid w:val="56945429"/>
    <w:rsid w:val="5697325E"/>
    <w:rsid w:val="56982E14"/>
    <w:rsid w:val="56A5005B"/>
    <w:rsid w:val="56AE17CA"/>
    <w:rsid w:val="56C95C38"/>
    <w:rsid w:val="56E24368"/>
    <w:rsid w:val="56EF2B9A"/>
    <w:rsid w:val="56F83836"/>
    <w:rsid w:val="56FE78AD"/>
    <w:rsid w:val="57004698"/>
    <w:rsid w:val="571C53DB"/>
    <w:rsid w:val="57203535"/>
    <w:rsid w:val="5722546A"/>
    <w:rsid w:val="572A0552"/>
    <w:rsid w:val="573C40E7"/>
    <w:rsid w:val="573E69CF"/>
    <w:rsid w:val="57457483"/>
    <w:rsid w:val="574D2889"/>
    <w:rsid w:val="57504730"/>
    <w:rsid w:val="576A20A3"/>
    <w:rsid w:val="576A2C03"/>
    <w:rsid w:val="57797A3D"/>
    <w:rsid w:val="577E64AD"/>
    <w:rsid w:val="578E250F"/>
    <w:rsid w:val="57A10134"/>
    <w:rsid w:val="57BF6D7B"/>
    <w:rsid w:val="57C37F50"/>
    <w:rsid w:val="57DF6118"/>
    <w:rsid w:val="57E36310"/>
    <w:rsid w:val="57EF2F07"/>
    <w:rsid w:val="58623050"/>
    <w:rsid w:val="586F4B19"/>
    <w:rsid w:val="58A261CC"/>
    <w:rsid w:val="58AE6125"/>
    <w:rsid w:val="58B45904"/>
    <w:rsid w:val="58C2300F"/>
    <w:rsid w:val="58C760DD"/>
    <w:rsid w:val="58CA080B"/>
    <w:rsid w:val="590A77C6"/>
    <w:rsid w:val="5910578C"/>
    <w:rsid w:val="59361A50"/>
    <w:rsid w:val="5939268C"/>
    <w:rsid w:val="593D2BEC"/>
    <w:rsid w:val="594A184F"/>
    <w:rsid w:val="594B145F"/>
    <w:rsid w:val="59625E06"/>
    <w:rsid w:val="59840A6E"/>
    <w:rsid w:val="59841D5D"/>
    <w:rsid w:val="5993641F"/>
    <w:rsid w:val="59B30690"/>
    <w:rsid w:val="59C944DB"/>
    <w:rsid w:val="59D12089"/>
    <w:rsid w:val="59D900E3"/>
    <w:rsid w:val="59DF6767"/>
    <w:rsid w:val="59E31DF0"/>
    <w:rsid w:val="59E72FCB"/>
    <w:rsid w:val="5A0C3532"/>
    <w:rsid w:val="5A300C73"/>
    <w:rsid w:val="5A322FCF"/>
    <w:rsid w:val="5A462E59"/>
    <w:rsid w:val="5A545409"/>
    <w:rsid w:val="5A9E24DA"/>
    <w:rsid w:val="5AA601F5"/>
    <w:rsid w:val="5AC91C40"/>
    <w:rsid w:val="5AE24126"/>
    <w:rsid w:val="5B0824D6"/>
    <w:rsid w:val="5B0B6009"/>
    <w:rsid w:val="5B2D4236"/>
    <w:rsid w:val="5BA33419"/>
    <w:rsid w:val="5BAC29E0"/>
    <w:rsid w:val="5BB0311E"/>
    <w:rsid w:val="5BB71559"/>
    <w:rsid w:val="5BCF7C68"/>
    <w:rsid w:val="5BE8603E"/>
    <w:rsid w:val="5BF2254A"/>
    <w:rsid w:val="5BF24926"/>
    <w:rsid w:val="5C013209"/>
    <w:rsid w:val="5C062F85"/>
    <w:rsid w:val="5C1D0043"/>
    <w:rsid w:val="5C1F489E"/>
    <w:rsid w:val="5C2012D9"/>
    <w:rsid w:val="5C2829F7"/>
    <w:rsid w:val="5C385CD4"/>
    <w:rsid w:val="5C515F3F"/>
    <w:rsid w:val="5C522094"/>
    <w:rsid w:val="5C52732A"/>
    <w:rsid w:val="5C804C79"/>
    <w:rsid w:val="5C864F10"/>
    <w:rsid w:val="5C87510A"/>
    <w:rsid w:val="5C905DAB"/>
    <w:rsid w:val="5CA957BE"/>
    <w:rsid w:val="5CB730D6"/>
    <w:rsid w:val="5CC01D0A"/>
    <w:rsid w:val="5CCE6919"/>
    <w:rsid w:val="5CEA7610"/>
    <w:rsid w:val="5CEB6DAA"/>
    <w:rsid w:val="5CF014A8"/>
    <w:rsid w:val="5D137698"/>
    <w:rsid w:val="5D1D70B0"/>
    <w:rsid w:val="5D1F4A4E"/>
    <w:rsid w:val="5D2F1967"/>
    <w:rsid w:val="5D392820"/>
    <w:rsid w:val="5D3D2B7B"/>
    <w:rsid w:val="5D691247"/>
    <w:rsid w:val="5D6B6B5C"/>
    <w:rsid w:val="5D6B7FBB"/>
    <w:rsid w:val="5D7B5F95"/>
    <w:rsid w:val="5D857942"/>
    <w:rsid w:val="5D8C3996"/>
    <w:rsid w:val="5E0F7A6B"/>
    <w:rsid w:val="5E116B37"/>
    <w:rsid w:val="5E14006E"/>
    <w:rsid w:val="5E1D287D"/>
    <w:rsid w:val="5E2717AF"/>
    <w:rsid w:val="5E3D7708"/>
    <w:rsid w:val="5E4C6A6F"/>
    <w:rsid w:val="5E4F2C37"/>
    <w:rsid w:val="5E582437"/>
    <w:rsid w:val="5E6262E3"/>
    <w:rsid w:val="5E6F51D7"/>
    <w:rsid w:val="5E804690"/>
    <w:rsid w:val="5E883E81"/>
    <w:rsid w:val="5EA3139F"/>
    <w:rsid w:val="5EB62EE8"/>
    <w:rsid w:val="5EBC2B65"/>
    <w:rsid w:val="5EBE4C0B"/>
    <w:rsid w:val="5ED34061"/>
    <w:rsid w:val="5EDF1010"/>
    <w:rsid w:val="5EE92F67"/>
    <w:rsid w:val="5EEC46B7"/>
    <w:rsid w:val="5EF520D0"/>
    <w:rsid w:val="5EF53331"/>
    <w:rsid w:val="5F3039A8"/>
    <w:rsid w:val="5F353452"/>
    <w:rsid w:val="5F401828"/>
    <w:rsid w:val="5F6436B5"/>
    <w:rsid w:val="5F873D05"/>
    <w:rsid w:val="5FB1636B"/>
    <w:rsid w:val="5FB90084"/>
    <w:rsid w:val="5FD556E5"/>
    <w:rsid w:val="5FE35619"/>
    <w:rsid w:val="600343E4"/>
    <w:rsid w:val="601178CD"/>
    <w:rsid w:val="60174039"/>
    <w:rsid w:val="60187064"/>
    <w:rsid w:val="605E4FD7"/>
    <w:rsid w:val="60646DAE"/>
    <w:rsid w:val="60680E41"/>
    <w:rsid w:val="607C10FE"/>
    <w:rsid w:val="60A76C3F"/>
    <w:rsid w:val="60B802C4"/>
    <w:rsid w:val="60B822A8"/>
    <w:rsid w:val="60ED345C"/>
    <w:rsid w:val="60EE1E17"/>
    <w:rsid w:val="60FC3541"/>
    <w:rsid w:val="613B7668"/>
    <w:rsid w:val="615452AA"/>
    <w:rsid w:val="617B185C"/>
    <w:rsid w:val="61935584"/>
    <w:rsid w:val="61C72B0A"/>
    <w:rsid w:val="61C92449"/>
    <w:rsid w:val="61D03DA9"/>
    <w:rsid w:val="61D6054C"/>
    <w:rsid w:val="61D66F63"/>
    <w:rsid w:val="61DA6699"/>
    <w:rsid w:val="61EB50FE"/>
    <w:rsid w:val="61FC2143"/>
    <w:rsid w:val="61FE334B"/>
    <w:rsid w:val="6213355B"/>
    <w:rsid w:val="621F505E"/>
    <w:rsid w:val="62321BA2"/>
    <w:rsid w:val="62710215"/>
    <w:rsid w:val="62755D8E"/>
    <w:rsid w:val="628A489C"/>
    <w:rsid w:val="62AA0157"/>
    <w:rsid w:val="62AD6843"/>
    <w:rsid w:val="62B44CE1"/>
    <w:rsid w:val="62BE7CBE"/>
    <w:rsid w:val="630C1E94"/>
    <w:rsid w:val="63136083"/>
    <w:rsid w:val="633C5201"/>
    <w:rsid w:val="636D46A1"/>
    <w:rsid w:val="638E40F5"/>
    <w:rsid w:val="63A36518"/>
    <w:rsid w:val="63DE43DB"/>
    <w:rsid w:val="640609BC"/>
    <w:rsid w:val="642F3009"/>
    <w:rsid w:val="644C7082"/>
    <w:rsid w:val="645E6EFA"/>
    <w:rsid w:val="649307F8"/>
    <w:rsid w:val="649C2083"/>
    <w:rsid w:val="64A21FB0"/>
    <w:rsid w:val="64AF7CA6"/>
    <w:rsid w:val="64B008E0"/>
    <w:rsid w:val="64B315DE"/>
    <w:rsid w:val="64D124CE"/>
    <w:rsid w:val="65063729"/>
    <w:rsid w:val="651C3D16"/>
    <w:rsid w:val="653D52B2"/>
    <w:rsid w:val="6543234D"/>
    <w:rsid w:val="654A79CF"/>
    <w:rsid w:val="6561441E"/>
    <w:rsid w:val="656633CF"/>
    <w:rsid w:val="65694B91"/>
    <w:rsid w:val="6593476D"/>
    <w:rsid w:val="65A70EF0"/>
    <w:rsid w:val="65C40FE4"/>
    <w:rsid w:val="65CB5F68"/>
    <w:rsid w:val="65D762ED"/>
    <w:rsid w:val="65DA6975"/>
    <w:rsid w:val="65E11AE7"/>
    <w:rsid w:val="65E47E23"/>
    <w:rsid w:val="65E94B18"/>
    <w:rsid w:val="660A7C60"/>
    <w:rsid w:val="660E07F1"/>
    <w:rsid w:val="660F3935"/>
    <w:rsid w:val="661E43B8"/>
    <w:rsid w:val="662503FD"/>
    <w:rsid w:val="66295AD1"/>
    <w:rsid w:val="66303E5E"/>
    <w:rsid w:val="66602650"/>
    <w:rsid w:val="66620068"/>
    <w:rsid w:val="6664428A"/>
    <w:rsid w:val="66753111"/>
    <w:rsid w:val="66776725"/>
    <w:rsid w:val="668928C7"/>
    <w:rsid w:val="66916E58"/>
    <w:rsid w:val="66994B74"/>
    <w:rsid w:val="66A528F5"/>
    <w:rsid w:val="66A70E80"/>
    <w:rsid w:val="66C36530"/>
    <w:rsid w:val="66E35776"/>
    <w:rsid w:val="66E614E7"/>
    <w:rsid w:val="66EC4659"/>
    <w:rsid w:val="67137861"/>
    <w:rsid w:val="671955B2"/>
    <w:rsid w:val="671F13EF"/>
    <w:rsid w:val="672C3E87"/>
    <w:rsid w:val="676314F1"/>
    <w:rsid w:val="676905E0"/>
    <w:rsid w:val="67810D0B"/>
    <w:rsid w:val="67851192"/>
    <w:rsid w:val="6787372E"/>
    <w:rsid w:val="678C3854"/>
    <w:rsid w:val="679039E7"/>
    <w:rsid w:val="67B33C06"/>
    <w:rsid w:val="67BC1C69"/>
    <w:rsid w:val="67C1591F"/>
    <w:rsid w:val="67DB55CD"/>
    <w:rsid w:val="67EE3B1A"/>
    <w:rsid w:val="67F4713A"/>
    <w:rsid w:val="67FB4D9B"/>
    <w:rsid w:val="68066B50"/>
    <w:rsid w:val="681801F5"/>
    <w:rsid w:val="6820156A"/>
    <w:rsid w:val="68353172"/>
    <w:rsid w:val="686B3764"/>
    <w:rsid w:val="689B1EED"/>
    <w:rsid w:val="689C0840"/>
    <w:rsid w:val="68AD10C0"/>
    <w:rsid w:val="68AF4719"/>
    <w:rsid w:val="68B703DC"/>
    <w:rsid w:val="68C83AFF"/>
    <w:rsid w:val="68D21C99"/>
    <w:rsid w:val="68D51FA4"/>
    <w:rsid w:val="68FC3D07"/>
    <w:rsid w:val="69032663"/>
    <w:rsid w:val="69506837"/>
    <w:rsid w:val="695C7DD5"/>
    <w:rsid w:val="695E6FD7"/>
    <w:rsid w:val="6963599D"/>
    <w:rsid w:val="696658DB"/>
    <w:rsid w:val="69692C28"/>
    <w:rsid w:val="69731BEA"/>
    <w:rsid w:val="698823A5"/>
    <w:rsid w:val="69A1722F"/>
    <w:rsid w:val="69B46232"/>
    <w:rsid w:val="69B83F96"/>
    <w:rsid w:val="69CC26FB"/>
    <w:rsid w:val="69EE36F9"/>
    <w:rsid w:val="69F06811"/>
    <w:rsid w:val="6A02317C"/>
    <w:rsid w:val="6A1379A4"/>
    <w:rsid w:val="6A2E1500"/>
    <w:rsid w:val="6A342346"/>
    <w:rsid w:val="6A4E3ABD"/>
    <w:rsid w:val="6A524C81"/>
    <w:rsid w:val="6A684771"/>
    <w:rsid w:val="6AB27AB2"/>
    <w:rsid w:val="6ABC752A"/>
    <w:rsid w:val="6AC41FD2"/>
    <w:rsid w:val="6AD142DE"/>
    <w:rsid w:val="6AEC279F"/>
    <w:rsid w:val="6AFE74DF"/>
    <w:rsid w:val="6AFF00CE"/>
    <w:rsid w:val="6AFF2D5F"/>
    <w:rsid w:val="6B001D3B"/>
    <w:rsid w:val="6B2E63CF"/>
    <w:rsid w:val="6B303274"/>
    <w:rsid w:val="6B346D3F"/>
    <w:rsid w:val="6B4515EE"/>
    <w:rsid w:val="6B4B0BC6"/>
    <w:rsid w:val="6B5275DD"/>
    <w:rsid w:val="6B7033FF"/>
    <w:rsid w:val="6B760662"/>
    <w:rsid w:val="6B7A2B71"/>
    <w:rsid w:val="6B890347"/>
    <w:rsid w:val="6B8A6D77"/>
    <w:rsid w:val="6B902A4C"/>
    <w:rsid w:val="6BBA58AE"/>
    <w:rsid w:val="6BC14D0B"/>
    <w:rsid w:val="6BC7061A"/>
    <w:rsid w:val="6BD36755"/>
    <w:rsid w:val="6BD74A01"/>
    <w:rsid w:val="6BDC01C6"/>
    <w:rsid w:val="6BEB599B"/>
    <w:rsid w:val="6C184383"/>
    <w:rsid w:val="6C2C6A6F"/>
    <w:rsid w:val="6C472C21"/>
    <w:rsid w:val="6C526435"/>
    <w:rsid w:val="6C644406"/>
    <w:rsid w:val="6C681E3D"/>
    <w:rsid w:val="6C6C3872"/>
    <w:rsid w:val="6C6D1136"/>
    <w:rsid w:val="6C6D426C"/>
    <w:rsid w:val="6CA53E3E"/>
    <w:rsid w:val="6CAF118B"/>
    <w:rsid w:val="6CB80F05"/>
    <w:rsid w:val="6CB96094"/>
    <w:rsid w:val="6CBC6C3B"/>
    <w:rsid w:val="6CCC0508"/>
    <w:rsid w:val="6CCF7D52"/>
    <w:rsid w:val="6CDD4D14"/>
    <w:rsid w:val="6CE36E0C"/>
    <w:rsid w:val="6CF05300"/>
    <w:rsid w:val="6D056404"/>
    <w:rsid w:val="6D0D2465"/>
    <w:rsid w:val="6D0F1C2A"/>
    <w:rsid w:val="6D1C18DE"/>
    <w:rsid w:val="6D4968F6"/>
    <w:rsid w:val="6D535155"/>
    <w:rsid w:val="6D6D232C"/>
    <w:rsid w:val="6D821E63"/>
    <w:rsid w:val="6D9B3B82"/>
    <w:rsid w:val="6DA13759"/>
    <w:rsid w:val="6DBE0FEC"/>
    <w:rsid w:val="6DCB0452"/>
    <w:rsid w:val="6DD2143E"/>
    <w:rsid w:val="6DE60963"/>
    <w:rsid w:val="6DE81A26"/>
    <w:rsid w:val="6E0572E3"/>
    <w:rsid w:val="6E2B6B6B"/>
    <w:rsid w:val="6E3B6A4F"/>
    <w:rsid w:val="6E592D6E"/>
    <w:rsid w:val="6EAA0AC2"/>
    <w:rsid w:val="6EB13CEB"/>
    <w:rsid w:val="6EB62458"/>
    <w:rsid w:val="6EBC36EB"/>
    <w:rsid w:val="6EBD09BA"/>
    <w:rsid w:val="6EDE0D67"/>
    <w:rsid w:val="6EE566F7"/>
    <w:rsid w:val="6EF35E93"/>
    <w:rsid w:val="6F421BF8"/>
    <w:rsid w:val="6F516387"/>
    <w:rsid w:val="6F5C0A74"/>
    <w:rsid w:val="6F643D8F"/>
    <w:rsid w:val="6F6F18F7"/>
    <w:rsid w:val="6F877D7B"/>
    <w:rsid w:val="6F897028"/>
    <w:rsid w:val="6FB83341"/>
    <w:rsid w:val="6FDE06EC"/>
    <w:rsid w:val="6FDE184E"/>
    <w:rsid w:val="6FE90A2F"/>
    <w:rsid w:val="6FEC1DAE"/>
    <w:rsid w:val="700729B8"/>
    <w:rsid w:val="700A6BD0"/>
    <w:rsid w:val="700B3310"/>
    <w:rsid w:val="70233BBB"/>
    <w:rsid w:val="7034196F"/>
    <w:rsid w:val="703D6159"/>
    <w:rsid w:val="703F03B0"/>
    <w:rsid w:val="704D5249"/>
    <w:rsid w:val="705123A0"/>
    <w:rsid w:val="70580C42"/>
    <w:rsid w:val="70662402"/>
    <w:rsid w:val="706630CB"/>
    <w:rsid w:val="707207C9"/>
    <w:rsid w:val="707A3DFE"/>
    <w:rsid w:val="708874D3"/>
    <w:rsid w:val="70A72C00"/>
    <w:rsid w:val="70D64AC3"/>
    <w:rsid w:val="70D868B2"/>
    <w:rsid w:val="70E512E4"/>
    <w:rsid w:val="70EB10DF"/>
    <w:rsid w:val="70F716E5"/>
    <w:rsid w:val="70FA5E30"/>
    <w:rsid w:val="71072564"/>
    <w:rsid w:val="710870BC"/>
    <w:rsid w:val="710B6899"/>
    <w:rsid w:val="711233FC"/>
    <w:rsid w:val="712546F9"/>
    <w:rsid w:val="71653D5B"/>
    <w:rsid w:val="71913DFD"/>
    <w:rsid w:val="71C110B5"/>
    <w:rsid w:val="71CF7614"/>
    <w:rsid w:val="71E116BB"/>
    <w:rsid w:val="721F290F"/>
    <w:rsid w:val="722F158A"/>
    <w:rsid w:val="72357F0B"/>
    <w:rsid w:val="72457A7B"/>
    <w:rsid w:val="725203AA"/>
    <w:rsid w:val="727B1B10"/>
    <w:rsid w:val="728B05E0"/>
    <w:rsid w:val="72931052"/>
    <w:rsid w:val="729709A4"/>
    <w:rsid w:val="72B14C02"/>
    <w:rsid w:val="72CC6563"/>
    <w:rsid w:val="72D16BAC"/>
    <w:rsid w:val="72DD24EA"/>
    <w:rsid w:val="72EC23C2"/>
    <w:rsid w:val="732927C8"/>
    <w:rsid w:val="732B2622"/>
    <w:rsid w:val="733C1DD2"/>
    <w:rsid w:val="73453B30"/>
    <w:rsid w:val="738D1AFA"/>
    <w:rsid w:val="739272BD"/>
    <w:rsid w:val="73B97DD8"/>
    <w:rsid w:val="73CC2623"/>
    <w:rsid w:val="73CF6BF4"/>
    <w:rsid w:val="74132CA9"/>
    <w:rsid w:val="742D0BE7"/>
    <w:rsid w:val="742E116E"/>
    <w:rsid w:val="744F5232"/>
    <w:rsid w:val="74582108"/>
    <w:rsid w:val="745C6F51"/>
    <w:rsid w:val="7462268D"/>
    <w:rsid w:val="74652C65"/>
    <w:rsid w:val="74765024"/>
    <w:rsid w:val="748425CB"/>
    <w:rsid w:val="74975B13"/>
    <w:rsid w:val="749A0108"/>
    <w:rsid w:val="749B0514"/>
    <w:rsid w:val="74A23383"/>
    <w:rsid w:val="74C108FE"/>
    <w:rsid w:val="74C3785A"/>
    <w:rsid w:val="74E47F9F"/>
    <w:rsid w:val="75093403"/>
    <w:rsid w:val="75382954"/>
    <w:rsid w:val="754721EA"/>
    <w:rsid w:val="754B7577"/>
    <w:rsid w:val="756128AC"/>
    <w:rsid w:val="756C54E4"/>
    <w:rsid w:val="756E22FC"/>
    <w:rsid w:val="756E3856"/>
    <w:rsid w:val="75736ACE"/>
    <w:rsid w:val="75750A98"/>
    <w:rsid w:val="75973AED"/>
    <w:rsid w:val="75A31F6C"/>
    <w:rsid w:val="75AA6952"/>
    <w:rsid w:val="75B47B03"/>
    <w:rsid w:val="75D336B0"/>
    <w:rsid w:val="75D43A11"/>
    <w:rsid w:val="75DF0A9B"/>
    <w:rsid w:val="75EE4D65"/>
    <w:rsid w:val="75FD62E2"/>
    <w:rsid w:val="76006046"/>
    <w:rsid w:val="76177B87"/>
    <w:rsid w:val="7619442A"/>
    <w:rsid w:val="762322A2"/>
    <w:rsid w:val="763D459D"/>
    <w:rsid w:val="763F1D8D"/>
    <w:rsid w:val="76521F2A"/>
    <w:rsid w:val="76824B00"/>
    <w:rsid w:val="76956D05"/>
    <w:rsid w:val="76A35B4D"/>
    <w:rsid w:val="76B91999"/>
    <w:rsid w:val="76F722E1"/>
    <w:rsid w:val="77173151"/>
    <w:rsid w:val="772F0A24"/>
    <w:rsid w:val="77486AC1"/>
    <w:rsid w:val="775363CA"/>
    <w:rsid w:val="775B6EA2"/>
    <w:rsid w:val="77605015"/>
    <w:rsid w:val="778038CD"/>
    <w:rsid w:val="778F0D3D"/>
    <w:rsid w:val="77AE4BA8"/>
    <w:rsid w:val="77C77544"/>
    <w:rsid w:val="77D221D2"/>
    <w:rsid w:val="77ED4572"/>
    <w:rsid w:val="77F533D9"/>
    <w:rsid w:val="780862FF"/>
    <w:rsid w:val="780D6117"/>
    <w:rsid w:val="780F69A0"/>
    <w:rsid w:val="781A76D5"/>
    <w:rsid w:val="782046B6"/>
    <w:rsid w:val="784F3EA3"/>
    <w:rsid w:val="78520C1D"/>
    <w:rsid w:val="78654DF4"/>
    <w:rsid w:val="78792D86"/>
    <w:rsid w:val="787D4138"/>
    <w:rsid w:val="789045CC"/>
    <w:rsid w:val="78A21BA4"/>
    <w:rsid w:val="78A74D12"/>
    <w:rsid w:val="78AC4ACE"/>
    <w:rsid w:val="78B04E7E"/>
    <w:rsid w:val="78C00903"/>
    <w:rsid w:val="78C4702D"/>
    <w:rsid w:val="78C93BBE"/>
    <w:rsid w:val="78DA407B"/>
    <w:rsid w:val="790F4CE2"/>
    <w:rsid w:val="791B21C4"/>
    <w:rsid w:val="792F0741"/>
    <w:rsid w:val="79665C5C"/>
    <w:rsid w:val="797C36CE"/>
    <w:rsid w:val="797E3467"/>
    <w:rsid w:val="797E642D"/>
    <w:rsid w:val="79A0639A"/>
    <w:rsid w:val="79A64469"/>
    <w:rsid w:val="79AD291E"/>
    <w:rsid w:val="79D7762B"/>
    <w:rsid w:val="79D97847"/>
    <w:rsid w:val="7A03581E"/>
    <w:rsid w:val="7A1B64F5"/>
    <w:rsid w:val="7A264AF4"/>
    <w:rsid w:val="7A4748F0"/>
    <w:rsid w:val="7A585B24"/>
    <w:rsid w:val="7A9F679E"/>
    <w:rsid w:val="7AAA6384"/>
    <w:rsid w:val="7AAD5F14"/>
    <w:rsid w:val="7AB4368D"/>
    <w:rsid w:val="7ABC4A73"/>
    <w:rsid w:val="7ACA51CE"/>
    <w:rsid w:val="7AEC698B"/>
    <w:rsid w:val="7B003430"/>
    <w:rsid w:val="7B1A5503"/>
    <w:rsid w:val="7B1A7DE0"/>
    <w:rsid w:val="7B212C37"/>
    <w:rsid w:val="7B2A643C"/>
    <w:rsid w:val="7B32475C"/>
    <w:rsid w:val="7B562AD1"/>
    <w:rsid w:val="7B562C5F"/>
    <w:rsid w:val="7B566789"/>
    <w:rsid w:val="7B677A98"/>
    <w:rsid w:val="7B694BFB"/>
    <w:rsid w:val="7B913F4B"/>
    <w:rsid w:val="7BA66D51"/>
    <w:rsid w:val="7BE25CEA"/>
    <w:rsid w:val="7BF47791"/>
    <w:rsid w:val="7BF707ED"/>
    <w:rsid w:val="7C0863F3"/>
    <w:rsid w:val="7C214885"/>
    <w:rsid w:val="7C494129"/>
    <w:rsid w:val="7C5B0D13"/>
    <w:rsid w:val="7C745FE5"/>
    <w:rsid w:val="7C8716DD"/>
    <w:rsid w:val="7C8E6CBA"/>
    <w:rsid w:val="7C976A7E"/>
    <w:rsid w:val="7CB76AFD"/>
    <w:rsid w:val="7CDB5685"/>
    <w:rsid w:val="7D0C1CE2"/>
    <w:rsid w:val="7D2320E1"/>
    <w:rsid w:val="7D2963AE"/>
    <w:rsid w:val="7D45197F"/>
    <w:rsid w:val="7D525FC0"/>
    <w:rsid w:val="7D5D078F"/>
    <w:rsid w:val="7D8E0A50"/>
    <w:rsid w:val="7D9A725A"/>
    <w:rsid w:val="7DAB2983"/>
    <w:rsid w:val="7DAB5824"/>
    <w:rsid w:val="7DD47C44"/>
    <w:rsid w:val="7E3A76FB"/>
    <w:rsid w:val="7E3C25E5"/>
    <w:rsid w:val="7E46421E"/>
    <w:rsid w:val="7E6B2350"/>
    <w:rsid w:val="7E6E4EF4"/>
    <w:rsid w:val="7E7274C3"/>
    <w:rsid w:val="7E8865A8"/>
    <w:rsid w:val="7EBB5AF6"/>
    <w:rsid w:val="7EDC755E"/>
    <w:rsid w:val="7EE06872"/>
    <w:rsid w:val="7EF813C0"/>
    <w:rsid w:val="7F062909"/>
    <w:rsid w:val="7F065AFD"/>
    <w:rsid w:val="7F21539D"/>
    <w:rsid w:val="7F296C18"/>
    <w:rsid w:val="7F5814E6"/>
    <w:rsid w:val="7F6D0A43"/>
    <w:rsid w:val="7FA22270"/>
    <w:rsid w:val="7FB74CDB"/>
    <w:rsid w:val="7FFD16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9"/>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numPr>
        <w:ilvl w:val="1"/>
        <w:numId w:val="1"/>
      </w:numPr>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numPr>
        <w:ilvl w:val="2"/>
        <w:numId w:val="1"/>
      </w:numPr>
      <w:spacing w:before="120" w:after="120" w:line="360" w:lineRule="auto"/>
      <w:jc w:val="center"/>
      <w:outlineLvl w:val="2"/>
    </w:pPr>
    <w:rPr>
      <w:rFonts w:ascii="宋体"/>
      <w:b/>
      <w:bCs/>
      <w:sz w:val="24"/>
      <w:szCs w:val="32"/>
    </w:rPr>
  </w:style>
  <w:style w:type="paragraph" w:styleId="5">
    <w:name w:val="heading 4"/>
    <w:basedOn w:val="1"/>
    <w:next w:val="1"/>
    <w:qFormat/>
    <w:uiPriority w:val="0"/>
    <w:pPr>
      <w:tabs>
        <w:tab w:val="left" w:pos="2155"/>
      </w:tabs>
      <w:adjustRightInd w:val="0"/>
      <w:spacing w:before="120" w:line="360" w:lineRule="auto"/>
      <w:ind w:left="2155" w:hanging="1078"/>
      <w:textAlignment w:val="baseline"/>
      <w:outlineLvl w:val="3"/>
    </w:pPr>
    <w:rPr>
      <w:rFonts w:ascii="Arial" w:hAnsi="Arial" w:eastAsia="黑体" w:cs="Times New Roman"/>
      <w:kern w:val="0"/>
      <w:sz w:val="28"/>
    </w:rPr>
  </w:style>
  <w:style w:type="paragraph" w:styleId="6">
    <w:name w:val="heading 5"/>
    <w:basedOn w:val="1"/>
    <w:next w:val="1"/>
    <w:qFormat/>
    <w:uiPriority w:val="0"/>
    <w:pPr>
      <w:keepNext/>
      <w:keepLines/>
      <w:adjustRightInd w:val="0"/>
      <w:spacing w:before="280" w:after="290" w:line="376" w:lineRule="atLeast"/>
      <w:textAlignment w:val="baseline"/>
      <w:outlineLvl w:val="4"/>
    </w:pPr>
    <w:rPr>
      <w:b/>
      <w:kern w:val="0"/>
      <w:sz w:val="28"/>
      <w:szCs w:val="24"/>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tabs>
        <w:tab w:val="left" w:pos="750"/>
      </w:tabs>
      <w:spacing w:before="156" w:beforeLines="50" w:line="300" w:lineRule="auto"/>
      <w:ind w:firstLine="200" w:firstLineChars="200"/>
    </w:pPr>
    <w:rPr>
      <w:rFonts w:ascii="宋体"/>
      <w:szCs w:val="20"/>
    </w:rPr>
  </w:style>
  <w:style w:type="paragraph" w:styleId="8">
    <w:name w:val="Document Map"/>
    <w:basedOn w:val="1"/>
    <w:qFormat/>
    <w:uiPriority w:val="99"/>
    <w:pPr>
      <w:shd w:val="clear" w:color="auto" w:fill="000080"/>
    </w:pPr>
  </w:style>
  <w:style w:type="paragraph" w:styleId="9">
    <w:name w:val="annotation text"/>
    <w:basedOn w:val="1"/>
    <w:qFormat/>
    <w:uiPriority w:val="0"/>
    <w:pPr>
      <w:jc w:val="left"/>
    </w:pPr>
  </w:style>
  <w:style w:type="paragraph" w:styleId="10">
    <w:name w:val="Body Text"/>
    <w:basedOn w:val="1"/>
    <w:next w:val="1"/>
    <w:qFormat/>
    <w:uiPriority w:val="0"/>
    <w:pPr>
      <w:spacing w:after="120"/>
    </w:pPr>
  </w:style>
  <w:style w:type="paragraph" w:styleId="11">
    <w:name w:val="Body Text Indent"/>
    <w:basedOn w:val="1"/>
    <w:next w:val="12"/>
    <w:qFormat/>
    <w:uiPriority w:val="0"/>
    <w:pPr>
      <w:ind w:firstLine="200" w:firstLineChars="200"/>
      <w:jc w:val="left"/>
    </w:pPr>
    <w:rPr>
      <w:rFonts w:ascii="仿宋_GB2312" w:eastAsia="仿宋_GB2312"/>
      <w:sz w:val="28"/>
    </w:rPr>
  </w:style>
  <w:style w:type="paragraph" w:styleId="12">
    <w:name w:val="Body Text First Indent 2"/>
    <w:basedOn w:val="11"/>
    <w:next w:val="13"/>
    <w:unhideWhenUsed/>
    <w:qFormat/>
    <w:uiPriority w:val="0"/>
    <w:pPr>
      <w:spacing w:line="240" w:lineRule="auto"/>
      <w:ind w:left="420" w:leftChars="200" w:firstLine="420" w:firstLineChars="200"/>
    </w:pPr>
    <w:rPr>
      <w:rFonts w:ascii="Times New Roman" w:cs="Times New Roman"/>
      <w:spacing w:val="0"/>
      <w:sz w:val="21"/>
      <w:szCs w:val="21"/>
    </w:rPr>
  </w:style>
  <w:style w:type="paragraph" w:styleId="13">
    <w:name w:val="Body Text First Indent"/>
    <w:basedOn w:val="10"/>
    <w:next w:val="1"/>
    <w:qFormat/>
    <w:uiPriority w:val="0"/>
    <w:pPr>
      <w:tabs>
        <w:tab w:val="center" w:pos="2185"/>
      </w:tabs>
      <w:adjustRightInd/>
      <w:spacing w:before="156" w:beforeLines="50" w:line="300" w:lineRule="auto"/>
      <w:ind w:firstLine="200" w:firstLineChars="200"/>
    </w:pPr>
    <w:rPr>
      <w:rFonts w:ascii="楷体_GB2312" w:eastAsia="楷体_GB2312"/>
      <w:color w:val="auto"/>
      <w:spacing w:val="4"/>
      <w:kern w:val="2"/>
      <w:sz w:val="21"/>
    </w:rPr>
  </w:style>
  <w:style w:type="paragraph" w:styleId="14">
    <w:name w:val="toc 5"/>
    <w:basedOn w:val="1"/>
    <w:next w:val="1"/>
    <w:qFormat/>
    <w:uiPriority w:val="0"/>
    <w:pPr>
      <w:ind w:left="840"/>
      <w:jc w:val="left"/>
    </w:pPr>
    <w:rPr>
      <w:sz w:val="18"/>
      <w:szCs w:val="18"/>
    </w:rPr>
  </w:style>
  <w:style w:type="paragraph" w:styleId="15">
    <w:name w:val="toc 3"/>
    <w:basedOn w:val="1"/>
    <w:next w:val="1"/>
    <w:qFormat/>
    <w:uiPriority w:val="0"/>
    <w:pPr>
      <w:ind w:left="840" w:leftChars="400"/>
    </w:pPr>
  </w:style>
  <w:style w:type="paragraph" w:styleId="16">
    <w:name w:val="Plain Text"/>
    <w:basedOn w:val="1"/>
    <w:next w:val="7"/>
    <w:qFormat/>
    <w:uiPriority w:val="0"/>
    <w:pPr>
      <w:autoSpaceDE w:val="0"/>
      <w:autoSpaceDN w:val="0"/>
      <w:adjustRightInd w:val="0"/>
      <w:jc w:val="left"/>
    </w:pPr>
    <w:rPr>
      <w:rFonts w:ascii="宋体"/>
      <w:kern w:val="0"/>
      <w:sz w:val="20"/>
    </w:rPr>
  </w:style>
  <w:style w:type="paragraph" w:styleId="17">
    <w:name w:val="Date"/>
    <w:basedOn w:val="1"/>
    <w:next w:val="1"/>
    <w:qFormat/>
    <w:uiPriority w:val="0"/>
    <w:rPr>
      <w:rFonts w:ascii="Times New Roman" w:hAnsi="Times New Roman" w:eastAsia="宋体" w:cs="Times New Roman"/>
      <w:kern w:val="0"/>
      <w:sz w:val="28"/>
    </w:rPr>
  </w:style>
  <w:style w:type="paragraph" w:styleId="18">
    <w:name w:val="footer"/>
    <w:basedOn w:val="1"/>
    <w:qFormat/>
    <w:uiPriority w:val="0"/>
    <w:pPr>
      <w:tabs>
        <w:tab w:val="center" w:pos="4153"/>
        <w:tab w:val="right" w:pos="8306"/>
      </w:tabs>
      <w:adjustRightInd w:val="0"/>
      <w:spacing w:line="240" w:lineRule="atLeast"/>
      <w:jc w:val="left"/>
      <w:textAlignment w:val="baseline"/>
    </w:pPr>
    <w:rPr>
      <w:kern w:val="0"/>
      <w:sz w:val="18"/>
      <w:szCs w:val="20"/>
    </w:rPr>
  </w:style>
  <w:style w:type="paragraph" w:styleId="19">
    <w:name w:val="envelope return"/>
    <w:basedOn w:val="1"/>
    <w:qFormat/>
    <w:uiPriority w:val="0"/>
    <w:pPr>
      <w:snapToGrid w:val="0"/>
    </w:pPr>
    <w:rPr>
      <w:rFonts w:ascii="Arial" w:hAnsi="Arial" w:eastAsia="宋体" w:cs="Times New Roman"/>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toc 2"/>
    <w:basedOn w:val="1"/>
    <w:next w:val="1"/>
    <w:qFormat/>
    <w:uiPriority w:val="0"/>
    <w:pPr>
      <w:ind w:left="60" w:firstLine="300"/>
    </w:pPr>
  </w:style>
  <w:style w:type="paragraph" w:styleId="23">
    <w:name w:val="Body Text 2"/>
    <w:basedOn w:val="1"/>
    <w:qFormat/>
    <w:uiPriority w:val="0"/>
    <w:rPr>
      <w:rFonts w:ascii="宋体"/>
      <w:sz w:val="13"/>
      <w:szCs w:val="20"/>
    </w:rPr>
  </w:style>
  <w:style w:type="paragraph" w:styleId="24">
    <w:name w:val="Normal (Web)"/>
    <w:basedOn w:val="1"/>
    <w:next w:val="1"/>
    <w:qFormat/>
    <w:uiPriority w:val="0"/>
    <w:pPr>
      <w:pBdr>
        <w:top w:val="none" w:color="auto" w:sz="0" w:space="0"/>
        <w:left w:val="none" w:color="auto" w:sz="0" w:space="0"/>
        <w:bottom w:val="none" w:color="auto" w:sz="0" w:space="0"/>
        <w:right w:val="none" w:color="auto" w:sz="0" w:space="0"/>
      </w:pBdr>
      <w:spacing w:before="0" w:beforeAutospacing="0" w:after="150" w:afterAutospacing="0"/>
      <w:ind w:left="0" w:right="0"/>
      <w:jc w:val="left"/>
    </w:pPr>
    <w:rPr>
      <w:rFonts w:ascii="微软雅黑" w:hAnsi="微软雅黑" w:eastAsia="微软雅黑" w:cs="微软雅黑"/>
      <w:color w:val="454545"/>
      <w:kern w:val="0"/>
      <w:sz w:val="24"/>
      <w:lang w:val="en-US" w:eastAsia="zh-CN" w:bidi="ar"/>
    </w:rPr>
  </w:style>
  <w:style w:type="table" w:styleId="26">
    <w:name w:val="Table Grid"/>
    <w:basedOn w:val="2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qFormat/>
    <w:uiPriority w:val="0"/>
  </w:style>
  <w:style w:type="character" w:styleId="29">
    <w:name w:val="Hyperlink"/>
    <w:basedOn w:val="27"/>
    <w:qFormat/>
    <w:uiPriority w:val="0"/>
    <w:rPr>
      <w:color w:val="337AB7"/>
      <w:u w:val="single"/>
    </w:rPr>
  </w:style>
  <w:style w:type="character" w:styleId="30">
    <w:name w:val="annotation reference"/>
    <w:basedOn w:val="27"/>
    <w:qFormat/>
    <w:uiPriority w:val="0"/>
    <w:rPr>
      <w:sz w:val="21"/>
      <w:szCs w:val="21"/>
    </w:rPr>
  </w:style>
  <w:style w:type="paragraph" w:customStyle="1" w:styleId="31">
    <w:name w:val="正文缩进1"/>
    <w:basedOn w:val="1"/>
    <w:qFormat/>
    <w:uiPriority w:val="0"/>
    <w:pPr>
      <w:spacing w:line="360" w:lineRule="auto"/>
      <w:ind w:firstLine="420"/>
    </w:pPr>
    <w:rPr>
      <w:color w:val="000000"/>
    </w:rPr>
  </w:style>
  <w:style w:type="paragraph" w:styleId="32">
    <w:name w:val="List Paragraph"/>
    <w:basedOn w:val="1"/>
    <w:qFormat/>
    <w:uiPriority w:val="34"/>
    <w:pPr>
      <w:ind w:firstLine="420" w:firstLineChars="200"/>
    </w:pPr>
  </w:style>
  <w:style w:type="paragraph" w:customStyle="1" w:styleId="33">
    <w:name w:val="Default"/>
    <w:unhideWhenUsed/>
    <w:qFormat/>
    <w:uiPriority w:val="0"/>
    <w:pPr>
      <w:widowControl w:val="0"/>
      <w:autoSpaceDE w:val="0"/>
      <w:autoSpaceDN w:val="0"/>
      <w:adjustRightInd w:val="0"/>
    </w:pPr>
    <w:rPr>
      <w:rFonts w:hint="eastAsia" w:ascii="仿宋_GB2312" w:hAnsi="仿宋_GB2312" w:eastAsia="仿宋_GB2312" w:cs="Times New Roman"/>
      <w:color w:val="000000"/>
      <w:sz w:val="24"/>
      <w:lang w:val="en-US" w:eastAsia="zh-CN" w:bidi="ar-SA"/>
    </w:rPr>
  </w:style>
  <w:style w:type="paragraph" w:customStyle="1" w:styleId="34">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_Style 2"/>
    <w:basedOn w:val="1"/>
    <w:qFormat/>
    <w:uiPriority w:val="0"/>
    <w:pPr>
      <w:spacing w:before="0" w:after="0" w:line="240" w:lineRule="auto"/>
      <w:ind w:firstLine="420" w:firstLineChars="200"/>
    </w:pPr>
  </w:style>
  <w:style w:type="character" w:customStyle="1" w:styleId="36">
    <w:name w:val="font11"/>
    <w:basedOn w:val="27"/>
    <w:qFormat/>
    <w:uiPriority w:val="0"/>
    <w:rPr>
      <w:rFonts w:hint="eastAsia" w:ascii="宋体" w:hAnsi="宋体" w:eastAsia="宋体" w:cs="宋体"/>
      <w:color w:val="000000"/>
      <w:sz w:val="20"/>
      <w:szCs w:val="20"/>
      <w:u w:val="none"/>
    </w:rPr>
  </w:style>
  <w:style w:type="character" w:customStyle="1" w:styleId="37">
    <w:name w:val="font21"/>
    <w:basedOn w:val="27"/>
    <w:qFormat/>
    <w:uiPriority w:val="0"/>
    <w:rPr>
      <w:rFonts w:ascii="Arial" w:hAnsi="Arial" w:cs="Arial"/>
      <w:color w:val="000000"/>
      <w:sz w:val="20"/>
      <w:szCs w:val="20"/>
      <w:u w:val="none"/>
    </w:rPr>
  </w:style>
  <w:style w:type="paragraph" w:customStyle="1" w:styleId="38">
    <w:name w:val="Normal_2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39">
    <w:name w:val="标题 1 Char"/>
    <w:link w:val="2"/>
    <w:qFormat/>
    <w:uiPriority w:val="0"/>
    <w:rPr>
      <w:rFonts w:ascii="仿宋_GB2312" w:eastAsia="仿宋_GB2312"/>
      <w:b/>
      <w:bCs/>
      <w:color w:val="000000"/>
      <w:kern w:val="0"/>
      <w:sz w:val="28"/>
      <w:szCs w:val="20"/>
    </w:rPr>
  </w:style>
  <w:style w:type="character" w:customStyle="1" w:styleId="40">
    <w:name w:val="NormalCharacter"/>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3349</Words>
  <Characters>3709</Characters>
  <Lines>0</Lines>
  <Paragraphs>0</Paragraphs>
  <TotalTime>51</TotalTime>
  <ScaleCrop>false</ScaleCrop>
  <LinksUpToDate>false</LinksUpToDate>
  <CharactersWithSpaces>3873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2021-08-03T09:31:00Z</dcterms:created>
  <dc:creator>lenovo</dc:creator>
  <cp:lastModifiedBy>Administrator</cp:lastModifiedBy>
  <cp:lastPrinted>2024-09-10T06:35:00Z</cp:lastPrinted>
  <dcterms:modified xsi:type="dcterms:W3CDTF">2025-06-12T03:01:26Z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B235AE53F5FF4EBC9A66A06EEBEDC6C5_13</vt:lpwstr>
  </property>
  <property fmtid="{D5CDD505-2E9C-101B-9397-08002B2CF9AE}" pid="4" name="KSOTemplateDocerSaveRecord">
    <vt:lpwstr>eyJoZGlkIjoiZGQyNGMzODI5YzQ4ZGU4YzQwZjY5ZjdiZGJlMzFlMTMiLCJ1c2VySWQiOiIxOTA4OTE0MDkifQ==</vt:lpwstr>
  </property>
</Properties>
</file>